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8E53" w14:textId="35A7A4F0" w:rsidR="00114D64" w:rsidRPr="009D63DD" w:rsidRDefault="009D63DD" w:rsidP="009D63DD">
      <w:pPr>
        <w:jc w:val="center"/>
        <w:rPr>
          <w:rFonts w:ascii="Times New Roman" w:hAnsi="Times New Roman" w:cs="Times New Roman"/>
          <w:b/>
          <w:bCs/>
          <w:sz w:val="28"/>
          <w:szCs w:val="28"/>
        </w:rPr>
      </w:pPr>
      <w:r w:rsidRPr="009D63DD">
        <w:rPr>
          <w:rFonts w:ascii="Times New Roman" w:hAnsi="Times New Roman" w:cs="Times New Roman"/>
          <w:b/>
          <w:bCs/>
          <w:sz w:val="28"/>
          <w:szCs w:val="28"/>
        </w:rPr>
        <w:t>State Advisory Group on Juvenile Justice and Delinquency Prevention</w:t>
      </w:r>
    </w:p>
    <w:p w14:paraId="7B21DF13" w14:textId="50AE6655" w:rsidR="009D63DD" w:rsidRPr="009D63DD" w:rsidRDefault="009D63DD" w:rsidP="009D63DD">
      <w:pPr>
        <w:jc w:val="center"/>
        <w:rPr>
          <w:rFonts w:ascii="Times New Roman" w:hAnsi="Times New Roman" w:cs="Times New Roman"/>
          <w:b/>
          <w:bCs/>
          <w:sz w:val="28"/>
          <w:szCs w:val="28"/>
        </w:rPr>
      </w:pPr>
      <w:r w:rsidRPr="009D63DD">
        <w:rPr>
          <w:rFonts w:ascii="Times New Roman" w:hAnsi="Times New Roman" w:cs="Times New Roman"/>
          <w:b/>
          <w:bCs/>
          <w:sz w:val="28"/>
          <w:szCs w:val="28"/>
        </w:rPr>
        <w:t>Membership Roster</w:t>
      </w:r>
    </w:p>
    <w:p w14:paraId="6C83B8B3" w14:textId="0700B1D9"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Elliott Harris – Chairperson</w:t>
      </w:r>
    </w:p>
    <w:p w14:paraId="1451A550"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Jennifer Pembrook-Vice Chair</w:t>
      </w:r>
    </w:p>
    <w:p w14:paraId="0B6AE9EB"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Clarissa Young</w:t>
      </w:r>
    </w:p>
    <w:p w14:paraId="1F9C867C"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Cynthianther May</w:t>
      </w:r>
    </w:p>
    <w:p w14:paraId="52DFF9AB"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Dewitt Carter</w:t>
      </w:r>
    </w:p>
    <w:p w14:paraId="7579FEEB"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Jana Zuelzke</w:t>
      </w:r>
    </w:p>
    <w:p w14:paraId="6435697E"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Jason Granholm</w:t>
      </w:r>
    </w:p>
    <w:p w14:paraId="1F82B178"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Joshua Thompson</w:t>
      </w:r>
    </w:p>
    <w:p w14:paraId="73DEFB2B"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Kathleen Connolly</w:t>
      </w:r>
    </w:p>
    <w:p w14:paraId="4C5691C3"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Laure Clemons</w:t>
      </w:r>
      <w:r w:rsidRPr="009D63DD">
        <w:rPr>
          <w:rFonts w:ascii="Times New Roman" w:hAnsi="Times New Roman" w:cs="Times New Roman"/>
          <w:sz w:val="28"/>
          <w:szCs w:val="28"/>
        </w:rPr>
        <w:br/>
        <w:t>Stephen Smith</w:t>
      </w:r>
    </w:p>
    <w:p w14:paraId="3022CA78"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Letta Gorman</w:t>
      </w:r>
    </w:p>
    <w:p w14:paraId="41BE3543"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Liletta Jenkins</w:t>
      </w:r>
    </w:p>
    <w:p w14:paraId="390E12BF"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Mickey Walker</w:t>
      </w:r>
    </w:p>
    <w:p w14:paraId="6BF20732"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Regina Walker</w:t>
      </w:r>
    </w:p>
    <w:p w14:paraId="3F0AF2E3"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Sophia Warner</w:t>
      </w:r>
    </w:p>
    <w:p w14:paraId="2214D3B2" w14:textId="77777777" w:rsidR="009D63DD" w:rsidRPr="009D63DD" w:rsidRDefault="009D63DD" w:rsidP="009D63DD">
      <w:pPr>
        <w:spacing w:after="0" w:line="276" w:lineRule="auto"/>
        <w:rPr>
          <w:rFonts w:ascii="Times New Roman" w:hAnsi="Times New Roman" w:cs="Times New Roman"/>
          <w:sz w:val="28"/>
          <w:szCs w:val="28"/>
        </w:rPr>
      </w:pPr>
      <w:r w:rsidRPr="009D63DD">
        <w:rPr>
          <w:rFonts w:ascii="Times New Roman" w:hAnsi="Times New Roman" w:cs="Times New Roman"/>
          <w:sz w:val="28"/>
          <w:szCs w:val="28"/>
        </w:rPr>
        <w:t>Steve Lafreniere</w:t>
      </w:r>
    </w:p>
    <w:p w14:paraId="6208477F" w14:textId="77777777" w:rsidR="009D63DD" w:rsidRPr="009D63DD" w:rsidRDefault="009D63DD" w:rsidP="009D63DD">
      <w:pPr>
        <w:spacing w:after="0" w:line="276" w:lineRule="auto"/>
        <w:rPr>
          <w:rFonts w:ascii="Times New Roman" w:hAnsi="Times New Roman" w:cs="Times New Roman"/>
          <w:sz w:val="28"/>
          <w:szCs w:val="28"/>
        </w:rPr>
      </w:pPr>
    </w:p>
    <w:p w14:paraId="40231877" w14:textId="397D78BF" w:rsidR="009D63DD" w:rsidRPr="009D63DD" w:rsidRDefault="00704F57" w:rsidP="009D63DD">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SAG </w:t>
      </w:r>
      <w:r w:rsidR="009D63DD" w:rsidRPr="009D63DD">
        <w:rPr>
          <w:rFonts w:ascii="Times New Roman" w:hAnsi="Times New Roman" w:cs="Times New Roman"/>
          <w:b/>
          <w:bCs/>
          <w:sz w:val="28"/>
          <w:szCs w:val="28"/>
        </w:rPr>
        <w:t>Membership Categories</w:t>
      </w:r>
      <w:r>
        <w:rPr>
          <w:rFonts w:ascii="Times New Roman" w:hAnsi="Times New Roman" w:cs="Times New Roman"/>
          <w:b/>
          <w:bCs/>
          <w:sz w:val="28"/>
          <w:szCs w:val="28"/>
        </w:rPr>
        <w:t xml:space="preserve"> and Requirements</w:t>
      </w:r>
    </w:p>
    <w:p w14:paraId="32AEB78F" w14:textId="77777777" w:rsidR="009D63DD" w:rsidRPr="009D63DD" w:rsidRDefault="009D63DD" w:rsidP="009D63DD">
      <w:pPr>
        <w:spacing w:after="0" w:line="276" w:lineRule="auto"/>
        <w:jc w:val="center"/>
        <w:rPr>
          <w:rFonts w:ascii="Times New Roman" w:hAnsi="Times New Roman" w:cs="Times New Roman"/>
          <w:b/>
          <w:bCs/>
          <w:sz w:val="28"/>
          <w:szCs w:val="28"/>
        </w:rPr>
      </w:pPr>
    </w:p>
    <w:p w14:paraId="7C17681F"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A. Locally elected official representing general purpose local government; </w:t>
      </w:r>
    </w:p>
    <w:p w14:paraId="29027A21"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B. Representative of law enforcement and juvenile justice agencies, including juvenile and family court judges, prosecutors, counsel for children and youth, and probation workers; </w:t>
      </w:r>
    </w:p>
    <w:p w14:paraId="5F140A0B"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C. Representatives of public agencies concerned with delinquency prevention or treatment, such as welfare, social services, child and adolescent mental health, education, child and adolescent substance abuse, special education, services for youth with disabilities, recreation, and youth services; </w:t>
      </w:r>
    </w:p>
    <w:p w14:paraId="1ED241D5" w14:textId="46C7B8D1"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D. Representatives of private nonprofit organizations, including persons concerned with family preservation and strengthening, parent groups and parent self-help groups, youth development, delinquency </w:t>
      </w:r>
      <w:r w:rsidRPr="009D63DD">
        <w:rPr>
          <w:rFonts w:ascii="Times New Roman" w:hAnsi="Times New Roman" w:cs="Times New Roman"/>
        </w:rPr>
        <w:t>prevention</w:t>
      </w:r>
      <w:r>
        <w:rPr>
          <w:rFonts w:ascii="Times New Roman" w:hAnsi="Times New Roman" w:cs="Times New Roman"/>
        </w:rPr>
        <w:t xml:space="preserve"> </w:t>
      </w:r>
      <w:r w:rsidRPr="009D63DD">
        <w:rPr>
          <w:rFonts w:ascii="Times New Roman" w:hAnsi="Times New Roman" w:cs="Times New Roman"/>
        </w:rPr>
        <w:t xml:space="preserve">and treatment, neglected or dependent children, quality of youth justice, education, and social services for children; </w:t>
      </w:r>
    </w:p>
    <w:p w14:paraId="03344932"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E. Volunteers who work with delinquent youth or youth at risk of delinquency; </w:t>
      </w:r>
    </w:p>
    <w:p w14:paraId="07E8BB37"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F. Representatives of programs that are alternatives to confinement, including organized recreation activities; </w:t>
      </w:r>
    </w:p>
    <w:p w14:paraId="0662DB5E"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G. Persons with special experience and competence in addressing problems related to school violence and vandalism and alternatives to suspension and expulsion; </w:t>
      </w:r>
    </w:p>
    <w:p w14:paraId="198659F7"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lastRenderedPageBreak/>
        <w:t xml:space="preserve">H. Persons, licensed or certified by the applicable State, with expertise and competence in preventing and addressing mental health and substance abuse needs in delinquent youth and youth at risk of delinquency; </w:t>
      </w:r>
    </w:p>
    <w:p w14:paraId="5236257C"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I. Representatives of victim or witness advocacy groups, including at least one individual with expertise in addressing the challenges of sexual abuse and exploitation and trauma, particularly the needs of youth who experience disproportionate levels of sexual abuse, exploitation, and trauma before entering the juvenile justice system; and </w:t>
      </w:r>
    </w:p>
    <w:p w14:paraId="0248E74F"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J. For a State in which one or more Indian Tribes are located, an Indian tribal representative (if such representative is available) or other individual with significant expertise in tribal law enforcement and juvenile justice in Indian tribal communities. </w:t>
      </w:r>
    </w:p>
    <w:p w14:paraId="5C83274C" w14:textId="77777777" w:rsidR="009D63DD" w:rsidRPr="009D63DD" w:rsidRDefault="009D63DD" w:rsidP="009D63DD">
      <w:pPr>
        <w:spacing w:after="0" w:line="276" w:lineRule="auto"/>
        <w:rPr>
          <w:rFonts w:ascii="Times New Roman" w:hAnsi="Times New Roman" w:cs="Times New Roman"/>
        </w:rPr>
      </w:pPr>
    </w:p>
    <w:p w14:paraId="41DE6C55" w14:textId="73C4B5E6"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Additionally, </w:t>
      </w:r>
    </w:p>
    <w:p w14:paraId="0CEEE049"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 The SAG shall consist of not less than 15 and not more than 33 members appointed by the chief executive officer of the state; </w:t>
      </w:r>
    </w:p>
    <w:p w14:paraId="431F0E1C"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 A majority of SAG members (including the chairperson) shall not be full-time employees of the federal, state, or local government; </w:t>
      </w:r>
    </w:p>
    <w:p w14:paraId="196D2DDA" w14:textId="77777777"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 xml:space="preserve">• At least one-fifth of the members shall be under the age of 28 at the time of initial appointment; and </w:t>
      </w:r>
    </w:p>
    <w:p w14:paraId="0C84CA55" w14:textId="77777777" w:rsidR="009D63DD" w:rsidRPr="009D63DD" w:rsidRDefault="009D63DD" w:rsidP="009D63DD">
      <w:pPr>
        <w:spacing w:after="0" w:line="276" w:lineRule="auto"/>
        <w:rPr>
          <w:rFonts w:ascii="Times New Roman" w:hAnsi="Times New Roman" w:cs="Times New Roman"/>
        </w:rPr>
      </w:pPr>
    </w:p>
    <w:p w14:paraId="7286E8F0" w14:textId="5D52D2F4" w:rsidR="009D63DD" w:rsidRPr="009D63DD" w:rsidRDefault="009D63DD" w:rsidP="009D63DD">
      <w:pPr>
        <w:spacing w:after="0" w:line="276" w:lineRule="auto"/>
        <w:rPr>
          <w:rFonts w:ascii="Times New Roman" w:hAnsi="Times New Roman" w:cs="Times New Roman"/>
        </w:rPr>
      </w:pPr>
      <w:r w:rsidRPr="009D63DD">
        <w:rPr>
          <w:rFonts w:ascii="Times New Roman" w:hAnsi="Times New Roman" w:cs="Times New Roman"/>
        </w:rPr>
        <w:t>At least three members have been or currently are under the jurisdiction of the juvenile justice system, or if not feasible and in appropriate circumstances, the parent or guardian of someone who has been or is currently under the jurisdiction of the juvenile justice system. It is not necessary to identify the specific individuals with this experience on the roster; however, the state must affirm that the SAG meets this requirement.</w:t>
      </w:r>
    </w:p>
    <w:sectPr w:rsidR="009D63DD" w:rsidRPr="009D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DD"/>
    <w:rsid w:val="00114D64"/>
    <w:rsid w:val="006F5B4C"/>
    <w:rsid w:val="00704F57"/>
    <w:rsid w:val="009D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617"/>
  <w15:chartTrackingRefBased/>
  <w15:docId w15:val="{B546BF51-5AB2-4F46-AFB8-9E3CDD6C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9516F-2E83-45FE-BBAF-5267F03D2E12}"/>
</file>

<file path=customXml/itemProps2.xml><?xml version="1.0" encoding="utf-8"?>
<ds:datastoreItem xmlns:ds="http://schemas.openxmlformats.org/officeDocument/2006/customXml" ds:itemID="{C0848964-6ABE-44CF-8343-2EEB800A35FD}"/>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2888</Characters>
  <Application>Microsoft Office Word</Application>
  <DocSecurity>0</DocSecurity>
  <Lines>262</Lines>
  <Paragraphs>173</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Smelley, Buffy</dc:creator>
  <cp:keywords/>
  <dc:description/>
  <cp:lastModifiedBy>Smelley, Buffy</cp:lastModifiedBy>
  <cp:revision>2</cp:revision>
  <dcterms:created xsi:type="dcterms:W3CDTF">2024-03-27T18:38:00Z</dcterms:created>
  <dcterms:modified xsi:type="dcterms:W3CDTF">2024-03-27T18:54:00Z</dcterms:modified>
</cp:coreProperties>
</file>