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7CBC" w14:textId="69D5268D" w:rsidR="00312317" w:rsidRDefault="00312317" w:rsidP="00AA1B5D">
      <w:pPr>
        <w:contextualSpacing/>
        <w:jc w:val="center"/>
        <w:rPr>
          <w:sz w:val="40"/>
          <w:szCs w:val="40"/>
        </w:rPr>
      </w:pPr>
      <w:r w:rsidRPr="00312317">
        <w:rPr>
          <w:sz w:val="40"/>
          <w:szCs w:val="40"/>
        </w:rPr>
        <w:t>Request for Proposal</w:t>
      </w:r>
      <w:r w:rsidR="002E0D6B">
        <w:rPr>
          <w:sz w:val="40"/>
          <w:szCs w:val="40"/>
        </w:rPr>
        <w:t>s</w:t>
      </w:r>
    </w:p>
    <w:p w14:paraId="13844F97" w14:textId="77777777" w:rsidR="00AA1B5D" w:rsidRPr="00AA1B5D" w:rsidRDefault="00AA1B5D" w:rsidP="00AA1B5D">
      <w:pPr>
        <w:contextualSpacing/>
        <w:jc w:val="center"/>
      </w:pPr>
    </w:p>
    <w:p w14:paraId="3D4EFCA2" w14:textId="51C9B12A" w:rsidR="00312317" w:rsidRDefault="00312317" w:rsidP="00AA1B5D">
      <w:pPr>
        <w:contextualSpacing/>
        <w:jc w:val="center"/>
      </w:pPr>
      <w:r w:rsidRPr="00312317">
        <w:rPr>
          <w:rFonts w:eastAsia="Times New Roman" w:cs="Times New Roman"/>
          <w:noProof/>
        </w:rPr>
        <w:drawing>
          <wp:inline distT="0" distB="0" distL="0" distR="0" wp14:anchorId="7243AD16" wp14:editId="29541E3A">
            <wp:extent cx="4499359"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3426" cy="1544445"/>
                    </a:xfrm>
                    <a:prstGeom prst="rect">
                      <a:avLst/>
                    </a:prstGeom>
                    <a:noFill/>
                    <a:ln>
                      <a:noFill/>
                    </a:ln>
                  </pic:spPr>
                </pic:pic>
              </a:graphicData>
            </a:graphic>
          </wp:inline>
        </w:drawing>
      </w:r>
    </w:p>
    <w:p w14:paraId="13EF35B3" w14:textId="77777777" w:rsidR="00AA1B5D" w:rsidRPr="00AA1B5D" w:rsidRDefault="00AA1B5D" w:rsidP="00AA1B5D">
      <w:pPr>
        <w:spacing w:after="0"/>
        <w:contextualSpacing/>
        <w:jc w:val="center"/>
        <w:rPr>
          <w:color w:val="00B050"/>
        </w:rPr>
      </w:pPr>
    </w:p>
    <w:p w14:paraId="1832FFD7" w14:textId="566196FB" w:rsidR="00312317" w:rsidRPr="00447E37" w:rsidRDefault="00447E37" w:rsidP="00AA1B5D">
      <w:pPr>
        <w:spacing w:after="0"/>
        <w:contextualSpacing/>
        <w:jc w:val="center"/>
        <w:rPr>
          <w:sz w:val="36"/>
          <w:szCs w:val="36"/>
        </w:rPr>
      </w:pPr>
      <w:r w:rsidRPr="00447E37">
        <w:rPr>
          <w:sz w:val="36"/>
          <w:szCs w:val="36"/>
        </w:rPr>
        <w:t>Juvenile Justice Program</w:t>
      </w:r>
    </w:p>
    <w:p w14:paraId="2E45535B" w14:textId="2891184D" w:rsidR="00312317" w:rsidRPr="00447E37" w:rsidRDefault="00447E37" w:rsidP="00AA1B5D">
      <w:pPr>
        <w:spacing w:after="0"/>
        <w:contextualSpacing/>
        <w:jc w:val="center"/>
      </w:pPr>
      <w:r w:rsidRPr="00447E37">
        <w:rPr>
          <w:sz w:val="36"/>
          <w:szCs w:val="36"/>
        </w:rPr>
        <w:t>Racial and Ethnic Disparities Coordinator</w:t>
      </w:r>
    </w:p>
    <w:p w14:paraId="1ED4FC9D" w14:textId="6BEBDA97" w:rsidR="00312317" w:rsidRPr="00447E37" w:rsidRDefault="00312317" w:rsidP="00AA1B5D">
      <w:pPr>
        <w:contextualSpacing/>
        <w:jc w:val="left"/>
      </w:pPr>
    </w:p>
    <w:p w14:paraId="186BB36F" w14:textId="1C6D0FEA" w:rsidR="00312317" w:rsidRPr="00447E37" w:rsidRDefault="00312317" w:rsidP="00AA1B5D">
      <w:pPr>
        <w:contextualSpacing/>
        <w:rPr>
          <w:sz w:val="28"/>
          <w:szCs w:val="28"/>
        </w:rPr>
      </w:pPr>
      <w:r w:rsidRPr="00447E37">
        <w:rPr>
          <w:b/>
          <w:sz w:val="28"/>
          <w:szCs w:val="28"/>
        </w:rPr>
        <w:t>Issue Date:</w:t>
      </w:r>
      <w:r w:rsidRPr="00447E37">
        <w:rPr>
          <w:sz w:val="28"/>
          <w:szCs w:val="28"/>
        </w:rPr>
        <w:t xml:space="preserve"> </w:t>
      </w:r>
      <w:r w:rsidR="00447E37" w:rsidRPr="00447E37">
        <w:rPr>
          <w:sz w:val="28"/>
          <w:szCs w:val="28"/>
        </w:rPr>
        <w:t>March 1</w:t>
      </w:r>
      <w:r w:rsidR="00AF76DD">
        <w:rPr>
          <w:sz w:val="28"/>
          <w:szCs w:val="28"/>
        </w:rPr>
        <w:t>5</w:t>
      </w:r>
      <w:r w:rsidR="00447E37" w:rsidRPr="00447E37">
        <w:rPr>
          <w:sz w:val="28"/>
          <w:szCs w:val="28"/>
        </w:rPr>
        <w:t>, 2024</w:t>
      </w:r>
      <w:r w:rsidRPr="00447E37">
        <w:rPr>
          <w:sz w:val="28"/>
          <w:szCs w:val="28"/>
        </w:rPr>
        <w:tab/>
      </w:r>
      <w:r w:rsidRPr="00447E37">
        <w:rPr>
          <w:sz w:val="28"/>
          <w:szCs w:val="28"/>
        </w:rPr>
        <w:tab/>
      </w:r>
      <w:r w:rsidRPr="00447E37">
        <w:rPr>
          <w:sz w:val="28"/>
          <w:szCs w:val="28"/>
        </w:rPr>
        <w:tab/>
      </w:r>
      <w:r w:rsidRPr="00447E37">
        <w:rPr>
          <w:b/>
          <w:sz w:val="28"/>
          <w:szCs w:val="28"/>
        </w:rPr>
        <w:t>Proposal Due Date:</w:t>
      </w:r>
      <w:r w:rsidRPr="00447E37">
        <w:rPr>
          <w:sz w:val="28"/>
          <w:szCs w:val="28"/>
        </w:rPr>
        <w:t xml:space="preserve"> </w:t>
      </w:r>
      <w:r w:rsidR="00AF76DD">
        <w:rPr>
          <w:sz w:val="28"/>
          <w:szCs w:val="28"/>
        </w:rPr>
        <w:t>April 8</w:t>
      </w:r>
      <w:r w:rsidR="00447E37" w:rsidRPr="00447E37">
        <w:rPr>
          <w:sz w:val="28"/>
          <w:szCs w:val="28"/>
        </w:rPr>
        <w:t>, 2024</w:t>
      </w:r>
    </w:p>
    <w:p w14:paraId="20C0A697" w14:textId="77777777" w:rsidR="00AA1B5D" w:rsidRPr="00AA1B5D" w:rsidRDefault="00AA1B5D" w:rsidP="00AA1B5D">
      <w:pPr>
        <w:contextualSpacing/>
        <w:rPr>
          <w:sz w:val="28"/>
          <w:szCs w:val="28"/>
        </w:rPr>
      </w:pPr>
    </w:p>
    <w:p w14:paraId="69959ECA" w14:textId="53DED255" w:rsidR="00312317" w:rsidRDefault="00312317" w:rsidP="007B3A6C">
      <w:pPr>
        <w:contextualSpacing/>
        <w:rPr>
          <w:rFonts w:cs="Times New Roman"/>
        </w:rPr>
      </w:pPr>
      <w:r w:rsidRPr="007A2D90">
        <w:rPr>
          <w:rFonts w:cs="Times New Roman"/>
        </w:rPr>
        <w:t xml:space="preserve">The Alabama Department of </w:t>
      </w:r>
      <w:r w:rsidRPr="00447E37">
        <w:rPr>
          <w:rFonts w:cs="Times New Roman"/>
        </w:rPr>
        <w:t>Economic and Community Affairs (ADECA) is issuing a Request for Proposals (RFP) from interested parties</w:t>
      </w:r>
      <w:r w:rsidR="009B2D5F" w:rsidRPr="00447E37">
        <w:rPr>
          <w:rFonts w:cs="Times New Roman"/>
        </w:rPr>
        <w:t xml:space="preserve"> to serve as</w:t>
      </w:r>
      <w:r w:rsidRPr="00447E37">
        <w:rPr>
          <w:rFonts w:cs="Times New Roman"/>
        </w:rPr>
        <w:t xml:space="preserve"> </w:t>
      </w:r>
      <w:r w:rsidR="00447E37" w:rsidRPr="00447E37">
        <w:rPr>
          <w:rFonts w:cs="Times New Roman"/>
        </w:rPr>
        <w:t>Racial and Ethnic Disparities Coordinator</w:t>
      </w:r>
      <w:r w:rsidRPr="00447E37">
        <w:rPr>
          <w:rFonts w:cs="Times New Roman"/>
        </w:rPr>
        <w:t xml:space="preserve"> for the </w:t>
      </w:r>
      <w:r w:rsidR="00447E37" w:rsidRPr="00447E37">
        <w:rPr>
          <w:rFonts w:cs="Times New Roman"/>
        </w:rPr>
        <w:t>Juvenile Justice Program</w:t>
      </w:r>
      <w:r w:rsidR="00447E37" w:rsidRPr="00447E37">
        <w:t xml:space="preserve"> </w:t>
      </w:r>
      <w:r w:rsidR="00447E37">
        <w:t xml:space="preserve">in accordance with the </w:t>
      </w:r>
      <w:hyperlink r:id="rId9">
        <w:r w:rsidR="00447E37" w:rsidRPr="00BD7735">
          <w:rPr>
            <w:color w:val="0562C1"/>
            <w:u w:val="single" w:color="0562C1"/>
          </w:rPr>
          <w:t>Juvenile Justice and Delinquency</w:t>
        </w:r>
      </w:hyperlink>
      <w:r w:rsidR="00447E37" w:rsidRPr="00BD7735">
        <w:rPr>
          <w:color w:val="0562C1"/>
          <w:u w:val="single"/>
        </w:rPr>
        <w:t xml:space="preserve"> </w:t>
      </w:r>
      <w:hyperlink r:id="rId10">
        <w:r w:rsidR="00447E37" w:rsidRPr="00BD7735">
          <w:rPr>
            <w:color w:val="0562C1"/>
            <w:u w:val="single" w:color="0562C1"/>
          </w:rPr>
          <w:t>Prevention Act (JJDPA)</w:t>
        </w:r>
        <w:r w:rsidR="00447E37" w:rsidRPr="00BD7735">
          <w:rPr>
            <w:u w:val="single"/>
          </w:rPr>
          <w:t>,</w:t>
        </w:r>
      </w:hyperlink>
      <w:r w:rsidR="00447E37">
        <w:t xml:space="preserve"> including Section 223(a)(15)</w:t>
      </w:r>
      <w:r w:rsidRPr="00447E37">
        <w:rPr>
          <w:rFonts w:cs="Times New Roman"/>
        </w:rPr>
        <w:t xml:space="preserve">. </w:t>
      </w:r>
      <w:r w:rsidRPr="00DB153F">
        <w:rPr>
          <w:rFonts w:cs="Times New Roman"/>
        </w:rPr>
        <w:t>The term of the initial contract will not ex</w:t>
      </w:r>
      <w:r w:rsidRPr="00447E37">
        <w:rPr>
          <w:rFonts w:cs="Times New Roman"/>
        </w:rPr>
        <w:t xml:space="preserve">ceed </w:t>
      </w:r>
      <w:r w:rsidR="00447E37" w:rsidRPr="00447E37">
        <w:rPr>
          <w:rFonts w:cs="Times New Roman"/>
        </w:rPr>
        <w:t>twenty-four (24) months</w:t>
      </w:r>
      <w:r w:rsidRPr="00447E37">
        <w:rPr>
          <w:rFonts w:cs="Times New Roman"/>
        </w:rPr>
        <w:t xml:space="preserve"> </w:t>
      </w:r>
      <w:r w:rsidRPr="00DB153F">
        <w:rPr>
          <w:rFonts w:cs="Times New Roman"/>
        </w:rPr>
        <w:t>from the execution of the contract, when services are no longer required</w:t>
      </w:r>
      <w:r>
        <w:rPr>
          <w:rFonts w:cs="Times New Roman"/>
        </w:rPr>
        <w:t>,</w:t>
      </w:r>
      <w:r w:rsidRPr="00DB153F">
        <w:rPr>
          <w:rFonts w:cs="Times New Roman"/>
        </w:rPr>
        <w:t xml:space="preserve"> or </w:t>
      </w:r>
      <w:r>
        <w:rPr>
          <w:rFonts w:cs="Times New Roman"/>
        </w:rPr>
        <w:t xml:space="preserve">once </w:t>
      </w:r>
      <w:r w:rsidRPr="00291495">
        <w:rPr>
          <w:rFonts w:cs="Times New Roman"/>
        </w:rPr>
        <w:t>Federal</w:t>
      </w:r>
      <w:r w:rsidRPr="00312317">
        <w:rPr>
          <w:rFonts w:cs="Times New Roman"/>
          <w:color w:val="00B050"/>
        </w:rPr>
        <w:t xml:space="preserve"> </w:t>
      </w:r>
      <w:r w:rsidRPr="00DB153F">
        <w:rPr>
          <w:rFonts w:cs="Times New Roman"/>
        </w:rPr>
        <w:t>funding has been exhausted.</w:t>
      </w:r>
    </w:p>
    <w:p w14:paraId="045C4458" w14:textId="77777777" w:rsidR="00AA1B5D" w:rsidRDefault="00AA1B5D" w:rsidP="007B3A6C">
      <w:pPr>
        <w:contextualSpacing/>
        <w:rPr>
          <w:rFonts w:cs="Times New Roman"/>
        </w:rPr>
      </w:pPr>
    </w:p>
    <w:p w14:paraId="4965A4F3" w14:textId="7F9E1B81" w:rsidR="00AA1B5D" w:rsidRDefault="00312317" w:rsidP="007B3A6C">
      <w:pPr>
        <w:contextualSpacing/>
      </w:pPr>
      <w:r w:rsidRPr="00312317">
        <w:t xml:space="preserve">Issuance of this RFP in no way constitutes a commitment by ADECA to award a contract. The final terms of engagement will be set out in a contract between the selected Respondent and ADECA. Provisions of this RFP and the accepted proposal may be incorporated into the terms of the contract. The selected Respondent must be registered to do business with the State of Alabama through the STAARS Vendor Self Service (VSS). For more information, visit VSS at </w:t>
      </w:r>
      <w:hyperlink r:id="rId11" w:history="1">
        <w:r w:rsidRPr="00312317">
          <w:rPr>
            <w:rStyle w:val="Hyperlink"/>
          </w:rPr>
          <w:t>http://procurement.staars.alabama.gov</w:t>
        </w:r>
      </w:hyperlink>
      <w:r w:rsidRPr="00312317">
        <w:t>.</w:t>
      </w:r>
    </w:p>
    <w:p w14:paraId="4C28F9FA" w14:textId="2A0C2FFC" w:rsidR="00AA1B5D" w:rsidRDefault="00AA1B5D" w:rsidP="007B3A6C">
      <w:pPr>
        <w:pStyle w:val="Heading1"/>
        <w:contextualSpacing/>
      </w:pPr>
      <w:r>
        <w:t>Program Overview</w:t>
      </w:r>
    </w:p>
    <w:p w14:paraId="717D0C7B" w14:textId="06964E64" w:rsidR="00447E37" w:rsidRDefault="00447E37" w:rsidP="00447E37">
      <w:r>
        <w:t xml:space="preserve">ADECA is the state administering agency for Alabama’s participation in the Juvenile Justice and Delinquency Prevention Act. ADECA is therefore responsible for </w:t>
      </w:r>
      <w:r w:rsidR="00455B33">
        <w:t xml:space="preserve">confirming </w:t>
      </w:r>
      <w:r>
        <w:t>compliance with the core requirements of the Act, including reducing racial and ethnic disparities among justice-involved youth.</w:t>
      </w:r>
    </w:p>
    <w:p w14:paraId="2A585B5C" w14:textId="374D6910" w:rsidR="00447E37" w:rsidRPr="00447E37" w:rsidRDefault="00447E37" w:rsidP="00447E37">
      <w:r>
        <w:t>The selected Respondent(s) will be responsible for coordinating stakeholders at the State, local, and tribal levels to advise regarding efforts to reduce racial and ethnic disparities among justice-involved youth</w:t>
      </w:r>
      <w:r w:rsidR="00173541">
        <w:t xml:space="preserve">; </w:t>
      </w:r>
      <w:r w:rsidR="00173541" w:rsidRPr="00173541">
        <w:t xml:space="preserve">identifying and analyzing data on race and ethnicity at juvenile justice decision points to determine which points create racial and ethnic disparities among youth in contact with the juvenile justice system; and developing and implementing a work plan that </w:t>
      </w:r>
      <w:r w:rsidR="00173541" w:rsidRPr="00173541">
        <w:lastRenderedPageBreak/>
        <w:t>includes measurable objectives for policy, practice, or other system changes based on the needs identified in data collection and analysis.</w:t>
      </w:r>
    </w:p>
    <w:p w14:paraId="14D58C8A" w14:textId="142E5501" w:rsidR="00AA1B5D" w:rsidRDefault="00AA1B5D" w:rsidP="007B3A6C">
      <w:pPr>
        <w:pStyle w:val="Heading1"/>
        <w:contextualSpacing/>
      </w:pPr>
      <w:r>
        <w:t>Anticipated Scope of Work</w:t>
      </w:r>
    </w:p>
    <w:p w14:paraId="5AEA4318" w14:textId="66A72C08" w:rsidR="00173541" w:rsidRDefault="00173541" w:rsidP="00795D33">
      <w:r>
        <w:t xml:space="preserve">The essential responsibilities of the selected Respondent(s) </w:t>
      </w:r>
      <w:r w:rsidR="00795D33">
        <w:t xml:space="preserve">can be organized into </w:t>
      </w:r>
      <w:r w:rsidR="00FB345B">
        <w:t>five</w:t>
      </w:r>
      <w:r w:rsidR="00795D33">
        <w:t xml:space="preserve"> categories: general responsibilities</w:t>
      </w:r>
      <w:r w:rsidR="003560F1">
        <w:t>;</w:t>
      </w:r>
      <w:r w:rsidR="00795D33">
        <w:t xml:space="preserve"> State Racial and Ethnic Disparities Plan development and implementation</w:t>
      </w:r>
      <w:r w:rsidR="003560F1">
        <w:t>;</w:t>
      </w:r>
      <w:r w:rsidR="00795D33">
        <w:t xml:space="preserve"> training and technical assistance</w:t>
      </w:r>
      <w:r w:rsidR="003560F1">
        <w:t>;</w:t>
      </w:r>
      <w:r w:rsidR="00795D33">
        <w:t xml:space="preserve"> public education</w:t>
      </w:r>
      <w:r w:rsidR="003560F1">
        <w:t>, coordination, and outreach; and reporting.</w:t>
      </w:r>
      <w:r w:rsidR="00455B33">
        <w:t xml:space="preserve"> All work under the contract will be conducted with oversight from the Law Enforcement and Traffic Safety (LETS) Division of </w:t>
      </w:r>
      <w:r w:rsidR="00671A2F">
        <w:t>ADECA and</w:t>
      </w:r>
      <w:r w:rsidR="00455B33">
        <w:t xml:space="preserve"> will require ADECA approval.</w:t>
      </w:r>
    </w:p>
    <w:p w14:paraId="548245A2" w14:textId="11BB933F" w:rsidR="003560F1" w:rsidRDefault="00720009" w:rsidP="003560F1">
      <w:pPr>
        <w:pStyle w:val="ListParagraph"/>
        <w:numPr>
          <w:ilvl w:val="0"/>
          <w:numId w:val="20"/>
        </w:numPr>
        <w:spacing w:after="0"/>
        <w:contextualSpacing w:val="0"/>
      </w:pPr>
      <w:r>
        <w:t>The selected Respondent’s g</w:t>
      </w:r>
      <w:r w:rsidR="003560F1">
        <w:t>eneral responsibilities</w:t>
      </w:r>
      <w:r>
        <w:t xml:space="preserve"> will include:</w:t>
      </w:r>
    </w:p>
    <w:p w14:paraId="56969B3F" w14:textId="5AF05175" w:rsidR="00720009" w:rsidRDefault="00E83414" w:rsidP="00E83414">
      <w:pPr>
        <w:pStyle w:val="ListParagraph"/>
        <w:numPr>
          <w:ilvl w:val="1"/>
          <w:numId w:val="20"/>
        </w:numPr>
      </w:pPr>
      <w:r>
        <w:t>P</w:t>
      </w:r>
      <w:r w:rsidR="003560F1">
        <w:t>lan</w:t>
      </w:r>
      <w:r w:rsidR="00720009">
        <w:t>ning</w:t>
      </w:r>
      <w:r w:rsidR="003560F1">
        <w:t xml:space="preserve"> and coordinat</w:t>
      </w:r>
      <w:r w:rsidR="00720009">
        <w:t>ing</w:t>
      </w:r>
      <w:r w:rsidR="003560F1">
        <w:t xml:space="preserve"> meetings and provid</w:t>
      </w:r>
      <w:r w:rsidR="00720009">
        <w:t>ing</w:t>
      </w:r>
      <w:r w:rsidR="003560F1">
        <w:t xml:space="preserve"> logistic and administrative support for the Alabama State Advisory Group on Juvenile and Delinquency Prevention’s Racial and Ethnic Disparity subcommittee and the Juvenile Justice Specialist.</w:t>
      </w:r>
    </w:p>
    <w:p w14:paraId="485828B7" w14:textId="612FC105" w:rsidR="00720009" w:rsidRDefault="00720009" w:rsidP="00720009">
      <w:pPr>
        <w:pStyle w:val="ListParagraph"/>
        <w:numPr>
          <w:ilvl w:val="1"/>
          <w:numId w:val="20"/>
        </w:numPr>
      </w:pPr>
      <w:r>
        <w:t>P</w:t>
      </w:r>
      <w:r w:rsidR="003560F1">
        <w:t>rovid</w:t>
      </w:r>
      <w:r>
        <w:t>ing</w:t>
      </w:r>
      <w:r w:rsidR="003560F1">
        <w:t xml:space="preserve"> relevant national and local information and research to keep the subcommittee abreast of the latest trends, proposed plans, and recommendations in the field of juvenile justice.</w:t>
      </w:r>
    </w:p>
    <w:p w14:paraId="6DDD85CB" w14:textId="0934C249" w:rsidR="00720009" w:rsidRDefault="00720009" w:rsidP="00720009">
      <w:pPr>
        <w:pStyle w:val="ListParagraph"/>
        <w:numPr>
          <w:ilvl w:val="1"/>
          <w:numId w:val="20"/>
        </w:numPr>
      </w:pPr>
      <w:r>
        <w:t>W</w:t>
      </w:r>
      <w:r w:rsidR="00E83414">
        <w:t>ork</w:t>
      </w:r>
      <w:r>
        <w:t>ing</w:t>
      </w:r>
      <w:r w:rsidR="00E83414">
        <w:t xml:space="preserve"> with the Alabama State Advisory Group’s Racial and Ethnic Disparities subcommittee to identify specific local Racial and Ethnic Disparity target jurisdictions.</w:t>
      </w:r>
    </w:p>
    <w:p w14:paraId="4433BD70" w14:textId="5D3CBAB2" w:rsidR="00720009" w:rsidRDefault="00720009" w:rsidP="00720009">
      <w:pPr>
        <w:pStyle w:val="ListParagraph"/>
        <w:numPr>
          <w:ilvl w:val="1"/>
          <w:numId w:val="20"/>
        </w:numPr>
      </w:pPr>
      <w:r>
        <w:t>Providing regular updates to the Racial and Ethnic Disparities subcommittee and the Juvenile Justice Specialist.</w:t>
      </w:r>
    </w:p>
    <w:p w14:paraId="52DB2E64" w14:textId="2AC3A987" w:rsidR="00E83414" w:rsidRDefault="00720009" w:rsidP="00720009">
      <w:pPr>
        <w:pStyle w:val="ListParagraph"/>
        <w:numPr>
          <w:ilvl w:val="1"/>
          <w:numId w:val="20"/>
        </w:numPr>
      </w:pPr>
      <w:r>
        <w:t>R</w:t>
      </w:r>
      <w:r w:rsidR="00E83414">
        <w:t>eview</w:t>
      </w:r>
      <w:r>
        <w:t>ing</w:t>
      </w:r>
      <w:r w:rsidR="00E83414">
        <w:t xml:space="preserve"> grant applications, prepar</w:t>
      </w:r>
      <w:r>
        <w:t>ing</w:t>
      </w:r>
      <w:r w:rsidR="00E83414">
        <w:t xml:space="preserve"> staff analysis</w:t>
      </w:r>
      <w:r>
        <w:t>, and making funding recommendations to the Alabama State Advisory Group and its Racial and Ethnic Disparities subcommittee.</w:t>
      </w:r>
    </w:p>
    <w:p w14:paraId="21F65A37" w14:textId="55FDD816" w:rsidR="003560F1" w:rsidRDefault="00720009" w:rsidP="003560F1">
      <w:pPr>
        <w:pStyle w:val="ListParagraph"/>
        <w:numPr>
          <w:ilvl w:val="0"/>
          <w:numId w:val="20"/>
        </w:numPr>
        <w:spacing w:after="0"/>
        <w:contextualSpacing w:val="0"/>
      </w:pPr>
      <w:r>
        <w:t xml:space="preserve">The selected Respondent’s responsibilities relating to the </w:t>
      </w:r>
      <w:r w:rsidR="003560F1">
        <w:t>State Racial and Ethnic Disparities Plan</w:t>
      </w:r>
      <w:r w:rsidR="006E7151">
        <w:t xml:space="preserve"> will include</w:t>
      </w:r>
      <w:r>
        <w:t>:</w:t>
      </w:r>
    </w:p>
    <w:p w14:paraId="3CF7777C" w14:textId="165E4F1E" w:rsidR="00720009" w:rsidRDefault="00720009" w:rsidP="00720009">
      <w:pPr>
        <w:pStyle w:val="ListParagraph"/>
        <w:numPr>
          <w:ilvl w:val="1"/>
          <w:numId w:val="20"/>
        </w:numPr>
        <w:spacing w:after="0"/>
        <w:contextualSpacing w:val="0"/>
      </w:pPr>
      <w:r>
        <w:t>Identifying and analyzing data on race and ethnicity at decision points in State and local juvenile justice systems to determine which such points create racial and ethnic disparities among youth who come into contact with the juvenile justice system.</w:t>
      </w:r>
    </w:p>
    <w:p w14:paraId="3B0DED8B" w14:textId="5264707F" w:rsidR="00720009" w:rsidRDefault="00720009" w:rsidP="00720009">
      <w:pPr>
        <w:pStyle w:val="ListParagraph"/>
        <w:numPr>
          <w:ilvl w:val="1"/>
          <w:numId w:val="20"/>
        </w:numPr>
        <w:spacing w:after="0"/>
        <w:contextualSpacing w:val="0"/>
      </w:pPr>
      <w:r>
        <w:t xml:space="preserve">Working with the Racial and Ethnic Disparities subcommittee in the development and implementation of the State’s Racial and Ethnic Disparities Plan and its annual updates, which include measurable objectives for </w:t>
      </w:r>
      <w:r w:rsidR="00455B33">
        <w:t>policy</w:t>
      </w:r>
      <w:r>
        <w:t>, practice, or other system changes based on the needs identified in the data collection and analysis process.</w:t>
      </w:r>
    </w:p>
    <w:p w14:paraId="39EEEB5A" w14:textId="198EA683" w:rsidR="00720009" w:rsidRDefault="00720009" w:rsidP="00720009">
      <w:pPr>
        <w:pStyle w:val="ListParagraph"/>
        <w:numPr>
          <w:ilvl w:val="1"/>
          <w:numId w:val="20"/>
        </w:numPr>
        <w:spacing w:after="0"/>
        <w:contextualSpacing w:val="0"/>
      </w:pPr>
      <w:r>
        <w:t>Overseeing, coordinating, and monitoring the implementation of each step in the State’s Racial and Ethnic Disparities Plan in conjunction with the Racial and Ethnic Disparities subcommittee.</w:t>
      </w:r>
    </w:p>
    <w:p w14:paraId="10969FB2" w14:textId="26C57C6E" w:rsidR="00720009" w:rsidRDefault="00720009" w:rsidP="00720009">
      <w:pPr>
        <w:pStyle w:val="ListParagraph"/>
        <w:numPr>
          <w:ilvl w:val="1"/>
          <w:numId w:val="20"/>
        </w:numPr>
        <w:spacing w:after="0"/>
        <w:contextualSpacing w:val="0"/>
      </w:pPr>
      <w:r>
        <w:t>Advising on improving access to prevention, intervention, treatment, and aftercare services for minority youth.</w:t>
      </w:r>
    </w:p>
    <w:p w14:paraId="43996A99" w14:textId="0657B1B1" w:rsidR="003560F1" w:rsidRDefault="003560F1" w:rsidP="003560F1">
      <w:pPr>
        <w:pStyle w:val="ListParagraph"/>
        <w:numPr>
          <w:ilvl w:val="0"/>
          <w:numId w:val="20"/>
        </w:numPr>
        <w:spacing w:after="0"/>
        <w:contextualSpacing w:val="0"/>
      </w:pPr>
      <w:r>
        <w:lastRenderedPageBreak/>
        <w:t>T</w:t>
      </w:r>
      <w:r w:rsidR="006E7151">
        <w:t>he selected Respondent’s responsibilities related to t</w:t>
      </w:r>
      <w:r>
        <w:t>raining and technical assistance</w:t>
      </w:r>
      <w:r w:rsidR="006E7151">
        <w:t xml:space="preserve"> will include:</w:t>
      </w:r>
    </w:p>
    <w:p w14:paraId="4C4EBA26" w14:textId="1B695C4A" w:rsidR="006E7151" w:rsidRDefault="006E7151" w:rsidP="006E7151">
      <w:pPr>
        <w:pStyle w:val="ListParagraph"/>
        <w:numPr>
          <w:ilvl w:val="1"/>
          <w:numId w:val="20"/>
        </w:numPr>
        <w:spacing w:after="0"/>
        <w:contextualSpacing w:val="0"/>
      </w:pPr>
      <w:r>
        <w:t xml:space="preserve">Serving as the State’s representative on committees or projects related to </w:t>
      </w:r>
      <w:r w:rsidR="00EA0006">
        <w:t>r</w:t>
      </w:r>
      <w:r>
        <w:t xml:space="preserve">acial and </w:t>
      </w:r>
      <w:r w:rsidR="00EA0006">
        <w:t>e</w:t>
      </w:r>
      <w:r>
        <w:t xml:space="preserve">thnic </w:t>
      </w:r>
      <w:r w:rsidR="00EA0006">
        <w:t>d</w:t>
      </w:r>
      <w:r>
        <w:t>isparities by acting as a liaison; offering information, education, technical assistance, and support; and identifying problems and offering solutions.</w:t>
      </w:r>
    </w:p>
    <w:p w14:paraId="2DDD29F5" w14:textId="032D5056" w:rsidR="00EA0006" w:rsidRDefault="00EA0006" w:rsidP="006E7151">
      <w:pPr>
        <w:pStyle w:val="ListParagraph"/>
        <w:numPr>
          <w:ilvl w:val="1"/>
          <w:numId w:val="20"/>
        </w:numPr>
        <w:spacing w:after="0"/>
        <w:contextualSpacing w:val="0"/>
      </w:pPr>
      <w:r>
        <w:t>Providing technical assistance to encourage development, sound administration, and effective services for local programs addressing racial and ethnic disparities.</w:t>
      </w:r>
    </w:p>
    <w:p w14:paraId="4608F09F" w14:textId="5EEAEF58" w:rsidR="003560F1" w:rsidRDefault="003560F1" w:rsidP="003560F1">
      <w:pPr>
        <w:pStyle w:val="ListParagraph"/>
        <w:numPr>
          <w:ilvl w:val="0"/>
          <w:numId w:val="20"/>
        </w:numPr>
        <w:spacing w:after="0"/>
        <w:contextualSpacing w:val="0"/>
      </w:pPr>
      <w:r>
        <w:t>Public education, coordination, and outreach</w:t>
      </w:r>
    </w:p>
    <w:p w14:paraId="75ECDC35" w14:textId="348BB86D" w:rsidR="00EA0006" w:rsidRDefault="00E63738" w:rsidP="00EA0006">
      <w:pPr>
        <w:pStyle w:val="ListParagraph"/>
        <w:numPr>
          <w:ilvl w:val="1"/>
          <w:numId w:val="20"/>
        </w:numPr>
        <w:spacing w:after="0"/>
        <w:contextualSpacing w:val="0"/>
      </w:pPr>
      <w:r>
        <w:t xml:space="preserve">Creating annual and/or periodic reports in order to disseminate information on issues relating to racial and </w:t>
      </w:r>
      <w:r w:rsidRPr="00FA7F1D">
        <w:t>eth</w:t>
      </w:r>
      <w:r w:rsidR="00FA7F1D" w:rsidRPr="00FA7F1D">
        <w:t>n</w:t>
      </w:r>
      <w:r w:rsidRPr="00FA7F1D">
        <w:t>ic</w:t>
      </w:r>
      <w:r>
        <w:t xml:space="preserve"> disparities.</w:t>
      </w:r>
    </w:p>
    <w:p w14:paraId="6CD436B3" w14:textId="3D704B2E" w:rsidR="00FB345B" w:rsidRDefault="00FB345B" w:rsidP="00FB345B">
      <w:pPr>
        <w:pStyle w:val="ListParagraph"/>
        <w:numPr>
          <w:ilvl w:val="1"/>
          <w:numId w:val="20"/>
        </w:numPr>
        <w:spacing w:after="0"/>
        <w:contextualSpacing w:val="0"/>
      </w:pPr>
      <w:r>
        <w:t>Convening community groups, juvenile justice agencies, school personnel, funding entities, researchers, evaluators, and others to encourage cooperative strategies to address racial and ethnic disparities.</w:t>
      </w:r>
    </w:p>
    <w:p w14:paraId="1AD1733C" w14:textId="5FA3E148" w:rsidR="00FB345B" w:rsidRDefault="00FB345B" w:rsidP="00FB345B">
      <w:pPr>
        <w:pStyle w:val="ListParagraph"/>
        <w:numPr>
          <w:ilvl w:val="1"/>
          <w:numId w:val="20"/>
        </w:numPr>
        <w:spacing w:after="0"/>
        <w:contextualSpacing w:val="0"/>
      </w:pPr>
      <w:r>
        <w:t>In conjunction with the Racial and Ethnic Disparities subcommittee, coordinating the ongoing review and assessment of existing juvenile justice programs, policies, statutes, and funding mechanisms to ensure their activities are not detrimental to minority youth in the juvenile justice system.</w:t>
      </w:r>
    </w:p>
    <w:p w14:paraId="34D91101" w14:textId="12874575" w:rsidR="003560F1" w:rsidRDefault="003560F1" w:rsidP="003560F1">
      <w:pPr>
        <w:pStyle w:val="ListParagraph"/>
        <w:numPr>
          <w:ilvl w:val="0"/>
          <w:numId w:val="20"/>
        </w:numPr>
        <w:spacing w:after="0"/>
        <w:contextualSpacing w:val="0"/>
      </w:pPr>
      <w:r>
        <w:t>Reporting</w:t>
      </w:r>
    </w:p>
    <w:p w14:paraId="6A806135" w14:textId="4458B4E9" w:rsidR="00616EF9" w:rsidRDefault="00616EF9" w:rsidP="00616EF9">
      <w:pPr>
        <w:pStyle w:val="ListParagraph"/>
        <w:numPr>
          <w:ilvl w:val="1"/>
          <w:numId w:val="20"/>
        </w:numPr>
        <w:spacing w:after="0"/>
        <w:contextualSpacing w:val="0"/>
      </w:pPr>
      <w:r>
        <w:t>Submitting quarterly narrative progress reports for the respective quarter calendar (October – December; January – March; April – June; July – September) to ADECA.</w:t>
      </w:r>
    </w:p>
    <w:p w14:paraId="1A21233E" w14:textId="146ADBA9" w:rsidR="00616EF9" w:rsidRDefault="00616EF9" w:rsidP="00616EF9">
      <w:pPr>
        <w:pStyle w:val="ListParagraph"/>
        <w:numPr>
          <w:ilvl w:val="1"/>
          <w:numId w:val="20"/>
        </w:numPr>
        <w:contextualSpacing w:val="0"/>
      </w:pPr>
      <w:r>
        <w:t>Completing and submitting an annual Racial and Ethnic Disparity Report as mandated by the Office of Juvenile Justice and Delinquency Prevention.</w:t>
      </w:r>
    </w:p>
    <w:p w14:paraId="62799B90" w14:textId="4CA79A32" w:rsidR="00616EF9" w:rsidRDefault="00616EF9" w:rsidP="00616EF9">
      <w:r>
        <w:t>The selected Respondent will also attend national and regional training seminars and participate in conference calls, including those sponsored by the Office of Juvenile Justice and Delinquency Prevention, focusing on topics relating to racial and ethnic disparities in justice-involved youth.</w:t>
      </w:r>
    </w:p>
    <w:p w14:paraId="54D34D86" w14:textId="30B36004" w:rsidR="00BF0FB2" w:rsidRDefault="00BF0FB2" w:rsidP="00616EF9">
      <w:r>
        <w:t>The selected Respondent will prepare for and participate in the Office of Juvenile Justice and Delinquency Prevention’s Federal audits and site monitoring visits to Alabama, which are periodically conducted to verify the State’s compliance with the core requirements of the Juvenile Justice and Delinquency Prevention Act.</w:t>
      </w:r>
    </w:p>
    <w:p w14:paraId="6C775636" w14:textId="343C5D62" w:rsidR="00BF0FB2" w:rsidRPr="00173541" w:rsidRDefault="00BF0FB2" w:rsidP="00616EF9">
      <w:r>
        <w:t>The selected Respondent will be required to maintain and preserve in a secure status all documents that pertain to the State’s effort to reduce racial and ethnic disparities in justice-involved youth, and to  provide a copy of all documents to ADECA.</w:t>
      </w:r>
    </w:p>
    <w:p w14:paraId="45253521" w14:textId="28B52EC1" w:rsidR="00173541" w:rsidRDefault="00173541" w:rsidP="00173541">
      <w:pPr>
        <w:pStyle w:val="Heading1"/>
      </w:pPr>
      <w:r>
        <w:t>Eligibility</w:t>
      </w:r>
    </w:p>
    <w:p w14:paraId="49CF7B5A" w14:textId="72A67000" w:rsidR="00173541" w:rsidRDefault="00173541" w:rsidP="00173541">
      <w:r>
        <w:t>Eligible respondents include but are not limited to independent contractors, retired State employees, non-profit organizations, and colleges and universities.</w:t>
      </w:r>
    </w:p>
    <w:p w14:paraId="1D38B57D" w14:textId="2ED708AE" w:rsidR="00173541" w:rsidRDefault="00173541" w:rsidP="00173541">
      <w:r>
        <w:t>An eligible respondent should have all of the following qualifications:</w:t>
      </w:r>
    </w:p>
    <w:p w14:paraId="0A74D61A" w14:textId="51DC739F" w:rsidR="00173541" w:rsidRDefault="00173541" w:rsidP="00173541">
      <w:pPr>
        <w:pStyle w:val="ListParagraph"/>
        <w:numPr>
          <w:ilvl w:val="0"/>
          <w:numId w:val="13"/>
        </w:numPr>
      </w:pPr>
      <w:r>
        <w:lastRenderedPageBreak/>
        <w:t>A bachelor’s degree in a field related to human service, education, behavioral sciences, or law enforcement;</w:t>
      </w:r>
    </w:p>
    <w:p w14:paraId="114C6A90" w14:textId="688D2050" w:rsidR="00173541" w:rsidRDefault="00173541" w:rsidP="00173541">
      <w:pPr>
        <w:pStyle w:val="ListParagraph"/>
        <w:numPr>
          <w:ilvl w:val="0"/>
          <w:numId w:val="13"/>
        </w:numPr>
      </w:pPr>
      <w:r>
        <w:t>At least five years of experience working in the juvenile justice system and/or a field related to human services; and</w:t>
      </w:r>
    </w:p>
    <w:p w14:paraId="0E30FD9F" w14:textId="31BDC0DB" w:rsidR="00173541" w:rsidRDefault="00173541" w:rsidP="00173541">
      <w:pPr>
        <w:pStyle w:val="ListParagraph"/>
        <w:numPr>
          <w:ilvl w:val="0"/>
          <w:numId w:val="13"/>
        </w:numPr>
      </w:pPr>
      <w:r>
        <w:t>At least two years of experience as an administrator or supervisor.</w:t>
      </w:r>
    </w:p>
    <w:p w14:paraId="579C6DDE" w14:textId="19BEC1CB" w:rsidR="00173541" w:rsidRPr="00173541" w:rsidRDefault="00173541" w:rsidP="00173541">
      <w:r w:rsidRPr="00173541">
        <w:t xml:space="preserve">Respondents should be proficient in research, writing, planning, and organization, and </w:t>
      </w:r>
      <w:r>
        <w:t xml:space="preserve">should </w:t>
      </w:r>
      <w:r w:rsidRPr="00173541">
        <w:t>be able to coordinate with a diverse group of organizations and individuals. Respondents should be capable of working efficiently and independently with overall guidance and direction from the State Juvenile Justice Specialist and the Alabama State Advisory Group on Juvenile Justice Delinquency and Prevention.</w:t>
      </w:r>
    </w:p>
    <w:p w14:paraId="7AA3EC78" w14:textId="0772409B" w:rsidR="00AA1B5D" w:rsidRDefault="00AA1B5D" w:rsidP="007B3A6C">
      <w:pPr>
        <w:pStyle w:val="Heading1"/>
        <w:contextualSpacing/>
      </w:pPr>
      <w:r>
        <w:t>Submission Requirements</w:t>
      </w:r>
    </w:p>
    <w:p w14:paraId="4A4CCA19" w14:textId="6B3A5844" w:rsidR="00AA1B5D" w:rsidRDefault="00AA1B5D" w:rsidP="007B3A6C">
      <w:r>
        <w:t>In order to be considered complete, a proposal must contain the following:</w:t>
      </w:r>
    </w:p>
    <w:p w14:paraId="1158880A" w14:textId="68F54ABC" w:rsidR="00AA1B5D" w:rsidRDefault="00173541" w:rsidP="00173541">
      <w:pPr>
        <w:pStyle w:val="ListParagraph"/>
        <w:numPr>
          <w:ilvl w:val="0"/>
          <w:numId w:val="2"/>
        </w:numPr>
        <w:spacing w:after="0"/>
        <w:ind w:left="1080"/>
      </w:pPr>
      <w:r>
        <w:t>A cover letter detailing the Respondent’s relevant experience, understanding of the requirements of the Juvenile Justice and Delinquency Prevention Act, and eligibility as outlined in Section C;</w:t>
      </w:r>
    </w:p>
    <w:p w14:paraId="38D90683" w14:textId="7FD0EFC4" w:rsidR="00173541" w:rsidRDefault="00173541" w:rsidP="00173541">
      <w:pPr>
        <w:pStyle w:val="ListParagraph"/>
        <w:numPr>
          <w:ilvl w:val="0"/>
          <w:numId w:val="2"/>
        </w:numPr>
        <w:spacing w:after="0"/>
        <w:ind w:left="1080"/>
      </w:pPr>
      <w:r>
        <w:t>A document outlining the Respondent’s proposed methodology for fulfilling the requirements established in Section B;</w:t>
      </w:r>
    </w:p>
    <w:p w14:paraId="0D8B21DA" w14:textId="335A7345" w:rsidR="00173541" w:rsidRDefault="00173541" w:rsidP="00173541">
      <w:pPr>
        <w:pStyle w:val="ListParagraph"/>
        <w:numPr>
          <w:ilvl w:val="0"/>
          <w:numId w:val="2"/>
        </w:numPr>
        <w:spacing w:after="0"/>
        <w:ind w:left="1080"/>
      </w:pPr>
      <w:r>
        <w:t>A r</w:t>
      </w:r>
      <w:r>
        <w:rPr>
          <w:rFonts w:cs="Times New Roman"/>
        </w:rPr>
        <w:t>é</w:t>
      </w:r>
      <w:r>
        <w:t>sum</w:t>
      </w:r>
      <w:r>
        <w:rPr>
          <w:rFonts w:cs="Times New Roman"/>
        </w:rPr>
        <w:t>é</w:t>
      </w:r>
      <w:r>
        <w:t xml:space="preserve"> with at least three (3) references;</w:t>
      </w:r>
    </w:p>
    <w:p w14:paraId="3004EE04" w14:textId="78B142A2" w:rsidR="00173541" w:rsidRDefault="00173541" w:rsidP="00173541">
      <w:pPr>
        <w:pStyle w:val="ListParagraph"/>
        <w:numPr>
          <w:ilvl w:val="0"/>
          <w:numId w:val="2"/>
        </w:numPr>
        <w:spacing w:after="0"/>
        <w:ind w:left="1080"/>
      </w:pPr>
      <w:r>
        <w:t xml:space="preserve">A completed </w:t>
      </w:r>
      <w:r w:rsidR="00BF0FB2">
        <w:t xml:space="preserve">One-Year </w:t>
      </w:r>
      <w:r>
        <w:t xml:space="preserve">Budget </w:t>
      </w:r>
      <w:r w:rsidR="00BF0FB2">
        <w:t xml:space="preserve">Summary and Budget Detail </w:t>
      </w:r>
      <w:r>
        <w:t>Worksheet</w:t>
      </w:r>
      <w:r w:rsidR="00BF0FB2">
        <w:t>, which have been attached to this solicitation;</w:t>
      </w:r>
      <w:r>
        <w:t xml:space="preserve"> and</w:t>
      </w:r>
    </w:p>
    <w:p w14:paraId="663977A7" w14:textId="7877C9EA" w:rsidR="00173541" w:rsidRPr="00173541" w:rsidRDefault="00173541" w:rsidP="00BF0FB2">
      <w:pPr>
        <w:pStyle w:val="ListParagraph"/>
        <w:numPr>
          <w:ilvl w:val="0"/>
          <w:numId w:val="2"/>
        </w:numPr>
        <w:ind w:left="1080"/>
        <w:contextualSpacing w:val="0"/>
      </w:pPr>
      <w:r>
        <w:t xml:space="preserve">A State of Alabama Disclosure Statement, available on the Alabama Legislature’s website or at the following link: </w:t>
      </w:r>
      <w:hyperlink r:id="rId12" w:history="1">
        <w:r w:rsidR="00BF0FB2" w:rsidRPr="0062071B">
          <w:rPr>
            <w:rStyle w:val="Hyperlink"/>
          </w:rPr>
          <w:t>https://alison-file.legislature.state.al.us/pdfdocs/joint/contract_review/AL_Vendor_Disclosure_Statement.pdf</w:t>
        </w:r>
      </w:hyperlink>
      <w:r w:rsidR="00AA5463">
        <w:t>.</w:t>
      </w:r>
    </w:p>
    <w:p w14:paraId="31EE6D10" w14:textId="29FBE158" w:rsidR="007B3A6C" w:rsidRDefault="007B3A6C" w:rsidP="007B3A6C">
      <w:r>
        <w:t>Incomplete proposals will be disqualified and will not be considered for award. ADECA reserves the right to contact any Respondent for additional information and/or clarifications.</w:t>
      </w:r>
    </w:p>
    <w:p w14:paraId="0D2ABD5F" w14:textId="2B0F5E07" w:rsidR="00AA1B5D" w:rsidRDefault="00AA1B5D" w:rsidP="007B3A6C">
      <w:pPr>
        <w:pStyle w:val="Heading1"/>
      </w:pPr>
      <w:r>
        <w:t>Submittal Instructions</w:t>
      </w:r>
    </w:p>
    <w:p w14:paraId="0796F9BB" w14:textId="49DAD152" w:rsidR="00AA1B5D" w:rsidRDefault="00790F24" w:rsidP="007B3A6C">
      <w:r>
        <w:t xml:space="preserve">Proposals must be received </w:t>
      </w:r>
      <w:r w:rsidRPr="00AA5463">
        <w:t xml:space="preserve">before </w:t>
      </w:r>
      <w:r w:rsidR="00AA5463" w:rsidRPr="00AA5463">
        <w:t>3:00 PM</w:t>
      </w:r>
      <w:r w:rsidRPr="00AA5463">
        <w:t xml:space="preserve"> CST </w:t>
      </w:r>
      <w:r>
        <w:t xml:space="preserve">on </w:t>
      </w:r>
      <w:r w:rsidR="006F044B">
        <w:t>April 8</w:t>
      </w:r>
      <w:r w:rsidR="00AA5463">
        <w:t>, 2024</w:t>
      </w:r>
      <w:r>
        <w:t>. Any proposal received by ADECA after the stated time will</w:t>
      </w:r>
      <w:r w:rsidR="007B3A6C">
        <w:t xml:space="preserve"> be disqualified and will</w:t>
      </w:r>
      <w:r>
        <w:t xml:space="preserve"> not be considered</w:t>
      </w:r>
      <w:r w:rsidR="007B3A6C">
        <w:t xml:space="preserve"> for award</w:t>
      </w:r>
      <w:r>
        <w:t>. It is the Respondent’s responsibility to confirm that a proposal is received on time.</w:t>
      </w:r>
    </w:p>
    <w:p w14:paraId="6C2E7CD0" w14:textId="5E8DFBE3" w:rsidR="00790F24" w:rsidRDefault="00790F24" w:rsidP="007B3A6C">
      <w:r>
        <w:t>Proposals m</w:t>
      </w:r>
      <w:r w:rsidR="00AA5463">
        <w:t>ust</w:t>
      </w:r>
      <w:r>
        <w:t xml:space="preserve"> be </w:t>
      </w:r>
      <w:r w:rsidR="00AA5463">
        <w:t xml:space="preserve">submitted via email to </w:t>
      </w:r>
      <w:bookmarkStart w:id="0" w:name="_Hlk157696198"/>
      <w:r w:rsidR="00291495">
        <w:fldChar w:fldCharType="begin"/>
      </w:r>
      <w:r w:rsidR="00291495">
        <w:instrText>HYPERLINK "mailto:RFP@adeca.alabama.gov"</w:instrText>
      </w:r>
      <w:r w:rsidR="00291495">
        <w:fldChar w:fldCharType="separate"/>
      </w:r>
      <w:r w:rsidR="00AA5463" w:rsidRPr="009D0E28">
        <w:rPr>
          <w:rStyle w:val="Hyperlink"/>
        </w:rPr>
        <w:t>RFP@adeca.alabama.gov</w:t>
      </w:r>
      <w:r w:rsidR="00291495">
        <w:rPr>
          <w:rStyle w:val="Hyperlink"/>
        </w:rPr>
        <w:fldChar w:fldCharType="end"/>
      </w:r>
      <w:bookmarkEnd w:id="0"/>
      <w:r w:rsidR="00AA5463">
        <w:t xml:space="preserve"> with the subject line “Response to Title II Racial and Ethnic Disparities Coordinator RFP.” Proposals must be contained in a single PDF document.</w:t>
      </w:r>
    </w:p>
    <w:p w14:paraId="18D56788" w14:textId="5871CA34" w:rsidR="007B3A6C" w:rsidRDefault="007B3A6C" w:rsidP="007B3A6C">
      <w:r w:rsidRPr="007B3A6C">
        <w:t xml:space="preserve">Proposals may be modified or withdrawn prior to the deadline. In order to modify or withdraw a proposal, the </w:t>
      </w:r>
      <w:r>
        <w:t>R</w:t>
      </w:r>
      <w:r w:rsidRPr="007B3A6C">
        <w:t xml:space="preserve">espondent must submit the modification or the intent to withdraw in writing </w:t>
      </w:r>
      <w:r w:rsidR="00BD643C">
        <w:t xml:space="preserve">via email to </w:t>
      </w:r>
      <w:hyperlink r:id="rId13" w:history="1">
        <w:r w:rsidR="00BD643C" w:rsidRPr="009D0E28">
          <w:rPr>
            <w:rStyle w:val="Hyperlink"/>
          </w:rPr>
          <w:t>RFP@adeca.alabama.gov</w:t>
        </w:r>
      </w:hyperlink>
      <w:r w:rsidRPr="007B3A6C">
        <w:t>. Any modification or withdrawal received after the deadline will be considered late</w:t>
      </w:r>
      <w:r>
        <w:t xml:space="preserve"> and will not be considered.</w:t>
      </w:r>
    </w:p>
    <w:p w14:paraId="6FB5DF5C" w14:textId="4132296F" w:rsidR="002240C4" w:rsidRDefault="002240C4" w:rsidP="007B3A6C">
      <w:pPr>
        <w:pStyle w:val="Heading1"/>
      </w:pPr>
      <w:r>
        <w:lastRenderedPageBreak/>
        <w:t>Selection Criteria</w:t>
      </w:r>
    </w:p>
    <w:p w14:paraId="4CD3011D" w14:textId="702FFB8F" w:rsidR="007C738E" w:rsidRDefault="007C738E" w:rsidP="00B42AB3">
      <w:r>
        <w:t>All acceptable proposals submitted in response to this solicitation will be evaluated by LETS</w:t>
      </w:r>
      <w:r w:rsidR="00455B33">
        <w:t xml:space="preserve"> personnel</w:t>
      </w:r>
      <w:r>
        <w:t>, and a Respondent will be selected by the Director of ADECA based on this evaluation. The selected proposal will be the one that best meets the requirements set forth in this solicitation.</w:t>
      </w:r>
    </w:p>
    <w:p w14:paraId="3C6C65A9" w14:textId="5BB1F21A" w:rsidR="00B42AB3" w:rsidRDefault="007C738E" w:rsidP="00B42AB3">
      <w:r>
        <w:t>Proposals will be evaluated according to the following criteria, listed in descending order of importance:</w:t>
      </w:r>
    </w:p>
    <w:p w14:paraId="541E3F58" w14:textId="3426D28E" w:rsidR="007C738E" w:rsidRDefault="007C738E" w:rsidP="005413C0">
      <w:pPr>
        <w:pStyle w:val="ListParagraph"/>
        <w:numPr>
          <w:ilvl w:val="0"/>
          <w:numId w:val="16"/>
        </w:numPr>
        <w:ind w:left="1080"/>
      </w:pPr>
      <w:r>
        <w:t>Whether the proposal fulfills the requirements established in this solicitation.</w:t>
      </w:r>
    </w:p>
    <w:p w14:paraId="591BE4DD" w14:textId="4CEEB44F" w:rsidR="007C738E" w:rsidRDefault="007C738E" w:rsidP="005413C0">
      <w:pPr>
        <w:pStyle w:val="ListParagraph"/>
        <w:numPr>
          <w:ilvl w:val="0"/>
          <w:numId w:val="16"/>
        </w:numPr>
        <w:ind w:left="1080"/>
      </w:pPr>
      <w:r>
        <w:t>The Respondent’s knowledge and understanding of the requirements of the Juvenile Justice and Delinquency Prevention Act, as displayed in the cover letter and/or proposed methodology.</w:t>
      </w:r>
    </w:p>
    <w:p w14:paraId="3BEF21E7" w14:textId="759C8DFC" w:rsidR="007C738E" w:rsidRDefault="007C738E" w:rsidP="005413C0">
      <w:pPr>
        <w:pStyle w:val="ListParagraph"/>
        <w:numPr>
          <w:ilvl w:val="0"/>
          <w:numId w:val="16"/>
        </w:numPr>
        <w:ind w:left="1080"/>
      </w:pPr>
      <w:r>
        <w:t>The Respondent’s ability to perform the tasks required by the Scope of Work, as displayed in the cover letter and/or proposed methodology, including:</w:t>
      </w:r>
    </w:p>
    <w:p w14:paraId="41C096B9" w14:textId="0CDBF48C" w:rsidR="007C738E" w:rsidRDefault="007C738E" w:rsidP="005413C0">
      <w:pPr>
        <w:pStyle w:val="ListParagraph"/>
        <w:numPr>
          <w:ilvl w:val="1"/>
          <w:numId w:val="18"/>
        </w:numPr>
        <w:ind w:left="1440"/>
      </w:pPr>
      <w:r>
        <w:t>The Respondent’s ability to travel as required;</w:t>
      </w:r>
    </w:p>
    <w:p w14:paraId="5F48F9FB" w14:textId="77635AD7" w:rsidR="007C738E" w:rsidRDefault="007C738E" w:rsidP="005413C0">
      <w:pPr>
        <w:pStyle w:val="ListParagraph"/>
        <w:numPr>
          <w:ilvl w:val="1"/>
          <w:numId w:val="18"/>
        </w:numPr>
        <w:ind w:left="1440"/>
      </w:pPr>
      <w:r>
        <w:t>The Respondent’s ability to assemble required reports; and</w:t>
      </w:r>
    </w:p>
    <w:p w14:paraId="39A0D421" w14:textId="7FCC6A38" w:rsidR="007C738E" w:rsidRDefault="007C738E" w:rsidP="005413C0">
      <w:pPr>
        <w:pStyle w:val="ListParagraph"/>
        <w:numPr>
          <w:ilvl w:val="1"/>
          <w:numId w:val="18"/>
        </w:numPr>
        <w:ind w:left="1440"/>
      </w:pPr>
      <w:r>
        <w:t>The Respondent’s ability to compile training materials, engage/communicate with stakeholders, and provide technical assistance as needed or requested.</w:t>
      </w:r>
    </w:p>
    <w:p w14:paraId="0040D313" w14:textId="219F6F9A" w:rsidR="007C738E" w:rsidRPr="007C738E" w:rsidRDefault="007C738E" w:rsidP="005413C0">
      <w:pPr>
        <w:pStyle w:val="ListParagraph"/>
        <w:numPr>
          <w:ilvl w:val="0"/>
          <w:numId w:val="16"/>
        </w:numPr>
        <w:ind w:left="1080"/>
      </w:pPr>
      <w:r>
        <w:t>The Respondent’s relevant experience as displayed in the cover letter and r</w:t>
      </w:r>
      <w:r>
        <w:rPr>
          <w:rFonts w:cs="Times New Roman"/>
        </w:rPr>
        <w:t>ésumé.</w:t>
      </w:r>
    </w:p>
    <w:p w14:paraId="7C893218" w14:textId="5E59BEE2" w:rsidR="007C738E" w:rsidRPr="00F8294C" w:rsidRDefault="007C738E" w:rsidP="005413C0">
      <w:pPr>
        <w:pStyle w:val="ListParagraph"/>
        <w:numPr>
          <w:ilvl w:val="0"/>
          <w:numId w:val="16"/>
        </w:numPr>
        <w:ind w:left="1080"/>
      </w:pPr>
      <w:r>
        <w:rPr>
          <w:rFonts w:cs="Times New Roman"/>
        </w:rPr>
        <w:t xml:space="preserve">The appropriateness of the Respondent’s proposed methodology for fulfilling the requirements of the Juvenile Justice and Delinquency Prevention </w:t>
      </w:r>
      <w:r w:rsidRPr="00291495">
        <w:rPr>
          <w:rFonts w:cs="Times New Roman"/>
        </w:rPr>
        <w:t>Act</w:t>
      </w:r>
      <w:r w:rsidR="00F8294C" w:rsidRPr="00291495">
        <w:rPr>
          <w:rFonts w:cs="Times New Roman"/>
        </w:rPr>
        <w:t>.</w:t>
      </w:r>
    </w:p>
    <w:p w14:paraId="0388F293" w14:textId="565C3D75" w:rsidR="007C738E" w:rsidRPr="005413C0" w:rsidRDefault="007C738E" w:rsidP="005413C0">
      <w:pPr>
        <w:pStyle w:val="ListParagraph"/>
        <w:numPr>
          <w:ilvl w:val="0"/>
          <w:numId w:val="16"/>
        </w:numPr>
        <w:ind w:left="1080"/>
      </w:pPr>
      <w:r>
        <w:rPr>
          <w:rFonts w:cs="Times New Roman"/>
        </w:rPr>
        <w:t>Cost, as displayed in the Budget Summary Worksheet.</w:t>
      </w:r>
    </w:p>
    <w:p w14:paraId="2BAE89FF" w14:textId="534F9C8D" w:rsidR="005413C0" w:rsidRPr="00B42AB3" w:rsidRDefault="005413C0" w:rsidP="005413C0">
      <w:r>
        <w:t>Any or all responses</w:t>
      </w:r>
      <w:r w:rsidR="004F2623">
        <w:t xml:space="preserve"> to this solicitation may be rejected, in whole or in part, and/or the solicitation may be canceled if doing so is in the best interest of the State, as provided in Alabama Administrative Code </w:t>
      </w:r>
      <w:r w:rsidR="00BD643C">
        <w:t>Chapter</w:t>
      </w:r>
      <w:r w:rsidR="004F2623">
        <w:t xml:space="preserve"> 355-4-3-.0</w:t>
      </w:r>
      <w:r w:rsidR="00BD643C">
        <w:t>9</w:t>
      </w:r>
      <w:r w:rsidR="004F2623">
        <w:t>.</w:t>
      </w:r>
    </w:p>
    <w:p w14:paraId="29684263" w14:textId="3243D7AD" w:rsidR="007B3A6C" w:rsidRDefault="007B3A6C" w:rsidP="007B3A6C">
      <w:pPr>
        <w:pStyle w:val="Heading1"/>
      </w:pPr>
      <w:r>
        <w:t>Public Access to Information</w:t>
      </w:r>
    </w:p>
    <w:p w14:paraId="05B0A808" w14:textId="22F63536" w:rsidR="007B3A6C" w:rsidRDefault="007B3A6C" w:rsidP="007B3A6C">
      <w:r>
        <w:t xml:space="preserve">All proposals received become records of ADECA and will be open to inspection by the public after award unless exempt from disclosure under Alabama law or regulation.  </w:t>
      </w:r>
    </w:p>
    <w:p w14:paraId="652AE8DF" w14:textId="0AF81B73" w:rsidR="007B3A6C" w:rsidRDefault="007B3A6C" w:rsidP="007B3A6C">
      <w:r>
        <w:t xml:space="preserve">If the Respondent chooses to include Confidential Information, as defined by Alabama Administrative Code </w:t>
      </w:r>
      <w:r w:rsidR="00BD643C">
        <w:rPr>
          <w:rFonts w:cs="Times New Roman"/>
        </w:rPr>
        <w:t>Chapter</w:t>
      </w:r>
      <w:r w:rsidR="00BD643C">
        <w:t xml:space="preserve"> </w:t>
      </w:r>
      <w:r>
        <w:t>355-4-1-.03, the Respondent may designate the information as such and request that the information be exempt from disclosure. The Respondent must clearly designate the part of the response that contains Confidential Information in order to claim exemption from disclosure by submitting both an unredacted copy and a redacted copy of its proposal. Copies shall be clearly identified as either “Original Copy” or “Redacted Copy”.  Regardless of any markings or requests by the Respondent, ADECA may evaluate proposals to determine whether information should be considered as Confidential Information.  The decision as to whether such confidentiality is appropriate rests solely with ADECA.</w:t>
      </w:r>
    </w:p>
    <w:p w14:paraId="3FF6D525" w14:textId="0B3C855E" w:rsidR="007B3A6C" w:rsidRDefault="007B3A6C" w:rsidP="007B3A6C">
      <w:pPr>
        <w:pStyle w:val="Heading1"/>
      </w:pPr>
      <w:r>
        <w:lastRenderedPageBreak/>
        <w:t>Further Discussion</w:t>
      </w:r>
    </w:p>
    <w:p w14:paraId="318D44E9" w14:textId="6FD945A4" w:rsidR="001047BE" w:rsidRDefault="001047BE" w:rsidP="007B3A6C">
      <w:r>
        <w:t xml:space="preserve">Under Alabama Administrative Code </w:t>
      </w:r>
      <w:r w:rsidR="00BD643C">
        <w:rPr>
          <w:rFonts w:cs="Times New Roman"/>
        </w:rPr>
        <w:t xml:space="preserve">Chapter </w:t>
      </w:r>
      <w:r>
        <w:t xml:space="preserve">355-4-3-.03(9), ADECA may amend this RFP after its issuance. Any such amendment will be sent to all prospective Respondents known to have received the RFP within a reasonable time to allow prospective Respondents to consider it in preparing proposals. Any Respondent who receives an amendment to this RFP must acknowledge receipt of the amendment via </w:t>
      </w:r>
      <w:r w:rsidRPr="00291495">
        <w:t>email</w:t>
      </w:r>
      <w:r w:rsidR="0004187D">
        <w:rPr>
          <w:color w:val="00B050"/>
        </w:rPr>
        <w:t xml:space="preserve"> </w:t>
      </w:r>
      <w:r w:rsidR="0004187D" w:rsidRPr="00291495">
        <w:t xml:space="preserve">to </w:t>
      </w:r>
      <w:hyperlink r:id="rId14" w:history="1">
        <w:r w:rsidR="0004187D" w:rsidRPr="00CC6312">
          <w:rPr>
            <w:rStyle w:val="Hyperlink"/>
          </w:rPr>
          <w:t>buffy.smelley@adeca.alabama.gov</w:t>
        </w:r>
      </w:hyperlink>
      <w:r>
        <w:t>.</w:t>
      </w:r>
    </w:p>
    <w:p w14:paraId="12AD40AC" w14:textId="714ADCB8" w:rsidR="007B3A6C" w:rsidRDefault="007B3A6C" w:rsidP="004F2623">
      <w:r>
        <w:t>ADECA may conduct discussions with Respondents who submit proposals determined to be reasonably susceptible of being selected for award. The purpose of any such discussions will be to promote a better understanding of ADECA’s requirements and/or to facilitate arriving at a contract.</w:t>
      </w:r>
      <w:r w:rsidR="004F2623">
        <w:t xml:space="preserve"> </w:t>
      </w:r>
      <w:r>
        <w:t>A proposal may be selected for award without discussion between ADECA and a Respondent. Discussion between ADECA and a Respondent does not imply any increased likelihood of selection for award.</w:t>
      </w:r>
    </w:p>
    <w:p w14:paraId="5D5722FD" w14:textId="23B0E09C" w:rsidR="00116B72" w:rsidRPr="002E6D7D" w:rsidRDefault="00116B72" w:rsidP="007B3A6C">
      <w:r>
        <w:t xml:space="preserve">Questions pertaining to this RFP </w:t>
      </w:r>
      <w:r w:rsidR="00E03DEF">
        <w:t xml:space="preserve">may be </w:t>
      </w:r>
      <w:r w:rsidR="00E03DEF" w:rsidRPr="004F2623">
        <w:t xml:space="preserve">submitted to </w:t>
      </w:r>
      <w:r w:rsidR="004F2623" w:rsidRPr="004F2623">
        <w:t xml:space="preserve">Buffy Smelley, Juvenile Justice Specialist, </w:t>
      </w:r>
      <w:r w:rsidR="002E6D7D">
        <w:t xml:space="preserve">via email at </w:t>
      </w:r>
      <w:hyperlink r:id="rId15" w:history="1">
        <w:r w:rsidR="002E6D7D" w:rsidRPr="009D0E28">
          <w:rPr>
            <w:rStyle w:val="Hyperlink"/>
          </w:rPr>
          <w:t>buffy.smelley@adeca.alabama.gov</w:t>
        </w:r>
      </w:hyperlink>
      <w:r w:rsidR="002E6D7D">
        <w:t xml:space="preserve"> </w:t>
      </w:r>
      <w:r w:rsidR="00FD1C9C" w:rsidRPr="002E6D7D">
        <w:t xml:space="preserve">by </w:t>
      </w:r>
      <w:r w:rsidR="004F2623" w:rsidRPr="002E6D7D">
        <w:t>5:00 PM</w:t>
      </w:r>
      <w:r w:rsidR="00FD1C9C" w:rsidRPr="002E6D7D">
        <w:t xml:space="preserve"> </w:t>
      </w:r>
      <w:r w:rsidR="00FD5821" w:rsidRPr="002E6D7D">
        <w:t xml:space="preserve">CST </w:t>
      </w:r>
      <w:r w:rsidR="00FD1C9C" w:rsidRPr="002E6D7D">
        <w:t xml:space="preserve">on </w:t>
      </w:r>
      <w:r w:rsidR="004F2623" w:rsidRPr="002E6D7D">
        <w:t xml:space="preserve">March </w:t>
      </w:r>
      <w:r w:rsidR="006F044B">
        <w:t>2</w:t>
      </w:r>
      <w:r w:rsidR="004F2623" w:rsidRPr="002E6D7D">
        <w:t>5, 2024</w:t>
      </w:r>
      <w:r w:rsidR="00FD1C9C" w:rsidRPr="002E6D7D">
        <w:t>.</w:t>
      </w:r>
      <w:r w:rsidR="00302524" w:rsidRPr="002E6D7D">
        <w:t xml:space="preserve"> Responses to</w:t>
      </w:r>
      <w:r w:rsidR="00CF7113" w:rsidRPr="002E6D7D">
        <w:t xml:space="preserve"> questions will be posted</w:t>
      </w:r>
      <w:r w:rsidR="003B4784" w:rsidRPr="002E6D7D">
        <w:t xml:space="preserve"> publicly</w:t>
      </w:r>
      <w:r w:rsidR="00CF7113" w:rsidRPr="002E6D7D">
        <w:t xml:space="preserve"> to the </w:t>
      </w:r>
      <w:r w:rsidR="004F2623" w:rsidRPr="002E6D7D">
        <w:t xml:space="preserve">ADECA LETS </w:t>
      </w:r>
      <w:r w:rsidR="00CF7113" w:rsidRPr="002E6D7D">
        <w:t xml:space="preserve">website no later than 5:00 p.m. on </w:t>
      </w:r>
      <w:r w:rsidR="006F044B">
        <w:t>April 1</w:t>
      </w:r>
      <w:r w:rsidR="004F2623" w:rsidRPr="002E6D7D">
        <w:t>, 2024</w:t>
      </w:r>
      <w:r w:rsidR="00CF7113" w:rsidRPr="002E6D7D">
        <w:t>.</w:t>
      </w:r>
    </w:p>
    <w:p w14:paraId="7A0A2EC5" w14:textId="05AD2EA4" w:rsidR="002240C4" w:rsidRDefault="002240C4" w:rsidP="002240C4">
      <w:pPr>
        <w:pStyle w:val="Heading1"/>
      </w:pPr>
      <w:r>
        <w:t>Contract Terms</w:t>
      </w:r>
    </w:p>
    <w:p w14:paraId="70FA67D3" w14:textId="6712C524" w:rsidR="002240C4" w:rsidRDefault="002240C4" w:rsidP="002240C4">
      <w:r>
        <w:t>This solicitation is not a contract and does not create an obligation or a contractual relationship between ADECA and any respondent; such obligation shall commence only upon the execution of a contract by the parties and the approval of said contract by the Legislative Contract Review Oversight Committee and the Governor of the State of Alabama.</w:t>
      </w:r>
    </w:p>
    <w:p w14:paraId="5FE3097E" w14:textId="5621ED5D" w:rsidR="002240C4" w:rsidRDefault="002240C4" w:rsidP="002240C4">
      <w:r>
        <w:t>The following are terms expected to be included in any future contract between ADECA and the selected contractor. ADECA reserves the right to add terms and conditions to any final contract as necessary, within the scope of this solicitation.</w:t>
      </w:r>
    </w:p>
    <w:p w14:paraId="6E9BE937" w14:textId="02D5BD72" w:rsidR="002240C4" w:rsidRDefault="002240C4" w:rsidP="002240C4">
      <w:pPr>
        <w:pStyle w:val="Heading2"/>
      </w:pPr>
      <w:r w:rsidRPr="002240C4">
        <w:t>Required Post-Selection Submissions</w:t>
      </w:r>
    </w:p>
    <w:p w14:paraId="5CD17C14" w14:textId="09CF16BC" w:rsidR="002240C4" w:rsidRDefault="002240C4" w:rsidP="002240C4">
      <w:pPr>
        <w:ind w:left="720"/>
      </w:pPr>
      <w:r w:rsidRPr="002240C4">
        <w:t xml:space="preserve">In order the execute a contract, the selected </w:t>
      </w:r>
      <w:r>
        <w:t>Respondent</w:t>
      </w:r>
      <w:r w:rsidRPr="002240C4">
        <w:t xml:space="preserve"> will be required to submit the following items to ADECA:</w:t>
      </w:r>
    </w:p>
    <w:p w14:paraId="1986606E" w14:textId="0E001353" w:rsidR="002240C4" w:rsidRDefault="002240C4" w:rsidP="002240C4">
      <w:pPr>
        <w:pStyle w:val="ListParagraph"/>
        <w:numPr>
          <w:ilvl w:val="1"/>
          <w:numId w:val="3"/>
        </w:numPr>
      </w:pPr>
      <w:r>
        <w:t>Immigration Status Form;</w:t>
      </w:r>
    </w:p>
    <w:p w14:paraId="33F2151E" w14:textId="3B3C3188" w:rsidR="002240C4" w:rsidRDefault="002240C4" w:rsidP="002240C4">
      <w:pPr>
        <w:pStyle w:val="ListParagraph"/>
        <w:numPr>
          <w:ilvl w:val="1"/>
          <w:numId w:val="3"/>
        </w:numPr>
      </w:pPr>
      <w:r>
        <w:t>State of Alabama Disclosure Statement;</w:t>
      </w:r>
    </w:p>
    <w:p w14:paraId="0F4513CA" w14:textId="7D9E04D8" w:rsidR="002240C4" w:rsidRDefault="002240C4" w:rsidP="002240C4">
      <w:pPr>
        <w:pStyle w:val="ListParagraph"/>
        <w:numPr>
          <w:ilvl w:val="1"/>
          <w:numId w:val="3"/>
        </w:numPr>
      </w:pPr>
      <w:r>
        <w:t>E-Verify Program for Employment Verification Memorandum of Understanding;</w:t>
      </w:r>
    </w:p>
    <w:p w14:paraId="322CD1B3" w14:textId="1F462092" w:rsidR="002240C4" w:rsidRDefault="002240C4" w:rsidP="002240C4">
      <w:pPr>
        <w:pStyle w:val="ListParagraph"/>
        <w:numPr>
          <w:ilvl w:val="1"/>
          <w:numId w:val="3"/>
        </w:numPr>
      </w:pPr>
      <w:r w:rsidRPr="002240C4">
        <w:t>Certificate of Compliance with the Beason-Hammon Alabama Taxpayer and Citizen Protection Act; and</w:t>
      </w:r>
    </w:p>
    <w:p w14:paraId="605C4AFE" w14:textId="6B162E84" w:rsidR="002240C4" w:rsidRDefault="002240C4" w:rsidP="002240C4">
      <w:pPr>
        <w:pStyle w:val="ListParagraph"/>
        <w:numPr>
          <w:ilvl w:val="1"/>
          <w:numId w:val="3"/>
        </w:numPr>
      </w:pPr>
      <w:r>
        <w:t>W-9 Request for Taxpayer Number and Certification.</w:t>
      </w:r>
    </w:p>
    <w:p w14:paraId="76EF2AB4" w14:textId="09EE7394" w:rsidR="008933E9" w:rsidRDefault="002240C4" w:rsidP="00FA7F1D">
      <w:pPr>
        <w:spacing w:after="0"/>
        <w:ind w:left="720"/>
        <w:rPr>
          <w:bCs/>
        </w:rPr>
      </w:pPr>
      <w:r>
        <w:t>Blank</w:t>
      </w:r>
      <w:r w:rsidRPr="002240C4">
        <w:t xml:space="preserve"> templates for required submittals listed above can be found at the following link</w:t>
      </w:r>
      <w:r w:rsidR="008933E9">
        <w:rPr>
          <w:bCs/>
        </w:rPr>
        <w:t>s, as well as on the Alabama Legislature’s website</w:t>
      </w:r>
      <w:r w:rsidRPr="002240C4">
        <w:t>:</w:t>
      </w:r>
    </w:p>
    <w:p w14:paraId="4D0379E2" w14:textId="08B886F1" w:rsidR="002240C4" w:rsidRDefault="002240C4" w:rsidP="008933E9">
      <w:pPr>
        <w:pStyle w:val="ListParagraph"/>
        <w:numPr>
          <w:ilvl w:val="0"/>
          <w:numId w:val="23"/>
        </w:numPr>
        <w:rPr>
          <w:bCs/>
        </w:rPr>
      </w:pPr>
      <w:r w:rsidRPr="008933E9">
        <w:t xml:space="preserve"> </w:t>
      </w:r>
      <w:hyperlink r:id="rId16" w:history="1">
        <w:r w:rsidR="008933E9" w:rsidRPr="008933E9">
          <w:rPr>
            <w:rStyle w:val="Hyperlink"/>
          </w:rPr>
          <w:t>Immigration Status Form</w:t>
        </w:r>
      </w:hyperlink>
    </w:p>
    <w:p w14:paraId="3AC6C756" w14:textId="3F404F61" w:rsidR="008933E9" w:rsidRDefault="00120ADD" w:rsidP="008933E9">
      <w:pPr>
        <w:pStyle w:val="ListParagraph"/>
        <w:numPr>
          <w:ilvl w:val="0"/>
          <w:numId w:val="23"/>
        </w:numPr>
        <w:rPr>
          <w:bCs/>
        </w:rPr>
      </w:pPr>
      <w:hyperlink r:id="rId17" w:history="1">
        <w:r w:rsidR="008933E9" w:rsidRPr="008933E9">
          <w:rPr>
            <w:rStyle w:val="Hyperlink"/>
          </w:rPr>
          <w:t>State of Alabama Disclosure Statement</w:t>
        </w:r>
      </w:hyperlink>
    </w:p>
    <w:p w14:paraId="1B308B68" w14:textId="7DFBCDB3" w:rsidR="008933E9" w:rsidRPr="008933E9" w:rsidRDefault="00120ADD" w:rsidP="00FA7F1D">
      <w:pPr>
        <w:pStyle w:val="ListParagraph"/>
        <w:numPr>
          <w:ilvl w:val="0"/>
          <w:numId w:val="23"/>
        </w:numPr>
      </w:pPr>
      <w:hyperlink r:id="rId18" w:history="1">
        <w:r w:rsidR="008933E9" w:rsidRPr="008933E9">
          <w:rPr>
            <w:rStyle w:val="Hyperlink"/>
          </w:rPr>
          <w:t>Certificate of Compliance with the Beason-Hammon Taxpayer and Citizen Protection Act</w:t>
        </w:r>
      </w:hyperlink>
    </w:p>
    <w:p w14:paraId="4A8B40E0" w14:textId="359DB89D" w:rsidR="002240C4" w:rsidRDefault="002240C4" w:rsidP="002240C4">
      <w:pPr>
        <w:pStyle w:val="Heading2"/>
        <w:rPr>
          <w:bCs/>
        </w:rPr>
      </w:pPr>
      <w:r>
        <w:t>Terms of Contract and Acknowledgment</w:t>
      </w:r>
    </w:p>
    <w:p w14:paraId="7EC01F2C" w14:textId="0519D57D" w:rsidR="002240C4" w:rsidRDefault="002240C4" w:rsidP="002240C4">
      <w:pPr>
        <w:ind w:left="720"/>
      </w:pPr>
      <w:r w:rsidRPr="002240C4">
        <w:t xml:space="preserve">The contract is expected to take effect on or around </w:t>
      </w:r>
      <w:r w:rsidR="009725B0">
        <w:t>mid-July 2024</w:t>
      </w:r>
      <w:r w:rsidR="009725B0" w:rsidRPr="002240C4">
        <w:t xml:space="preserve"> </w:t>
      </w:r>
      <w:r w:rsidRPr="002240C4">
        <w:t xml:space="preserve">and is expected to expire on or around </w:t>
      </w:r>
      <w:r>
        <w:t>twenty-four (24) months</w:t>
      </w:r>
      <w:r w:rsidRPr="002240C4">
        <w:t xml:space="preserve"> after the effective date. The selected </w:t>
      </w:r>
      <w:r>
        <w:t>Respondent</w:t>
      </w:r>
      <w:r w:rsidRPr="002240C4">
        <w:t xml:space="preserve"> </w:t>
      </w:r>
      <w:r>
        <w:t xml:space="preserve">will </w:t>
      </w:r>
      <w:r w:rsidRPr="002240C4">
        <w:t xml:space="preserve">acknowledge that the contract is not effective until it has received all requisite state and government approvals, and </w:t>
      </w:r>
      <w:r>
        <w:t>t</w:t>
      </w:r>
      <w:r w:rsidRPr="002240C4">
        <w:t xml:space="preserve">he selected </w:t>
      </w:r>
      <w:r w:rsidR="00851175">
        <w:t>Respondent</w:t>
      </w:r>
      <w:r w:rsidRPr="002240C4">
        <w:t xml:space="preserve"> shall not begin performing work under the contract until notified to do so by ADECA. The selected </w:t>
      </w:r>
      <w:r w:rsidR="00851175">
        <w:t>Respondent will be</w:t>
      </w:r>
      <w:r w:rsidRPr="002240C4">
        <w:t xml:space="preserve"> entitled to no compensation for work performed prior to the effective date of the contract.</w:t>
      </w:r>
    </w:p>
    <w:p w14:paraId="014AE8B4" w14:textId="18F9D27C" w:rsidR="00851175" w:rsidRDefault="00851175" w:rsidP="00851175">
      <w:pPr>
        <w:pStyle w:val="Heading2"/>
      </w:pPr>
      <w:r>
        <w:t>Funding</w:t>
      </w:r>
    </w:p>
    <w:p w14:paraId="430CA122" w14:textId="0C8D106A" w:rsidR="00851175" w:rsidRPr="00851175" w:rsidRDefault="00851175" w:rsidP="00851175">
      <w:pPr>
        <w:ind w:left="720"/>
      </w:pPr>
      <w:r>
        <w:t>The total amount to be paid to the selected Respondent will be determined during the procurement process.</w:t>
      </w:r>
    </w:p>
    <w:p w14:paraId="17230F0C" w14:textId="3ECC3F7F" w:rsidR="002945AE" w:rsidRDefault="00851175" w:rsidP="002945AE">
      <w:pPr>
        <w:pStyle w:val="Heading2"/>
      </w:pPr>
      <w:r>
        <w:t>Method of Payment</w:t>
      </w:r>
    </w:p>
    <w:p w14:paraId="05C74D8D" w14:textId="0F056E66" w:rsidR="002945AE" w:rsidRDefault="002945AE" w:rsidP="002945AE">
      <w:pPr>
        <w:ind w:left="720"/>
      </w:pPr>
      <w:r w:rsidRPr="002945AE">
        <w:t>The selected Respondent shall be paid upon submission of invoices that set out professional services rendered and related expenses.</w:t>
      </w:r>
    </w:p>
    <w:p w14:paraId="0E3339A5" w14:textId="510A8D1A" w:rsidR="002945AE" w:rsidRPr="00A66CC1" w:rsidRDefault="002945AE" w:rsidP="00A66CC1">
      <w:pPr>
        <w:pStyle w:val="Heading2"/>
      </w:pPr>
      <w:r>
        <w:t>Contractor Not Entitled to Merit System Benefits</w:t>
      </w:r>
    </w:p>
    <w:p w14:paraId="52F5F312" w14:textId="3E612F7B" w:rsidR="00851175" w:rsidRPr="00851175" w:rsidRDefault="00851175" w:rsidP="00851175">
      <w:pPr>
        <w:ind w:left="720"/>
      </w:pPr>
      <w:r>
        <w:t xml:space="preserve">Under no circumstances shall the selected Respondent be </w:t>
      </w:r>
      <w:r w:rsidRPr="00291495">
        <w:t>entitle</w:t>
      </w:r>
      <w:r w:rsidR="009725B0" w:rsidRPr="009725B0">
        <w:t>d</w:t>
      </w:r>
      <w:r>
        <w:t xml:space="preserve"> to receive the benefits granted to State employees under the Merit System Act.</w:t>
      </w:r>
    </w:p>
    <w:p w14:paraId="189ED52F" w14:textId="13F0CD3F" w:rsidR="00851175" w:rsidRDefault="00851175" w:rsidP="00851175">
      <w:pPr>
        <w:pStyle w:val="Heading2"/>
      </w:pPr>
      <w:r>
        <w:t>Amendments</w:t>
      </w:r>
    </w:p>
    <w:p w14:paraId="17FE98A5" w14:textId="5E1CFFF8" w:rsidR="00851175" w:rsidRPr="00851175" w:rsidRDefault="00851175" w:rsidP="00851175">
      <w:pPr>
        <w:ind w:left="720"/>
      </w:pPr>
      <w:r>
        <w:t>Any and all requests for amendments and/or modifications to the contract must be submitted in writing to ADECA and approved by ADECA prior to implementation. Some modifications may require an amendment to the contract. Any changes to the contract award amount will require an amendment to the contract.</w:t>
      </w:r>
    </w:p>
    <w:p w14:paraId="49535E99" w14:textId="1994A656" w:rsidR="00851175" w:rsidRDefault="00851175" w:rsidP="00851175">
      <w:pPr>
        <w:pStyle w:val="Heading2"/>
      </w:pPr>
      <w:r>
        <w:t>Hearing on Appeal</w:t>
      </w:r>
    </w:p>
    <w:p w14:paraId="76BDF187" w14:textId="28879D79" w:rsidR="00851175" w:rsidRDefault="00851175" w:rsidP="00851175">
      <w:pPr>
        <w:ind w:left="720"/>
      </w:pPr>
      <w:r>
        <w:t xml:space="preserve">The selected Respondent shall have the right to appeal any determination to terminate the contract made by ADECA; however, if the selected Respondent fails to submit its appeal, in writing, within ten (10) calendar days </w:t>
      </w:r>
      <w:r w:rsidRPr="00851175">
        <w:t>from written notice of the termination and/or fail</w:t>
      </w:r>
      <w:r>
        <w:t>s</w:t>
      </w:r>
      <w:r w:rsidRPr="00851175">
        <w:t xml:space="preserve"> to request and receive approval from </w:t>
      </w:r>
      <w:r>
        <w:t>ADECA</w:t>
      </w:r>
      <w:r w:rsidRPr="00851175">
        <w:t xml:space="preserve"> for extension of such, then the </w:t>
      </w:r>
      <w:r>
        <w:t>selected Respondent</w:t>
      </w:r>
      <w:r w:rsidRPr="00851175">
        <w:t xml:space="preserve"> shall have no further right of appeal.</w:t>
      </w:r>
    </w:p>
    <w:p w14:paraId="75B0E759" w14:textId="788B3391" w:rsidR="00851175" w:rsidRPr="00851175" w:rsidRDefault="00851175" w:rsidP="00851175">
      <w:pPr>
        <w:ind w:left="720"/>
      </w:pPr>
      <w:r w:rsidRPr="00851175">
        <w:t xml:space="preserve">A hearing shall be conducted at </w:t>
      </w:r>
      <w:r>
        <w:t>ADECA’s</w:t>
      </w:r>
      <w:r w:rsidRPr="00851175">
        <w:t xml:space="preserve"> offices in Montgomery, Alabama, or any other appropriate location at </w:t>
      </w:r>
      <w:r>
        <w:t>ADECA’s</w:t>
      </w:r>
      <w:r w:rsidRPr="00851175">
        <w:t xml:space="preserve"> discretion, with a written notification of the time, place, and subject matter by </w:t>
      </w:r>
      <w:r>
        <w:t>ADECA</w:t>
      </w:r>
      <w:r w:rsidRPr="00851175">
        <w:t xml:space="preserve"> to the </w:t>
      </w:r>
      <w:r>
        <w:t>selected Respondent</w:t>
      </w:r>
      <w:r w:rsidRPr="00851175">
        <w:t>.</w:t>
      </w:r>
    </w:p>
    <w:p w14:paraId="09A91774" w14:textId="0F463931" w:rsidR="00851175" w:rsidRDefault="00851175" w:rsidP="00851175">
      <w:pPr>
        <w:pStyle w:val="Heading2"/>
      </w:pPr>
      <w:r>
        <w:lastRenderedPageBreak/>
        <w:t>Not to Constitute a Debt of the State</w:t>
      </w:r>
    </w:p>
    <w:p w14:paraId="140CB57D" w14:textId="04DEEF0A" w:rsidR="00851175" w:rsidRPr="00851175" w:rsidRDefault="00851175" w:rsidP="00851175">
      <w:pPr>
        <w:ind w:left="720"/>
      </w:pPr>
      <w:r>
        <w:t>The terms and commitments contained within any contract</w:t>
      </w:r>
      <w:r w:rsidR="000742AC">
        <w:t xml:space="preserve"> made with the selected Respondent </w:t>
      </w:r>
      <w:r w:rsidR="000742AC" w:rsidRPr="000742AC">
        <w:t xml:space="preserve">shall not be constituted as a debt of the State of Alabama in violation of </w:t>
      </w:r>
      <w:r w:rsidR="00A66CC1">
        <w:t>Ala. Const. art. XI, § 213</w:t>
      </w:r>
      <w:r w:rsidR="000742AC" w:rsidRPr="000742AC">
        <w:t>.</w:t>
      </w:r>
    </w:p>
    <w:p w14:paraId="059E1C76" w14:textId="735B10FD" w:rsidR="00851175" w:rsidRDefault="00851175" w:rsidP="00851175">
      <w:pPr>
        <w:pStyle w:val="Heading2"/>
      </w:pPr>
      <w:r>
        <w:t>Conflicting Provision</w:t>
      </w:r>
    </w:p>
    <w:p w14:paraId="07A7BF70" w14:textId="7522DBB7" w:rsidR="000742AC" w:rsidRPr="000742AC" w:rsidRDefault="000742AC" w:rsidP="000742AC">
      <w:pPr>
        <w:ind w:left="720"/>
      </w:pPr>
      <w:r w:rsidRPr="000742AC">
        <w:t>If any provision of th</w:t>
      </w:r>
      <w:r>
        <w:t>e</w:t>
      </w:r>
      <w:r w:rsidRPr="000742AC">
        <w:t xml:space="preserve"> </w:t>
      </w:r>
      <w:r>
        <w:t>c</w:t>
      </w:r>
      <w:r w:rsidRPr="000742AC">
        <w:t xml:space="preserve">ontract shall contravene any statute or Constitutional provision or amendment, either now in effect or which may during the course of </w:t>
      </w:r>
      <w:r>
        <w:t>the contract</w:t>
      </w:r>
      <w:r w:rsidRPr="000742AC">
        <w:t xml:space="preserve"> be enacted, then that conflicting provision in the </w:t>
      </w:r>
      <w:r>
        <w:t>c</w:t>
      </w:r>
      <w:r w:rsidRPr="000742AC">
        <w:t>ontract shall be deemed null and void.</w:t>
      </w:r>
    </w:p>
    <w:p w14:paraId="1E999536" w14:textId="5553F829" w:rsidR="00851175" w:rsidRDefault="00851175" w:rsidP="00851175">
      <w:pPr>
        <w:pStyle w:val="Heading2"/>
      </w:pPr>
      <w:r>
        <w:t>Immunity and Dispute Resolution</w:t>
      </w:r>
    </w:p>
    <w:p w14:paraId="11642054" w14:textId="70B940A4" w:rsidR="000742AC" w:rsidRDefault="000742AC" w:rsidP="000742AC">
      <w:pPr>
        <w:ind w:left="720"/>
      </w:pPr>
      <w:r>
        <w:t xml:space="preserve">The parties to the contract will </w:t>
      </w:r>
      <w:r w:rsidRPr="000742AC">
        <w:t xml:space="preserve">recognize and acknowledge that </w:t>
      </w:r>
      <w:r>
        <w:t>ADECA</w:t>
      </w:r>
      <w:r w:rsidRPr="000742AC">
        <w:t xml:space="preserve"> is an instrumentality of the State of Alabama and, as such, it is immune from suit pursuant to </w:t>
      </w:r>
      <w:r w:rsidR="00A66CC1" w:rsidRPr="00A66CC1">
        <w:t>Ala. Const. art.</w:t>
      </w:r>
      <w:r w:rsidR="00A66CC1">
        <w:t xml:space="preserve"> I, § 14</w:t>
      </w:r>
      <w:r w:rsidRPr="000742AC">
        <w:t xml:space="preserve">. It is further acknowledged and agreed that none of the provisions and conditions of </w:t>
      </w:r>
      <w:r>
        <w:t>the contract</w:t>
      </w:r>
      <w:r w:rsidRPr="000742AC">
        <w:t xml:space="preserve"> shall be deemed to be or construed to be a waiver by </w:t>
      </w:r>
      <w:r>
        <w:t>ADECA</w:t>
      </w:r>
      <w:r w:rsidRPr="000742AC">
        <w:t xml:space="preserve"> of such Constitutional Immunity.</w:t>
      </w:r>
    </w:p>
    <w:p w14:paraId="094E166D" w14:textId="54624718" w:rsidR="000742AC" w:rsidRDefault="000742AC" w:rsidP="000742AC">
      <w:pPr>
        <w:ind w:left="720"/>
      </w:pPr>
      <w:r w:rsidRPr="000742AC">
        <w:t>In the event of any dispute between the parties, senior officials of both parties shall meet and engage in a good faith attempt to resolve the dispute. Should that effort fail, and the dispute involves the payment of money, a party’s sole remedy is the filing of a claim with the Board of Adjustment of the State of Alabama.</w:t>
      </w:r>
    </w:p>
    <w:p w14:paraId="594E48A5" w14:textId="6B034DCB" w:rsidR="000742AC" w:rsidRPr="000742AC" w:rsidRDefault="000742AC" w:rsidP="000742AC">
      <w:pPr>
        <w:ind w:left="720"/>
      </w:pPr>
      <w:r w:rsidRPr="000742AC">
        <w:t xml:space="preserve">For any and all disputes arising under the terms of </w:t>
      </w:r>
      <w:r>
        <w:t>the contract</w:t>
      </w:r>
      <w:r w:rsidRPr="000742AC">
        <w:t xml:space="preserve"> which are not resolved by negotiation, the parties agree to utilize appropriate forms of non-binding alternative dispute resolution including, but not limited to, mediation. Such dispute resolution shall occur in Montgomery, Alabama, utilizing, where appropriate, mediators selected from the roster of mediators maintained by the Center for Dispute Resolution of the Alabama State Bar.</w:t>
      </w:r>
    </w:p>
    <w:p w14:paraId="6FD46042" w14:textId="78CC5E5A" w:rsidR="00851175" w:rsidRDefault="00851175" w:rsidP="00851175">
      <w:pPr>
        <w:pStyle w:val="Heading2"/>
      </w:pPr>
      <w:r>
        <w:t>Disclaimer</w:t>
      </w:r>
    </w:p>
    <w:p w14:paraId="534C9B67" w14:textId="1B8B5C9C" w:rsidR="000742AC" w:rsidRDefault="000742AC" w:rsidP="000742AC">
      <w:pPr>
        <w:ind w:left="720"/>
      </w:pPr>
      <w:r>
        <w:t>ADECA will</w:t>
      </w:r>
      <w:r w:rsidRPr="000742AC">
        <w:t xml:space="preserve"> specifically den</w:t>
      </w:r>
      <w:r>
        <w:t>y</w:t>
      </w:r>
      <w:r w:rsidRPr="000742AC">
        <w:t xml:space="preserve"> liability for any claim arising out of any act or omission by any person or agency receiving funds from </w:t>
      </w:r>
      <w:r>
        <w:t>ADECA</w:t>
      </w:r>
      <w:r w:rsidRPr="000742AC">
        <w:t xml:space="preserve"> whether by contract, grant, loan, or by any other means.</w:t>
      </w:r>
    </w:p>
    <w:p w14:paraId="4C6C8C5C" w14:textId="428CEA2C" w:rsidR="000742AC" w:rsidRPr="000742AC" w:rsidRDefault="000742AC" w:rsidP="000742AC">
      <w:pPr>
        <w:ind w:left="720"/>
      </w:pPr>
      <w:r w:rsidRPr="000742AC">
        <w:t xml:space="preserve">No subrecipient, contractor, or agency performing services under any agreement, contract, grant, or any other understanding, oral or written, other than an actual employee of </w:t>
      </w:r>
      <w:r>
        <w:t>ADECA</w:t>
      </w:r>
      <w:r w:rsidRPr="000742AC">
        <w:t xml:space="preserve">, shall be considered an agent or employee of the State of Alabama or </w:t>
      </w:r>
      <w:r>
        <w:t xml:space="preserve">ADECA </w:t>
      </w:r>
      <w:r w:rsidRPr="000742AC">
        <w:t xml:space="preserve">or any division thereof. The State of Alabama, </w:t>
      </w:r>
      <w:r>
        <w:t>ADECA</w:t>
      </w:r>
      <w:r w:rsidRPr="000742AC">
        <w:t>, and their agents and employees assume no liability to any subrecipient, contractor, or agency, or any third party, for any damages to property, both real and personal, or personal injuries, including death, arising out of or in any way connected with the acts or omissions of any subrecipient, contractor, or agency, or any other person.</w:t>
      </w:r>
    </w:p>
    <w:p w14:paraId="69BF95BB" w14:textId="3300800A" w:rsidR="00851175" w:rsidRDefault="00851175" w:rsidP="00851175">
      <w:pPr>
        <w:pStyle w:val="Heading2"/>
      </w:pPr>
      <w:r>
        <w:lastRenderedPageBreak/>
        <w:t>Access to Records</w:t>
      </w:r>
    </w:p>
    <w:p w14:paraId="353CC23F" w14:textId="506382BF" w:rsidR="000742AC" w:rsidRPr="000742AC" w:rsidRDefault="000742AC" w:rsidP="000742AC">
      <w:pPr>
        <w:ind w:left="720"/>
      </w:pPr>
      <w:r w:rsidRPr="000742AC">
        <w:t xml:space="preserve">The Director of </w:t>
      </w:r>
      <w:r>
        <w:t>ADECA</w:t>
      </w:r>
      <w:r w:rsidRPr="000742AC">
        <w:t xml:space="preserve">, the Comptroller General of the United States (if Federal funds), the Chief Examiner of Public Accounts, or any of their duly authorized representatives shall have the right of access to any pertinent books, documents, papers, and records of the </w:t>
      </w:r>
      <w:r>
        <w:t>selected Respondent</w:t>
      </w:r>
      <w:r w:rsidRPr="000742AC">
        <w:t xml:space="preserve"> for the purposes of making audits, financial reviews, examinations, excerpts and transcripts. This right also includes timely and reasonable access to personnel </w:t>
      </w:r>
      <w:r>
        <w:t xml:space="preserve">of the selected Respondent </w:t>
      </w:r>
      <w:r w:rsidRPr="000742AC">
        <w:t>for the purpose of interview and discussion related to such agreement. The right of access is not limited to the required retention period but shall last as long as the records are retained.</w:t>
      </w:r>
    </w:p>
    <w:p w14:paraId="19C8D0DF" w14:textId="149BB4BA" w:rsidR="00851175" w:rsidRDefault="00851175" w:rsidP="00851175">
      <w:pPr>
        <w:pStyle w:val="Heading2"/>
      </w:pPr>
      <w:r>
        <w:t>Assignability</w:t>
      </w:r>
    </w:p>
    <w:p w14:paraId="34710728" w14:textId="15EB52C9" w:rsidR="000742AC" w:rsidRPr="000742AC" w:rsidRDefault="000742AC" w:rsidP="000742AC">
      <w:pPr>
        <w:ind w:left="720"/>
      </w:pPr>
      <w:r w:rsidRPr="000742AC">
        <w:t xml:space="preserve">The </w:t>
      </w:r>
      <w:r>
        <w:t>selected Respondent</w:t>
      </w:r>
      <w:r w:rsidRPr="000742AC">
        <w:t xml:space="preserve"> shall not assign any interest in </w:t>
      </w:r>
      <w:r>
        <w:t>the contract</w:t>
      </w:r>
      <w:r w:rsidRPr="000742AC">
        <w:t xml:space="preserve"> and shall not transfer any interest in the same (whether by assignment or novation) without the prior written consent </w:t>
      </w:r>
      <w:r>
        <w:t>of ADECA</w:t>
      </w:r>
      <w:r w:rsidRPr="000742AC">
        <w:t xml:space="preserve"> thereto provided. However, that claims for money due, or to become due to the </w:t>
      </w:r>
      <w:r>
        <w:t>selected Respondent</w:t>
      </w:r>
      <w:r w:rsidRPr="000742AC">
        <w:t xml:space="preserve"> from </w:t>
      </w:r>
      <w:r>
        <w:t>ADECA</w:t>
      </w:r>
      <w:r w:rsidRPr="000742AC">
        <w:t xml:space="preserve"> under </w:t>
      </w:r>
      <w:r>
        <w:t>the contract</w:t>
      </w:r>
      <w:r w:rsidRPr="000742AC">
        <w:t xml:space="preserve"> may be assigned to a bank, a trust company, or other financial institution through a valid court order and without such approval. Notice of such assignment or transfer shall be furnished promptly to </w:t>
      </w:r>
      <w:r>
        <w:t>ADECA</w:t>
      </w:r>
      <w:r w:rsidRPr="000742AC">
        <w:t>.</w:t>
      </w:r>
    </w:p>
    <w:p w14:paraId="6913CF65" w14:textId="7FD399DF" w:rsidR="00851175" w:rsidRDefault="00851175" w:rsidP="00851175">
      <w:pPr>
        <w:pStyle w:val="Heading2"/>
      </w:pPr>
      <w:r>
        <w:t>Contingency Clause</w:t>
      </w:r>
    </w:p>
    <w:p w14:paraId="73C2EA55" w14:textId="22140E19" w:rsidR="000742AC" w:rsidRDefault="000742AC" w:rsidP="000742AC">
      <w:pPr>
        <w:ind w:left="720"/>
      </w:pPr>
      <w:r>
        <w:t xml:space="preserve">Any ADECA </w:t>
      </w:r>
      <w:r w:rsidRPr="000742AC">
        <w:t xml:space="preserve">commitment of funds </w:t>
      </w:r>
      <w:r>
        <w:t>made within the contract</w:t>
      </w:r>
      <w:r w:rsidRPr="000742AC">
        <w:t xml:space="preserve"> shall be contingent upon receipt and availability by </w:t>
      </w:r>
      <w:r>
        <w:t>ADECA</w:t>
      </w:r>
      <w:r w:rsidRPr="000742AC">
        <w:t xml:space="preserve"> of funds under the program for which </w:t>
      </w:r>
      <w:r>
        <w:t>the contract</w:t>
      </w:r>
      <w:r w:rsidRPr="000742AC">
        <w:t xml:space="preserve"> </w:t>
      </w:r>
      <w:r>
        <w:t>shall be</w:t>
      </w:r>
      <w:r w:rsidRPr="000742AC">
        <w:t xml:space="preserve"> made. If th</w:t>
      </w:r>
      <w:r>
        <w:t>e</w:t>
      </w:r>
      <w:r w:rsidRPr="000742AC">
        <w:t xml:space="preserve"> </w:t>
      </w:r>
      <w:r>
        <w:t>c</w:t>
      </w:r>
      <w:r w:rsidRPr="000742AC">
        <w:t xml:space="preserve">ontract involves Federal funds, the amount of the </w:t>
      </w:r>
      <w:r>
        <w:t>c</w:t>
      </w:r>
      <w:r w:rsidRPr="000742AC">
        <w:t>ontract will be adjusted by the amount of any Federal recessions and/or deferrals.</w:t>
      </w:r>
    </w:p>
    <w:p w14:paraId="766D90DF" w14:textId="48A1D931" w:rsidR="000742AC" w:rsidRPr="000742AC" w:rsidRDefault="000742AC" w:rsidP="000742AC">
      <w:pPr>
        <w:ind w:left="720"/>
      </w:pPr>
      <w:r w:rsidRPr="000742AC">
        <w:t xml:space="preserve">Payments made by </w:t>
      </w:r>
      <w:r>
        <w:t>ADECA</w:t>
      </w:r>
      <w:r w:rsidRPr="000742AC">
        <w:t xml:space="preserve"> under the terms of th</w:t>
      </w:r>
      <w:r>
        <w:t>e c</w:t>
      </w:r>
      <w:r w:rsidRPr="000742AC">
        <w:t xml:space="preserve">ontract shall not constitute final approval of documents submitted by the </w:t>
      </w:r>
      <w:r>
        <w:t>selected Respondent</w:t>
      </w:r>
      <w:r w:rsidRPr="000742AC">
        <w:t xml:space="preserve"> or of procedures used in formulated requests for payment to the </w:t>
      </w:r>
      <w:r>
        <w:t>selected Respondent</w:t>
      </w:r>
      <w:r w:rsidRPr="000742AC">
        <w:t>. Funds appropriated and obliged to th</w:t>
      </w:r>
      <w:r>
        <w:t>e</w:t>
      </w:r>
      <w:r w:rsidRPr="000742AC">
        <w:t xml:space="preserve"> award </w:t>
      </w:r>
      <w:r>
        <w:t>will be</w:t>
      </w:r>
      <w:r w:rsidRPr="000742AC">
        <w:t xml:space="preserve"> available for reimbursement of costs until the end of the performance period set forth in the </w:t>
      </w:r>
      <w:r>
        <w:t>c</w:t>
      </w:r>
      <w:r w:rsidRPr="000742AC">
        <w:t>ontract.</w:t>
      </w:r>
    </w:p>
    <w:p w14:paraId="25976767" w14:textId="04160DE9" w:rsidR="00851175" w:rsidRDefault="00851175" w:rsidP="00851175">
      <w:pPr>
        <w:pStyle w:val="Heading2"/>
      </w:pPr>
      <w:r>
        <w:t>Conflict of Interest</w:t>
      </w:r>
    </w:p>
    <w:p w14:paraId="5D2066B4" w14:textId="601F05A8" w:rsidR="000742AC" w:rsidRPr="000742AC" w:rsidRDefault="000742AC" w:rsidP="000742AC">
      <w:pPr>
        <w:ind w:left="720"/>
      </w:pPr>
      <w:r w:rsidRPr="000742AC">
        <w:t xml:space="preserve">A conflict of interest, real or apparent, will arise when any of the following has a financial or other interest in the firm or organization selected for an award: (1) the individual, (2) any member of the individual’s immediate family, (3) the individual’s partner, or (4) an organization which employs, or is about to employ any of the above. The </w:t>
      </w:r>
      <w:r>
        <w:t>selected Respondent will</w:t>
      </w:r>
      <w:r w:rsidRPr="000742AC">
        <w:t xml:space="preserve"> certif</w:t>
      </w:r>
      <w:r>
        <w:t>y</w:t>
      </w:r>
      <w:r w:rsidRPr="000742AC">
        <w:t xml:space="preserve"> by signing th</w:t>
      </w:r>
      <w:r>
        <w:t>e c</w:t>
      </w:r>
      <w:r w:rsidRPr="000742AC">
        <w:t xml:space="preserve">ontract that no person under its employ or control who presently performs functions, duties, or responsibilities in connection with </w:t>
      </w:r>
      <w:r>
        <w:t xml:space="preserve">ADECA </w:t>
      </w:r>
      <w:r w:rsidRPr="000742AC">
        <w:t>of grant-funded projects or programs has any personal and/or financial interest, direct or indirect, in th</w:t>
      </w:r>
      <w:r>
        <w:t>e c</w:t>
      </w:r>
      <w:r w:rsidRPr="000742AC">
        <w:t xml:space="preserve">ontract nor will the </w:t>
      </w:r>
      <w:r>
        <w:t>selected Respondent</w:t>
      </w:r>
      <w:r w:rsidRPr="000742AC">
        <w:t xml:space="preserve"> hire any person having such conflicting interest. The </w:t>
      </w:r>
      <w:r>
        <w:t>selected Respondent will</w:t>
      </w:r>
      <w:r w:rsidRPr="000742AC">
        <w:t xml:space="preserve"> further certif</w:t>
      </w:r>
      <w:r>
        <w:t>y</w:t>
      </w:r>
      <w:r w:rsidRPr="000742AC">
        <w:t xml:space="preserve"> that it will maintain a written code of standards governing the performance of persons engaged in the award and administration of contracts and subgrants.</w:t>
      </w:r>
    </w:p>
    <w:p w14:paraId="6CD7FB22" w14:textId="560CE461" w:rsidR="004500C6" w:rsidRDefault="004500C6" w:rsidP="00851175">
      <w:pPr>
        <w:pStyle w:val="Heading2"/>
      </w:pPr>
      <w:r>
        <w:lastRenderedPageBreak/>
        <w:t>Indirect Cost</w:t>
      </w:r>
    </w:p>
    <w:p w14:paraId="11F3D2AA" w14:textId="557171CA" w:rsidR="004500C6" w:rsidRPr="004500C6" w:rsidRDefault="004500C6" w:rsidP="00FA7F1D">
      <w:pPr>
        <w:ind w:left="720"/>
      </w:pPr>
      <w:r w:rsidRPr="004500C6">
        <w:t xml:space="preserve">In accordance with 2 C.F.R. § 200.332(a)(4) and § 200.414, Subrecipients of Federal awards may charge indirect costs to the award unless statutorily prohibited by the Federal program and in accordance with any applicable administrative caps on Federal funding.  ADECA will accept a Federally negotiated indirect cost rate. If no approved rate exists, ADECA will collaborate with the </w:t>
      </w:r>
      <w:r>
        <w:t>selected Respondent</w:t>
      </w:r>
      <w:r w:rsidRPr="004500C6">
        <w:t xml:space="preserve"> to determine an appropriate rate. This rate will be either a negotiated rate, which can be based on a prior negotiated rate between a different pass-through entity and the same Subrecipient, or the 10% de minimis rate of the modified total direct cost as defined in 2 C.F.R. § 200.1. If basing the rate on a previously negotiated rate, ADECA is not required to collect information justifying this rate but may elect to do so. Subrecipients can allocate and charge direct costs through cost allocation. However, in accordance with 2 C.F.R. § 200.403, costs must be consistently charged as either indirect or direct costs but not charged as both or inconsistently charged to the Federal award. Once chosen, the method must be used consistently for all Federal awards until such time as a negotiated rate is approved by the Subrecipients’ Federal cognizant agency.</w:t>
      </w:r>
    </w:p>
    <w:p w14:paraId="71C79407" w14:textId="312ED617" w:rsidR="00851175" w:rsidRDefault="00851175" w:rsidP="00851175">
      <w:pPr>
        <w:pStyle w:val="Heading2"/>
      </w:pPr>
      <w:r>
        <w:t>Audit Requirements</w:t>
      </w:r>
    </w:p>
    <w:p w14:paraId="41209CC8" w14:textId="6F1D768C" w:rsidR="000742AC" w:rsidRDefault="000742AC" w:rsidP="000742AC">
      <w:pPr>
        <w:ind w:left="720"/>
      </w:pPr>
      <w:r w:rsidRPr="000742AC">
        <w:t xml:space="preserve">All </w:t>
      </w:r>
      <w:r>
        <w:t>s</w:t>
      </w:r>
      <w:r w:rsidRPr="000742AC">
        <w:t xml:space="preserve">ubrecipients of Federal funds must follow the </w:t>
      </w:r>
      <w:r>
        <w:t>a</w:t>
      </w:r>
      <w:r w:rsidRPr="000742AC">
        <w:t xml:space="preserve">udit requirements identified in the Office of Management and Budget Uniform Administrative Requirements, 2 CFR Part 200, Subpart F. Additionally, if any </w:t>
      </w:r>
      <w:r>
        <w:t>s</w:t>
      </w:r>
      <w:r w:rsidRPr="000742AC">
        <w:t xml:space="preserve">ubrecipient receives more than $500,000.00 collectively in State General Fund appropriations in their fiscal year from the Department, they must have an audit in accordance with </w:t>
      </w:r>
      <w:r w:rsidRPr="000742AC">
        <w:rPr>
          <w:u w:val="single"/>
        </w:rPr>
        <w:t>Government Auditing Standards</w:t>
      </w:r>
      <w:r w:rsidRPr="000742AC">
        <w:t xml:space="preserve"> (the Yellow Book) and Generally Accepted Auditing Standards established by the AICPA.</w:t>
      </w:r>
    </w:p>
    <w:p w14:paraId="5859BAB7" w14:textId="39E4BC9C" w:rsidR="000742AC" w:rsidRDefault="000742AC" w:rsidP="000742AC">
      <w:pPr>
        <w:ind w:left="720"/>
      </w:pPr>
      <w:r w:rsidRPr="000742AC">
        <w:t xml:space="preserve">Nothing contained in the </w:t>
      </w:r>
      <w:r>
        <w:t>co</w:t>
      </w:r>
      <w:r w:rsidRPr="000742AC">
        <w:t xml:space="preserve">ntract shall be construed to mean that </w:t>
      </w:r>
      <w:r>
        <w:t>ADECA</w:t>
      </w:r>
      <w:r w:rsidRPr="000742AC">
        <w:t xml:space="preserve"> cannot utilize its auditors regarding limited scope audits of various </w:t>
      </w:r>
      <w:r>
        <w:t>ADECA</w:t>
      </w:r>
      <w:r w:rsidRPr="000742AC">
        <w:t xml:space="preserve"> funds. Audits of this nature shall be planned and carried out in such a way as to avoid duplication or not exceed the audit coverage limits as stated in the Uniform Administrative Requirements.</w:t>
      </w:r>
    </w:p>
    <w:p w14:paraId="17247F78" w14:textId="5ED0C9F5" w:rsidR="000742AC" w:rsidRDefault="000742AC" w:rsidP="000742AC">
      <w:pPr>
        <w:ind w:left="720"/>
      </w:pPr>
      <w:r>
        <w:t>Copies of all required audits must be submitted to</w:t>
      </w:r>
      <w:r w:rsidR="0042595C" w:rsidRPr="0042595C">
        <w:t xml:space="preserve"> </w:t>
      </w:r>
      <w:r w:rsidR="0042595C">
        <w:t>the following mailing address or emailed to audit@adeca.alabama.gov</w:t>
      </w:r>
      <w:r>
        <w:t>:</w:t>
      </w:r>
    </w:p>
    <w:p w14:paraId="58DEEF6B" w14:textId="3D7B733C" w:rsidR="000742AC" w:rsidRDefault="000742AC" w:rsidP="000742AC">
      <w:pPr>
        <w:spacing w:after="0"/>
        <w:ind w:left="1080"/>
      </w:pPr>
      <w:r w:rsidRPr="000742AC">
        <w:t>Alabama Department of Economic and Community Affairs</w:t>
      </w:r>
    </w:p>
    <w:p w14:paraId="440088AF" w14:textId="77B86C74" w:rsidR="000742AC" w:rsidRDefault="000742AC" w:rsidP="000742AC">
      <w:pPr>
        <w:spacing w:after="0"/>
        <w:ind w:left="1080"/>
      </w:pPr>
      <w:r w:rsidRPr="000742AC">
        <w:t>ATTENTION: Audit Section</w:t>
      </w:r>
    </w:p>
    <w:p w14:paraId="7925A17D" w14:textId="45D04AD9" w:rsidR="000742AC" w:rsidRDefault="000742AC" w:rsidP="000742AC">
      <w:pPr>
        <w:spacing w:after="0"/>
        <w:ind w:left="1080"/>
      </w:pPr>
      <w:r w:rsidRPr="000742AC">
        <w:t>P.O. Box 5690</w:t>
      </w:r>
    </w:p>
    <w:p w14:paraId="62D44B62" w14:textId="159F90D9" w:rsidR="000742AC" w:rsidRDefault="000742AC" w:rsidP="000742AC">
      <w:pPr>
        <w:ind w:left="1080"/>
      </w:pPr>
      <w:r w:rsidRPr="000742AC">
        <w:t>Montgomery, Alabama 36103-5690</w:t>
      </w:r>
    </w:p>
    <w:p w14:paraId="286A7BE0" w14:textId="24BBE465" w:rsidR="000742AC" w:rsidRDefault="0042595C" w:rsidP="000742AC">
      <w:pPr>
        <w:ind w:left="720"/>
      </w:pPr>
      <w:r>
        <w:t>An additional copy of all required audits must be submitted to the following mailing address:</w:t>
      </w:r>
    </w:p>
    <w:p w14:paraId="5735CA76" w14:textId="08728B86" w:rsidR="0042595C" w:rsidRDefault="0042595C" w:rsidP="0042595C">
      <w:pPr>
        <w:spacing w:after="0"/>
        <w:ind w:left="1080"/>
      </w:pPr>
      <w:r w:rsidRPr="0042595C">
        <w:t>Alabama Department of Examiners of Public Accounts</w:t>
      </w:r>
    </w:p>
    <w:p w14:paraId="2D5F3626" w14:textId="17325393" w:rsidR="0042595C" w:rsidRDefault="0042595C" w:rsidP="0042595C">
      <w:pPr>
        <w:spacing w:after="0"/>
        <w:ind w:left="1080"/>
      </w:pPr>
      <w:r w:rsidRPr="0042595C">
        <w:t>ATTENTION: Audit Report Repository</w:t>
      </w:r>
    </w:p>
    <w:p w14:paraId="00BCF00B" w14:textId="6AA2C52D" w:rsidR="0042595C" w:rsidRDefault="0042595C" w:rsidP="0042595C">
      <w:pPr>
        <w:spacing w:after="0"/>
        <w:ind w:left="1080"/>
      </w:pPr>
      <w:r w:rsidRPr="0042595C">
        <w:t>P.O. Box 302251</w:t>
      </w:r>
    </w:p>
    <w:p w14:paraId="01733F72" w14:textId="69FCCE39" w:rsidR="0042595C" w:rsidRDefault="0042595C" w:rsidP="0042595C">
      <w:pPr>
        <w:ind w:left="1080"/>
      </w:pPr>
      <w:r w:rsidRPr="0042595C">
        <w:lastRenderedPageBreak/>
        <w:t>Montgomery, Alabama 36130-2251</w:t>
      </w:r>
    </w:p>
    <w:p w14:paraId="22805BE4" w14:textId="5CCE9F84" w:rsidR="0042595C" w:rsidRPr="000742AC" w:rsidRDefault="0042595C" w:rsidP="000742AC">
      <w:pPr>
        <w:ind w:left="720"/>
      </w:pPr>
      <w:r w:rsidRPr="0042595C">
        <w:t xml:space="preserve">All entities that have a single audit must submit the reporting package and data collection to the Federal Audit Clearinghouse in accordance with 2 CFR Part 200, </w:t>
      </w:r>
      <w:r w:rsidR="004500C6">
        <w:br/>
      </w:r>
      <w:r w:rsidRPr="0042595C">
        <w:t>Subpart F § 200.512.</w:t>
      </w:r>
    </w:p>
    <w:p w14:paraId="2A1A4A26" w14:textId="28741E0F" w:rsidR="00851175" w:rsidRDefault="00851175" w:rsidP="00851175">
      <w:pPr>
        <w:pStyle w:val="Heading2"/>
      </w:pPr>
      <w:r>
        <w:t>Audit Exceptions, Unresolved Questioned Costs, and Outstanding Debts</w:t>
      </w:r>
    </w:p>
    <w:p w14:paraId="09B1E152" w14:textId="4023790B" w:rsidR="0042595C" w:rsidRPr="0042595C" w:rsidRDefault="0042595C" w:rsidP="0042595C">
      <w:pPr>
        <w:ind w:left="720"/>
      </w:pPr>
      <w:r w:rsidRPr="0042595C">
        <w:t xml:space="preserve">The </w:t>
      </w:r>
      <w:r>
        <w:t>selected Respondent will</w:t>
      </w:r>
      <w:r w:rsidRPr="0042595C">
        <w:t xml:space="preserve"> certif</w:t>
      </w:r>
      <w:r>
        <w:t>y</w:t>
      </w:r>
      <w:r w:rsidRPr="0042595C">
        <w:t xml:space="preserve"> by signing th</w:t>
      </w:r>
      <w:r>
        <w:t>e c</w:t>
      </w:r>
      <w:r w:rsidRPr="0042595C">
        <w:t xml:space="preserve">ontract that it does not have any unresolved audit exceptions, unresolved questioned costs, or finding of fiscal inadequacy as a result of project monitoring. It further certifies that no money is owed to any division of </w:t>
      </w:r>
      <w:r>
        <w:t>ADECA</w:t>
      </w:r>
      <w:r w:rsidRPr="0042595C">
        <w:t>, or to the Federal government under any program where it has not arranged a repayment plan.</w:t>
      </w:r>
    </w:p>
    <w:p w14:paraId="14B8F962" w14:textId="2BE75ECF" w:rsidR="00851175" w:rsidRDefault="00851175" w:rsidP="00851175">
      <w:pPr>
        <w:pStyle w:val="Heading2"/>
      </w:pPr>
      <w:r>
        <w:t>Suspension of Payments</w:t>
      </w:r>
    </w:p>
    <w:p w14:paraId="662CED6F" w14:textId="64C4A110" w:rsidR="0042595C" w:rsidRDefault="0042595C" w:rsidP="0042595C">
      <w:pPr>
        <w:ind w:left="720"/>
      </w:pPr>
      <w:r w:rsidRPr="0042595C">
        <w:t>Payments under th</w:t>
      </w:r>
      <w:r>
        <w:t>e c</w:t>
      </w:r>
      <w:r w:rsidRPr="0042595C">
        <w:t xml:space="preserve">ontract may be suspended in the event that there is an outstanding audit exception under any program administered by any division of </w:t>
      </w:r>
      <w:r>
        <w:t>ADECA</w:t>
      </w:r>
      <w:r w:rsidRPr="0042595C">
        <w:t xml:space="preserve"> or in the event there is an amount owing to any division of </w:t>
      </w:r>
      <w:r>
        <w:t>ADECA</w:t>
      </w:r>
      <w:r w:rsidRPr="0042595C">
        <w:t xml:space="preserve">, or an amount owing to the Federal government any program administered by any division of </w:t>
      </w:r>
      <w:r>
        <w:t>ADECA</w:t>
      </w:r>
      <w:r w:rsidRPr="0042595C">
        <w:t xml:space="preserve"> that is not received in a reasonable and timely manner.</w:t>
      </w:r>
    </w:p>
    <w:p w14:paraId="6663BE5F" w14:textId="5BD81279" w:rsidR="0042595C" w:rsidRDefault="0042595C" w:rsidP="0042595C">
      <w:pPr>
        <w:ind w:left="720"/>
      </w:pPr>
      <w:r w:rsidRPr="0042595C">
        <w:t xml:space="preserve">Should the </w:t>
      </w:r>
      <w:r>
        <w:t xml:space="preserve">selected respondent </w:t>
      </w:r>
      <w:r w:rsidRPr="0042595C">
        <w:t xml:space="preserve">incur an unresolved audit exception, have unresolved questionable costs, or finding of inadequacy as a result of any project monitoring by </w:t>
      </w:r>
      <w:r>
        <w:t>ADECA</w:t>
      </w:r>
      <w:r w:rsidRPr="0042595C">
        <w:t xml:space="preserve"> or </w:t>
      </w:r>
      <w:r>
        <w:t>any division thereof, ADECA</w:t>
      </w:r>
      <w:r w:rsidRPr="0042595C">
        <w:t xml:space="preserve"> shall not enter into any other contract agreement, grants, etc. with said Contractor until the audit exception, questioned cost, or finding of fiscal inadequacy has been resolved.</w:t>
      </w:r>
    </w:p>
    <w:p w14:paraId="0B499B4E" w14:textId="0164D987" w:rsidR="0042595C" w:rsidRPr="0042595C" w:rsidRDefault="0042595C" w:rsidP="0042595C">
      <w:pPr>
        <w:ind w:left="720"/>
      </w:pPr>
      <w:r>
        <w:t>ADECA</w:t>
      </w:r>
      <w:r w:rsidRPr="0042595C">
        <w:t xml:space="preserve"> shall not enter into another contract agreement, grant, etc. with any individual, agency, company, or government under any program administered by any division of </w:t>
      </w:r>
      <w:r>
        <w:t>ADECA</w:t>
      </w:r>
      <w:r w:rsidRPr="0042595C">
        <w:t xml:space="preserve"> that has not arranged a repayment schedule.</w:t>
      </w:r>
    </w:p>
    <w:p w14:paraId="5CA8D1D3" w14:textId="14F9CAB7" w:rsidR="00851175" w:rsidRDefault="00851175" w:rsidP="00851175">
      <w:pPr>
        <w:pStyle w:val="Heading2"/>
      </w:pPr>
      <w:r>
        <w:t>Disclosure Statement</w:t>
      </w:r>
    </w:p>
    <w:p w14:paraId="4DE28A93" w14:textId="0EF35F10" w:rsidR="0042595C" w:rsidRPr="0042595C" w:rsidRDefault="0042595C" w:rsidP="0042595C">
      <w:pPr>
        <w:ind w:left="720"/>
      </w:pPr>
      <w:r w:rsidRPr="0042595C">
        <w:t xml:space="preserve">Unless otherwise exempt under Ala. Code § 41-16-82, a disclosure statement must be submitted to </w:t>
      </w:r>
      <w:r>
        <w:t>ADECA</w:t>
      </w:r>
      <w:r w:rsidRPr="0042595C">
        <w:t xml:space="preserve"> for any and all proposals, bids, contracts, or grant proposals in excess of $5,000.00.</w:t>
      </w:r>
    </w:p>
    <w:p w14:paraId="204E01CB" w14:textId="299296E5" w:rsidR="00851175" w:rsidRDefault="00851175" w:rsidP="00851175">
      <w:pPr>
        <w:pStyle w:val="Heading2"/>
      </w:pPr>
      <w:r>
        <w:t>Compliance with Federal, State, and Local Laws</w:t>
      </w:r>
    </w:p>
    <w:p w14:paraId="77B39DDD" w14:textId="4BFC8FAE" w:rsidR="0042595C" w:rsidRDefault="0042595C" w:rsidP="0042595C">
      <w:pPr>
        <w:ind w:left="720"/>
      </w:pPr>
      <w:r>
        <w:t xml:space="preserve">In addition to the provisions provided in the contract, the selected Respondent shall be responsible for complying with any and all other applicable laws, ordinances, codes, and regulations of the Federal, State, and local governments, including but not limited to Alabama procurement law (Ala. Code § 41-16-1 </w:t>
      </w:r>
      <w:r>
        <w:rPr>
          <w:i/>
          <w:iCs/>
        </w:rPr>
        <w:t>et seq</w:t>
      </w:r>
      <w:r>
        <w:t xml:space="preserve">.; Ala. Code § 41-4-130 </w:t>
      </w:r>
      <w:r>
        <w:rPr>
          <w:i/>
          <w:iCs/>
        </w:rPr>
        <w:t>et seq</w:t>
      </w:r>
      <w:r>
        <w:t xml:space="preserve">.), </w:t>
      </w:r>
      <w:r w:rsidRPr="00784D0A">
        <w:t>the</w:t>
      </w:r>
      <w:r>
        <w:t xml:space="preserve"> Alabama Public Works Law (Ala. Code § 39-1-1 </w:t>
      </w:r>
      <w:r>
        <w:rPr>
          <w:i/>
          <w:iCs/>
        </w:rPr>
        <w:t>et seq</w:t>
      </w:r>
      <w:r>
        <w:t xml:space="preserve">.), any State permitting requirements, the Alabama Open Meetings Act (Ala. Code </w:t>
      </w:r>
      <w:r w:rsidRPr="0073177D">
        <w:t xml:space="preserve">§ </w:t>
      </w:r>
      <w:r>
        <w:t>36</w:t>
      </w:r>
      <w:r w:rsidRPr="0073177D">
        <w:t>-</w:t>
      </w:r>
      <w:r>
        <w:t>25a</w:t>
      </w:r>
      <w:r w:rsidRPr="0073177D">
        <w:t xml:space="preserve">-1 </w:t>
      </w:r>
      <w:r w:rsidRPr="0073177D">
        <w:rPr>
          <w:i/>
          <w:iCs/>
        </w:rPr>
        <w:t>et s</w:t>
      </w:r>
      <w:r>
        <w:rPr>
          <w:i/>
          <w:iCs/>
        </w:rPr>
        <w:t>eq</w:t>
      </w:r>
      <w:r>
        <w:t>.</w:t>
      </w:r>
      <w:r w:rsidRPr="0073177D">
        <w:t>)</w:t>
      </w:r>
      <w:r>
        <w:t xml:space="preserve">, and the </w:t>
      </w:r>
      <w:r>
        <w:lastRenderedPageBreak/>
        <w:t xml:space="preserve">Beason-Hammon Alabama Taxpayer and Citizen Protection Act (Ala. Code § 31-13-1 </w:t>
      </w:r>
      <w:r>
        <w:rPr>
          <w:i/>
          <w:iCs/>
        </w:rPr>
        <w:t>et seq</w:t>
      </w:r>
      <w:r>
        <w:t>.).</w:t>
      </w:r>
    </w:p>
    <w:p w14:paraId="3320ED3D" w14:textId="436D8364" w:rsidR="0042595C" w:rsidRDefault="0042595C" w:rsidP="0042595C">
      <w:pPr>
        <w:ind w:left="720"/>
      </w:pPr>
      <w:r>
        <w:t>By signing the contract, the parties will affirm for the duration of the contract that they will not violate Federal immigration law or knowingly employ, hire for employment, or continue to employ an unauthorized alien within the State of Alabama. Furthermore, a contracting party found to be in violation of this provision shall be deemed in breach of the contract and shall be responsible for all damages resulting therefrom.</w:t>
      </w:r>
    </w:p>
    <w:p w14:paraId="2CD1F6EC" w14:textId="5AC6D6D1" w:rsidR="0042595C" w:rsidRDefault="0042595C" w:rsidP="0042595C">
      <w:pPr>
        <w:ind w:left="720"/>
      </w:pPr>
      <w:r>
        <w:t>In compliance with Ala. Code § 41-16-5, the selected Respondent will certify that it is not currently engaged in and will not engage in the boycott of a person or entity based in or doing business with a jurisdiction with which this state can enjoy open trade.</w:t>
      </w:r>
    </w:p>
    <w:p w14:paraId="192BFE99" w14:textId="4E8D110A" w:rsidR="0042595C" w:rsidRPr="0042595C" w:rsidRDefault="0042595C" w:rsidP="0042595C">
      <w:pPr>
        <w:ind w:left="720"/>
      </w:pPr>
      <w:r w:rsidRPr="00356EEE">
        <w:t>In compliance with Ala. Act No. 2023-409, by signing t</w:t>
      </w:r>
      <w:r>
        <w:t>he c</w:t>
      </w:r>
      <w:r w:rsidRPr="00356EEE">
        <w:t xml:space="preserve">ontract, </w:t>
      </w:r>
      <w:r>
        <w:t>the selected Respondent will</w:t>
      </w:r>
      <w:r w:rsidRPr="00356EEE">
        <w:t xml:space="preserve"> provide written verification that </w:t>
      </w:r>
      <w:r>
        <w:t>the selected Respondent</w:t>
      </w:r>
      <w:r w:rsidRPr="00356EEE">
        <w:t>, without violating controlling law or regulation, does not and will not, during the term of the contract engage in economic boycotts as the term “economic boycott” is defined in Section 1 of the Act</w:t>
      </w:r>
      <w:r>
        <w:t>.</w:t>
      </w:r>
    </w:p>
    <w:p w14:paraId="2428204B" w14:textId="10EDE8DC" w:rsidR="00851175" w:rsidRDefault="00851175" w:rsidP="00851175">
      <w:pPr>
        <w:pStyle w:val="Heading2"/>
      </w:pPr>
      <w:r>
        <w:t>Nondiscrimination</w:t>
      </w:r>
    </w:p>
    <w:p w14:paraId="120AF43A" w14:textId="7DA84644" w:rsidR="0042595C" w:rsidRPr="0042595C" w:rsidRDefault="0042595C" w:rsidP="0042595C">
      <w:pPr>
        <w:ind w:left="720"/>
      </w:pPr>
      <w:r w:rsidRPr="0042595C">
        <w:t xml:space="preserve">The </w:t>
      </w:r>
      <w:r>
        <w:t>selected Respondent</w:t>
      </w:r>
      <w:r w:rsidRPr="0042595C">
        <w:t xml:space="preserve"> shall be prohibited from discriminating based on race, color, religion, sex, age, handicap, or national origin.</w:t>
      </w:r>
    </w:p>
    <w:p w14:paraId="51C93DB5" w14:textId="7F6F9FB8" w:rsidR="00851175" w:rsidRDefault="00851175" w:rsidP="00851175">
      <w:pPr>
        <w:pStyle w:val="Heading2"/>
      </w:pPr>
      <w:r>
        <w:t>OMB Uniform Guidance for Federal Awards</w:t>
      </w:r>
    </w:p>
    <w:p w14:paraId="784F4F13" w14:textId="07B665AA" w:rsidR="0042595C" w:rsidRDefault="0042595C" w:rsidP="0042595C">
      <w:pPr>
        <w:ind w:left="720"/>
      </w:pPr>
      <w:r w:rsidRPr="0042595C">
        <w:t>For any and all contracts or grants made by a non-Federal entity under a Federal award, the non-Federal entity must comply with 2 C.F.R. Part 200, the OMB Uniform Administrative Requirements, Cost Principles, and Audit Requirements for Federal Awards, which includes but is not limited to, subpart B, General Provisions; subpart C, Pre-Federal Awards Requirements and Contents of Federal Awards; subpart D, Post Federal Award Regulations; subpart E, Cost Principles; subpart F, Audit Requirements; and all accompanying appendices.</w:t>
      </w:r>
    </w:p>
    <w:p w14:paraId="7B66CF8B" w14:textId="23D10BD7" w:rsidR="0042595C" w:rsidRDefault="0042595C" w:rsidP="0042595C">
      <w:pPr>
        <w:ind w:left="720"/>
      </w:pPr>
      <w:r w:rsidRPr="0042595C">
        <w:t>For any and all contracts made by a non-Federal entity under a Federal Award, 2 C.F.R. § 200.327 requires provisions covering the following (as found in Appendix II to Part 200) be included and adhered to as applicable and unless specifically excluded by other Federal regulations:</w:t>
      </w:r>
    </w:p>
    <w:p w14:paraId="25BFFCCA" w14:textId="6D967F0D" w:rsidR="0042595C" w:rsidRDefault="0042595C" w:rsidP="0042595C">
      <w:pPr>
        <w:pStyle w:val="Heading3"/>
      </w:pPr>
      <w:r>
        <w:t>Termination</w:t>
      </w:r>
    </w:p>
    <w:p w14:paraId="41950238" w14:textId="325BB563" w:rsidR="0042595C" w:rsidRDefault="00746943" w:rsidP="00746943">
      <w:pPr>
        <w:ind w:left="1440"/>
      </w:pPr>
      <w:r w:rsidRPr="00746943">
        <w:t xml:space="preserve">A clause addressing termination for cause and convenience must be included in all contracts in excess of $10,000. The following provisions </w:t>
      </w:r>
      <w:r>
        <w:t xml:space="preserve">will </w:t>
      </w:r>
      <w:r w:rsidRPr="00746943">
        <w:t>apply to termination under th</w:t>
      </w:r>
      <w:r>
        <w:t>e c</w:t>
      </w:r>
      <w:r w:rsidRPr="00746943">
        <w:t xml:space="preserve">ontract, whether termination by </w:t>
      </w:r>
      <w:r>
        <w:t>ADECA</w:t>
      </w:r>
      <w:r w:rsidRPr="00746943">
        <w:t xml:space="preserve"> or by the </w:t>
      </w:r>
      <w:r>
        <w:t>selected Respondent</w:t>
      </w:r>
      <w:r w:rsidRPr="00746943">
        <w:t>. The performance of work under t</w:t>
      </w:r>
      <w:r>
        <w:t>he c</w:t>
      </w:r>
      <w:r w:rsidRPr="00746943">
        <w:t>ontract may be terminated in whole or in part for the following circumstances:</w:t>
      </w:r>
    </w:p>
    <w:p w14:paraId="58D850DA" w14:textId="593FEC16" w:rsidR="00746943" w:rsidRPr="00746943" w:rsidRDefault="00746943" w:rsidP="00746943">
      <w:pPr>
        <w:pStyle w:val="ListParagraph"/>
        <w:numPr>
          <w:ilvl w:val="0"/>
          <w:numId w:val="6"/>
        </w:numPr>
        <w:contextualSpacing w:val="0"/>
      </w:pPr>
      <w:r>
        <w:lastRenderedPageBreak/>
        <w:t xml:space="preserve">Termination for Convenience. The contract </w:t>
      </w:r>
      <w:r w:rsidRPr="00746943">
        <w:t xml:space="preserve">may be terminated by either party with thirty (30) days written notice. Said notice shall specify the reasons for requesting such termination. If </w:t>
      </w:r>
      <w:r>
        <w:t>ADECA</w:t>
      </w:r>
      <w:r w:rsidRPr="00746943">
        <w:t xml:space="preserve"> determines that the continuation of the work will serve no useful public purpose, th</w:t>
      </w:r>
      <w:r>
        <w:t>e c</w:t>
      </w:r>
      <w:r w:rsidRPr="00746943">
        <w:t xml:space="preserve">ontract may be terminated by </w:t>
      </w:r>
      <w:r>
        <w:t>ADECA</w:t>
      </w:r>
      <w:r w:rsidRPr="00746943">
        <w:t xml:space="preserve"> and the </w:t>
      </w:r>
      <w:r>
        <w:t>selected Respondent</w:t>
      </w:r>
      <w:r w:rsidRPr="00746943">
        <w:t xml:space="preserve"> shall be entitled to necessary expenses incurred through the date of termination or the date services are last provided, whichever occurs first.</w:t>
      </w:r>
    </w:p>
    <w:p w14:paraId="034A6A4A" w14:textId="18E52553" w:rsidR="00746943" w:rsidRDefault="00746943" w:rsidP="00746943">
      <w:pPr>
        <w:pStyle w:val="ListParagraph"/>
        <w:numPr>
          <w:ilvl w:val="0"/>
          <w:numId w:val="6"/>
        </w:numPr>
      </w:pPr>
      <w:r>
        <w:t xml:space="preserve">Termination for Cause. </w:t>
      </w:r>
      <w:r w:rsidRPr="00746943">
        <w:t xml:space="preserve">If, through any cause, the </w:t>
      </w:r>
      <w:r>
        <w:t>selected Respondent</w:t>
      </w:r>
      <w:r w:rsidRPr="00746943">
        <w:t xml:space="preserve"> fail</w:t>
      </w:r>
      <w:r>
        <w:t>s</w:t>
      </w:r>
      <w:r w:rsidRPr="00746943">
        <w:t xml:space="preserve"> to fulfill in a timely manner its obligations under th</w:t>
      </w:r>
      <w:r>
        <w:t>e c</w:t>
      </w:r>
      <w:r w:rsidRPr="00746943">
        <w:t xml:space="preserve">ontract or if the </w:t>
      </w:r>
      <w:r>
        <w:t>selected Respondent</w:t>
      </w:r>
      <w:r w:rsidRPr="00746943">
        <w:t xml:space="preserve"> violate</w:t>
      </w:r>
      <w:r>
        <w:t>s</w:t>
      </w:r>
      <w:r w:rsidRPr="00746943">
        <w:t xml:space="preserve"> any of the covenants, agreements, or stipulations of th</w:t>
      </w:r>
      <w:r>
        <w:t>e c</w:t>
      </w:r>
      <w:r w:rsidRPr="00746943">
        <w:t xml:space="preserve">ontract and such failure or violation is not corrected within fifteen (15) days after such notice is given by </w:t>
      </w:r>
      <w:r>
        <w:t>ADECA</w:t>
      </w:r>
      <w:r w:rsidRPr="00746943">
        <w:t xml:space="preserve"> to the </w:t>
      </w:r>
      <w:r>
        <w:t>selected Respondent</w:t>
      </w:r>
      <w:r w:rsidRPr="00746943">
        <w:t xml:space="preserve">, </w:t>
      </w:r>
      <w:r>
        <w:t>ADECA</w:t>
      </w:r>
      <w:r w:rsidRPr="00746943">
        <w:t xml:space="preserve"> shall thereupon have the right to immediately terminate or suspend th</w:t>
      </w:r>
      <w:r>
        <w:t>e c</w:t>
      </w:r>
      <w:r w:rsidRPr="00746943">
        <w:t xml:space="preserve">ontract by giving written notice to the </w:t>
      </w:r>
      <w:r>
        <w:t>selected Respondent</w:t>
      </w:r>
      <w:r w:rsidRPr="00746943">
        <w:t xml:space="preserve"> of such termination or suspension and specifying the effective date thereof.</w:t>
      </w:r>
    </w:p>
    <w:p w14:paraId="29D5A723" w14:textId="43DFE032" w:rsidR="00746943" w:rsidRDefault="00746943" w:rsidP="00746943">
      <w:pPr>
        <w:ind w:left="1440"/>
      </w:pPr>
      <w:r w:rsidRPr="00746943">
        <w:t xml:space="preserve">In the event of termination for either convenience of cause, all property finished or unfinished, documents, data, studies, surveys, drawings, maps, models, photographs, computer tapes, computer programs, and reports prepared by the </w:t>
      </w:r>
      <w:r>
        <w:t>selected Respondent</w:t>
      </w:r>
      <w:r w:rsidRPr="00746943">
        <w:t xml:space="preserve"> under th</w:t>
      </w:r>
      <w:r>
        <w:t>e Co</w:t>
      </w:r>
      <w:r w:rsidRPr="00746943">
        <w:t xml:space="preserve">ntract shall at the option of </w:t>
      </w:r>
      <w:r>
        <w:t>ADECA</w:t>
      </w:r>
      <w:r w:rsidRPr="00746943">
        <w:t xml:space="preserve">, and if in accordance with applicable State and Federal regulations, become the property of </w:t>
      </w:r>
      <w:r>
        <w:t>ADECA</w:t>
      </w:r>
      <w:r w:rsidRPr="00746943">
        <w:t xml:space="preserve">. The </w:t>
      </w:r>
      <w:r>
        <w:t>selected Respondent</w:t>
      </w:r>
      <w:r w:rsidRPr="00746943">
        <w:t xml:space="preserve"> shall be entitled to receive just and equitable compensation for any satisfactory work completed on such documents and other materials.</w:t>
      </w:r>
    </w:p>
    <w:p w14:paraId="7EA8A7D1" w14:textId="6133D3CD" w:rsidR="00746943" w:rsidRDefault="00746943" w:rsidP="00746943">
      <w:pPr>
        <w:ind w:left="1440"/>
      </w:pPr>
      <w:r w:rsidRPr="00746943">
        <w:t xml:space="preserve">Notwithstanding the above, the </w:t>
      </w:r>
      <w:r>
        <w:t>selected Respondent</w:t>
      </w:r>
      <w:r w:rsidRPr="00746943">
        <w:t xml:space="preserve"> shall not be relieved of any liability to </w:t>
      </w:r>
      <w:r>
        <w:t>ADECA</w:t>
      </w:r>
      <w:r w:rsidRPr="00746943">
        <w:t xml:space="preserve"> for damages sustained by </w:t>
      </w:r>
      <w:r>
        <w:t>ADECA</w:t>
      </w:r>
      <w:r w:rsidRPr="00746943">
        <w:t xml:space="preserve"> by virtue of any breach of the </w:t>
      </w:r>
      <w:r>
        <w:t>c</w:t>
      </w:r>
      <w:r w:rsidRPr="00746943">
        <w:t xml:space="preserve">ontract by the </w:t>
      </w:r>
      <w:r>
        <w:t>selected Respondent</w:t>
      </w:r>
      <w:r w:rsidRPr="00746943">
        <w:t xml:space="preserve"> and </w:t>
      </w:r>
      <w:r>
        <w:t>ADECA</w:t>
      </w:r>
      <w:r w:rsidRPr="00746943">
        <w:t xml:space="preserve"> may withhold any payments to the </w:t>
      </w:r>
      <w:r>
        <w:t>selected Respondent</w:t>
      </w:r>
      <w:r w:rsidRPr="00746943">
        <w:t xml:space="preserve"> for the purpose of setoff until such time as the exact amount of damages to </w:t>
      </w:r>
      <w:r>
        <w:t>ADECA</w:t>
      </w:r>
      <w:r w:rsidRPr="00746943">
        <w:t xml:space="preserve"> for the </w:t>
      </w:r>
      <w:r>
        <w:t>selected Respondent</w:t>
      </w:r>
      <w:r w:rsidRPr="00746943">
        <w:t xml:space="preserve"> is determined.</w:t>
      </w:r>
    </w:p>
    <w:p w14:paraId="1C515A95" w14:textId="563F23C7" w:rsidR="00746943" w:rsidRDefault="00746943" w:rsidP="00746943">
      <w:pPr>
        <w:pStyle w:val="Heading3"/>
      </w:pPr>
      <w:r>
        <w:t>Equal Employment Opportunity</w:t>
      </w:r>
    </w:p>
    <w:p w14:paraId="4F4C5A11" w14:textId="35B6898E" w:rsidR="00746943" w:rsidRDefault="00746943" w:rsidP="00746943">
      <w:pPr>
        <w:ind w:left="1440"/>
      </w:pPr>
      <w:r w:rsidRPr="00746943">
        <w:t>In accordance with 41 C.F.R. § 60-1.4(b) and Executive Order 11246 (as amended by Executive Order 11375), for any Federally assisted construction contract as defined by 41 C.F.R. § 60-1.3, the Contractor, during the performance of this agreement, hereby agrees as follows:</w:t>
      </w:r>
    </w:p>
    <w:p w14:paraId="390081B4" w14:textId="4DF5DF11" w:rsidR="00746943" w:rsidRDefault="00746943" w:rsidP="00746943">
      <w:pPr>
        <w:pStyle w:val="Heading4"/>
        <w:rPr>
          <w:b/>
        </w:rPr>
      </w:pPr>
      <w:r w:rsidRPr="00746943">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w:t>
      </w:r>
      <w:r w:rsidRPr="00746943">
        <w:lastRenderedPageBreak/>
        <w:t>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C7B68F0" w14:textId="5663CBBB" w:rsidR="00746943" w:rsidRDefault="00746943" w:rsidP="00746943">
      <w:pPr>
        <w:pStyle w:val="Heading4"/>
      </w:pPr>
      <w:r w:rsidRPr="00746943">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4D8BAD15" w14:textId="783E2D67" w:rsidR="00746943" w:rsidRDefault="00746943" w:rsidP="00746943">
      <w:pPr>
        <w:pStyle w:val="Heading4"/>
      </w:pPr>
      <w:r w:rsidRPr="00746943">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460D0CB" w14:textId="4CC4C2FC" w:rsidR="00746943" w:rsidRDefault="00746943" w:rsidP="00746943">
      <w:pPr>
        <w:pStyle w:val="Heading4"/>
      </w:pPr>
      <w:r w:rsidRPr="00746943">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37912BE" w14:textId="4DAD5858" w:rsidR="00746943" w:rsidRDefault="00746943" w:rsidP="00746943">
      <w:pPr>
        <w:pStyle w:val="Heading4"/>
      </w:pPr>
      <w:r w:rsidRPr="00746943">
        <w:t>The Contractor will comply with all provisions of Executive Order 11246 of September 24, 1965, and of the rules, regulations, and relevant orders of the Secretary of Labor.</w:t>
      </w:r>
    </w:p>
    <w:p w14:paraId="0E2316CB" w14:textId="34F45B2E" w:rsidR="00746943" w:rsidRDefault="00746943" w:rsidP="00746943">
      <w:pPr>
        <w:pStyle w:val="Heading4"/>
      </w:pPr>
      <w:r w:rsidRPr="00746943">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D5AD57F" w14:textId="115243F1" w:rsidR="00746943" w:rsidRDefault="00746943" w:rsidP="00746943">
      <w:pPr>
        <w:pStyle w:val="Heading4"/>
      </w:pPr>
      <w:r w:rsidRPr="00746943">
        <w:t xml:space="preserve">In the event of the Contractor's noncompliance with the nondiscrimination clauses of this contract or with any of the said rules, regulations, or orders, this Contract may be canceled, terminated, or suspended in whole or in part </w:t>
      </w:r>
      <w:r w:rsidRPr="00746943">
        <w:lastRenderedPageBreak/>
        <w:t>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C052016" w14:textId="331C6A8C" w:rsidR="00746943" w:rsidRDefault="00746943" w:rsidP="00746943">
      <w:pPr>
        <w:pStyle w:val="Heading4"/>
      </w:pPr>
      <w:r w:rsidRPr="00746943">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15937E29" w14:textId="18F1B4B5" w:rsidR="00A66CC1" w:rsidRDefault="00A66CC1" w:rsidP="00FA7F1D">
      <w:pPr>
        <w:ind w:left="1440"/>
      </w:pPr>
      <w:r w:rsidRPr="00A66CC1">
        <w:t xml:space="preserve">The </w:t>
      </w:r>
      <w:bookmarkStart w:id="1" w:name="_Hlk157762558"/>
      <w:r>
        <w:t xml:space="preserve">selected Respondent </w:t>
      </w:r>
      <w:bookmarkEnd w:id="1"/>
      <w:r>
        <w:t>will further</w:t>
      </w:r>
      <w:r w:rsidRPr="00A66CC1">
        <w:t xml:space="preserve"> agree that it will be bound by the above equal opportunity clause with respect to its own employment practices when it participates in Federally assisted construction work: Provided, that if the selected Respondent so participating is a State or local government, the above equal opportunity clause is not applicable to any agency, instrumentality or subdivision of such government which does not participate in work on or under the contract.</w:t>
      </w:r>
    </w:p>
    <w:p w14:paraId="2DF85B0F" w14:textId="37275316" w:rsidR="00A66CC1" w:rsidRDefault="00A66CC1" w:rsidP="00A66CC1">
      <w:pPr>
        <w:ind w:left="1440"/>
      </w:pPr>
      <w:r w:rsidRPr="00A66CC1">
        <w:t xml:space="preserve">The selected Respondent </w:t>
      </w:r>
      <w:r>
        <w:t xml:space="preserve">will </w:t>
      </w:r>
      <w:r w:rsidRPr="00A66CC1">
        <w:t>agree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35A44E84" w14:textId="699A5BCA" w:rsidR="00A66CC1" w:rsidRDefault="00A66CC1" w:rsidP="00A66CC1">
      <w:pPr>
        <w:ind w:left="1440"/>
      </w:pPr>
      <w:r>
        <w:t xml:space="preserve">The </w:t>
      </w:r>
      <w:r w:rsidRPr="00A66CC1">
        <w:t xml:space="preserve">selected Respondent </w:t>
      </w:r>
      <w:r>
        <w:t>will further agree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w:t>
      </w:r>
    </w:p>
    <w:p w14:paraId="438C3BD0" w14:textId="0FFD0794" w:rsidR="00A66CC1" w:rsidRPr="00A66CC1" w:rsidRDefault="00A66CC1" w:rsidP="00FA7F1D">
      <w:pPr>
        <w:ind w:left="1440"/>
      </w:pPr>
      <w:r>
        <w:lastRenderedPageBreak/>
        <w:t xml:space="preserve">In addition, the </w:t>
      </w:r>
      <w:r w:rsidRPr="00A66CC1">
        <w:t xml:space="preserve">selected Respondent </w:t>
      </w:r>
      <w:r>
        <w:t xml:space="preserve">will agree that if it fails or refuses to comply with these undertakings, the administering agency may take any or all of the following actions: cancel, terminate, or suspend in whole or in part this grant (contract, loan, insurance, guarantee); refrain from extending any further assistance to the </w:t>
      </w:r>
      <w:r w:rsidRPr="00A66CC1">
        <w:t xml:space="preserve">selected Respondent </w:t>
      </w:r>
      <w:r>
        <w:t xml:space="preserve">under the program with respect to which the failure or refund occurred until satisfactory assurance of future compliance has been received from such </w:t>
      </w:r>
      <w:r w:rsidRPr="00A66CC1">
        <w:t>selected Respondent</w:t>
      </w:r>
      <w:r>
        <w:t>; and refer the case to the Department of Justice for appropriate legal proceedings.</w:t>
      </w:r>
    </w:p>
    <w:p w14:paraId="26BD4B01" w14:textId="0A6CC0C1" w:rsidR="00746943" w:rsidRDefault="00746943" w:rsidP="00746943">
      <w:pPr>
        <w:pStyle w:val="Heading3"/>
      </w:pPr>
      <w:r>
        <w:t>Davis-Bacon Act and Copeland “Anti-Kickback” Act</w:t>
      </w:r>
    </w:p>
    <w:p w14:paraId="092B6F8D" w14:textId="34DA6A94" w:rsidR="00746943" w:rsidRPr="00746943" w:rsidRDefault="00746943" w:rsidP="00746943">
      <w:pPr>
        <w:ind w:left="1440"/>
      </w:pPr>
      <w:r w:rsidRPr="00746943">
        <w:t>In the event th</w:t>
      </w:r>
      <w:r>
        <w:t>e c</w:t>
      </w:r>
      <w:r w:rsidRPr="00746943">
        <w:t xml:space="preserve">ontract is for an amount which exceeds $2,000 and is a prime construction contract, the </w:t>
      </w:r>
      <w:r w:rsidR="006768A8">
        <w:t>selected Respondent</w:t>
      </w:r>
      <w:r w:rsidRPr="00746943">
        <w:t xml:space="preserve"> shall comply with the Davis-Bacon Act (40 U.S.C. § 3141 – 3144 and 3146 – 3148), as supplemented by Department of Labor regulations at 29 C.F.R. Part 5, which includes provisions providing for the payment of mechanics and laborers at a rate not less than the prevailing wages specified in a wage determination issued by the United States Secretary of Labor, and provides for the payment of wages to mechanics and laborers not less than once a week. Additionally, for all prime construction contracts in excess of $2,000, the Contractor or Subrecipient shall comply with the Copeland “Anti-Kickback” Act (40 U.S.C. § 3145), as supplemented by Department of Labor regulations (29 C.F.R. Part 3), which prohibits a Contractor or Subrecipient from inducing any person employed in the construction, completion, or repair of a public work from giving up any compensation to which he or she is entitled to receive. In the event of a suspected or reported violation of either the Davis-Bacon Act or the Copeland “Anti-Kickback” Act, </w:t>
      </w:r>
      <w:r w:rsidR="006768A8">
        <w:t>ADECA</w:t>
      </w:r>
      <w:r w:rsidRPr="00746943">
        <w:t xml:space="preserve"> shall report such violation to the Federal awarding agency.</w:t>
      </w:r>
    </w:p>
    <w:p w14:paraId="46FAC046" w14:textId="3A378722" w:rsidR="00746943" w:rsidRDefault="00746943" w:rsidP="00746943">
      <w:pPr>
        <w:pStyle w:val="Heading3"/>
      </w:pPr>
      <w:r>
        <w:t>Contract Work Hours and Safety Standards Act</w:t>
      </w:r>
    </w:p>
    <w:p w14:paraId="7F47F53F" w14:textId="37C16F39" w:rsidR="006768A8" w:rsidRPr="006768A8" w:rsidRDefault="006768A8" w:rsidP="006768A8">
      <w:pPr>
        <w:ind w:left="1440"/>
      </w:pPr>
      <w:r w:rsidRPr="006768A8">
        <w:t>In the event th</w:t>
      </w:r>
      <w:r>
        <w:t>e c</w:t>
      </w:r>
      <w:r w:rsidRPr="006768A8">
        <w:t xml:space="preserve">ontract is for an amount in excess of $100,000 and involves the employment of mechanics and laborers, the </w:t>
      </w:r>
      <w:r>
        <w:t>selected Respondent</w:t>
      </w:r>
      <w:r w:rsidRPr="006768A8">
        <w:t xml:space="preserve"> shall comply with the Contract Work Hours and Safety Standards Act, 40 U.S.C. § 3701–08, specifically §§ 3702 and 3704, as supplemented by Department of Labor regulations (29 C.F.R. Part 5). Said Act includes provisions which provide that a contractor must compute the wages of mechanics and laborers on the basis of a standard 40-hour work week. If an employee works in excess of 40 hours during a work week, the employee must be compensated at a rate of not less than one and a half times the basic rate of pay for all hours worked in excess of 40 hours. Further, neither a laborer nor a mechanic can be required to work in unsanitary, hazardous or dangerous conditions.</w:t>
      </w:r>
    </w:p>
    <w:p w14:paraId="0994C87B" w14:textId="12D4B394" w:rsidR="00746943" w:rsidRDefault="00746943" w:rsidP="00746943">
      <w:pPr>
        <w:pStyle w:val="Heading3"/>
      </w:pPr>
      <w:r>
        <w:t>Rights to Inventions Made Under a Contract or Agreement</w:t>
      </w:r>
    </w:p>
    <w:p w14:paraId="04F9EE64" w14:textId="01C0F499" w:rsidR="006768A8" w:rsidRPr="006768A8" w:rsidRDefault="006768A8" w:rsidP="006768A8">
      <w:pPr>
        <w:ind w:left="1440"/>
      </w:pPr>
      <w:r w:rsidRPr="006768A8">
        <w:t xml:space="preserve">If the Federal award meets the definition of “funding agreement” under </w:t>
      </w:r>
      <w:r w:rsidR="00971257">
        <w:br/>
      </w:r>
      <w:r w:rsidRPr="006768A8">
        <w:t xml:space="preserve">37 C.F.R. § 401.2(a) and the recipient or Subrecipient wishes to enter into a contract </w:t>
      </w:r>
      <w:r w:rsidRPr="006768A8">
        <w:lastRenderedPageBreak/>
        <w:t>with a small business firm or nonprofit organization regarding the substitution of parties, assignment of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8FDE32D" w14:textId="5FF669EB" w:rsidR="00746943" w:rsidRDefault="00746943" w:rsidP="00746943">
      <w:pPr>
        <w:pStyle w:val="Heading3"/>
      </w:pPr>
      <w:r>
        <w:t>Clean Air Act and Federal Water Pollution Control Act</w:t>
      </w:r>
    </w:p>
    <w:p w14:paraId="0B4A50F7" w14:textId="1AA4E780" w:rsidR="006768A8" w:rsidRPr="006768A8" w:rsidRDefault="006768A8" w:rsidP="006768A8">
      <w:pPr>
        <w:ind w:left="1440"/>
      </w:pPr>
      <w:r w:rsidRPr="006768A8">
        <w:t>In the event th</w:t>
      </w:r>
      <w:r>
        <w:t>e c</w:t>
      </w:r>
      <w:r w:rsidRPr="006768A8">
        <w:t xml:space="preserve">ontract is for an amount in excess of $150,000, the </w:t>
      </w:r>
      <w:r>
        <w:t>selected Respondent</w:t>
      </w:r>
      <w:r w:rsidRPr="006768A8">
        <w:t xml:space="preserve"> shall comply with all applicable standards, orders or regulations issued pursuant to the Clean Air Act (42 U.S.C. § 7401–7671q) and the Federal Water Pollution Control Act (33 U.S.C. § 1251–1387). </w:t>
      </w:r>
      <w:r>
        <w:t>ADECA</w:t>
      </w:r>
      <w:r w:rsidRPr="006768A8">
        <w:t xml:space="preserve"> shall report any suspected or reported violation to the Federal awarding agency and to the Environmental Protection Agency.</w:t>
      </w:r>
    </w:p>
    <w:p w14:paraId="6F2C6EEC" w14:textId="4351CE40" w:rsidR="00746943" w:rsidRDefault="00746943" w:rsidP="00746943">
      <w:pPr>
        <w:pStyle w:val="Heading3"/>
      </w:pPr>
      <w:r>
        <w:t>Debarment and Suspension</w:t>
      </w:r>
    </w:p>
    <w:p w14:paraId="3462424B" w14:textId="7058724F" w:rsidR="006768A8" w:rsidRDefault="006768A8" w:rsidP="006768A8">
      <w:pPr>
        <w:ind w:left="1440"/>
      </w:pPr>
      <w:r>
        <w:t xml:space="preserve">The selected Respondent will be </w:t>
      </w:r>
      <w:r w:rsidRPr="006768A8">
        <w:t>prohibited from using any contractor or subcontractor that has been debarred, suspended, or otherwise excluded from participation in Federal Assistance programs (Executive Orders 12549 and 12689).</w:t>
      </w:r>
    </w:p>
    <w:p w14:paraId="0C2646AD" w14:textId="7EEDFA5A" w:rsidR="006768A8" w:rsidRDefault="006768A8" w:rsidP="006768A8">
      <w:pPr>
        <w:ind w:left="1440"/>
      </w:pPr>
      <w:r>
        <w:t xml:space="preserve">The selected Respondent shall </w:t>
      </w:r>
      <w:r w:rsidRPr="006768A8">
        <w:t xml:space="preserve">require participants in lower tier covered transactions to include the certification on Government-wide Debarment and Suspension (Non-Procurement) for it and its principals in any proposal submitted in connection with such lower tier covered transactions (see Code of Federal Regulations, 2 CFR Part 180.300). The Excluded Parties List System is available for access from the System of Award Management website at </w:t>
      </w:r>
      <w:hyperlink r:id="rId19" w:history="1">
        <w:r w:rsidRPr="009D0E28">
          <w:rPr>
            <w:rStyle w:val="Hyperlink"/>
          </w:rPr>
          <w:t>http://www.SAM.gov</w:t>
        </w:r>
      </w:hyperlink>
      <w:r w:rsidRPr="006768A8">
        <w:t>.</w:t>
      </w:r>
    </w:p>
    <w:p w14:paraId="3DA1F7AD" w14:textId="2805562C" w:rsidR="006768A8" w:rsidRDefault="006768A8" w:rsidP="006768A8">
      <w:pPr>
        <w:ind w:left="1440"/>
      </w:pPr>
      <w:r>
        <w:t xml:space="preserve">The selected Respondent will certify by entering into the contract that </w:t>
      </w:r>
      <w:r w:rsidRPr="006768A8">
        <w:t>neither it nor its principals nor any of its subcontractors are presently debarred, suspended, proposed from debarment, declared ineligible, or voluntarily excluded from entering into th</w:t>
      </w:r>
      <w:r>
        <w:t>e c</w:t>
      </w:r>
      <w:r w:rsidRPr="006768A8">
        <w:t xml:space="preserve">ontract by any Federal agency or by any department, agency, or political subdivision of the State. The term “principal” for purposes of the </w:t>
      </w:r>
      <w:r>
        <w:t>c</w:t>
      </w:r>
      <w:r w:rsidRPr="006768A8">
        <w:t xml:space="preserve">ontract means an officer, director, owner, partner, key employee, or other person with primary management or supervisory responsibilities or a person who has critical influence or substantive control over the operations of the </w:t>
      </w:r>
      <w:r>
        <w:t>selected Respondent</w:t>
      </w:r>
      <w:r w:rsidRPr="006768A8">
        <w:t>.</w:t>
      </w:r>
    </w:p>
    <w:p w14:paraId="6FC7AC27" w14:textId="315CD1E3" w:rsidR="006768A8" w:rsidRPr="006768A8" w:rsidRDefault="006768A8" w:rsidP="006768A8">
      <w:pPr>
        <w:ind w:left="1440"/>
      </w:pPr>
      <w:r>
        <w:t xml:space="preserve">The selected Respondent will certify </w:t>
      </w:r>
      <w:r w:rsidRPr="006768A8">
        <w:t xml:space="preserve">that it has verified the suspension and debarment status for all subcontractors receiving funds under this Contract and shall be solely responsible for any recoupments or penalties that might arise from non-compliance. The Contractor shall immediately notify the Department if any subcontractor becomes debarred or suspended and shall, at the Department’s </w:t>
      </w:r>
      <w:r w:rsidRPr="006768A8">
        <w:lastRenderedPageBreak/>
        <w:t>request, take all steps required by the Department to terminate its contractual relationship with the subcontractor for work to be performed under this Contract.</w:t>
      </w:r>
    </w:p>
    <w:p w14:paraId="1311AD14" w14:textId="7191C7E0" w:rsidR="00746943" w:rsidRDefault="00746943" w:rsidP="00746943">
      <w:pPr>
        <w:pStyle w:val="Heading3"/>
      </w:pPr>
      <w:r>
        <w:t>Byrd Anti-Lobbying Act</w:t>
      </w:r>
    </w:p>
    <w:p w14:paraId="00ADD65D" w14:textId="57C87E62" w:rsidR="006768A8" w:rsidRPr="006768A8" w:rsidRDefault="002F6CE5" w:rsidP="006768A8">
      <w:pPr>
        <w:ind w:left="1440"/>
      </w:pPr>
      <w:r w:rsidRPr="002F6CE5">
        <w:t>In the event th</w:t>
      </w:r>
      <w:r>
        <w:t>e c</w:t>
      </w:r>
      <w:r w:rsidRPr="002F6CE5">
        <w:t>ontract is for an amount equal to or in excess of $100,000, Contractors and Subrecipients shall comply with the Byrd Anti-Lobbying Act (31 U.S.C. § 1352), and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non-Federal award.</w:t>
      </w:r>
    </w:p>
    <w:p w14:paraId="1B589ABC" w14:textId="41A55E0D" w:rsidR="00746943" w:rsidRDefault="00746943" w:rsidP="00746943">
      <w:pPr>
        <w:pStyle w:val="Heading3"/>
      </w:pPr>
      <w:r>
        <w:t>Procurement of Recovered Materials</w:t>
      </w:r>
    </w:p>
    <w:p w14:paraId="0015FA82" w14:textId="1ED361E4" w:rsidR="002F6CE5" w:rsidRPr="002F6CE5" w:rsidRDefault="002F6CE5" w:rsidP="002F6CE5">
      <w:pPr>
        <w:ind w:left="1440"/>
      </w:pPr>
      <w:r w:rsidRPr="002F6CE5">
        <w:t xml:space="preserve">The </w:t>
      </w:r>
      <w:r>
        <w:t>selected Respondent</w:t>
      </w:r>
      <w:r w:rsidRPr="002F6CE5">
        <w:t xml:space="preserve"> shall comply with Section 6002 of the Solid Waste Disposal Act, as amended by the Resource Conservation and Recovery Act. The requirements of Section 6002 include procuring only items designated in guidelines of the Environmental Protection Agency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3A129C6" w14:textId="2E5F2C04" w:rsidR="00746943" w:rsidRDefault="00746943" w:rsidP="00746943">
      <w:pPr>
        <w:pStyle w:val="Heading3"/>
      </w:pPr>
      <w:r>
        <w:t>Prohibition on Certain Telecommunications and Video Surveillance Services or Equipment</w:t>
      </w:r>
    </w:p>
    <w:p w14:paraId="1428542C" w14:textId="43BDB73B" w:rsidR="002F6CE5" w:rsidRDefault="002F6CE5" w:rsidP="002F6CE5">
      <w:pPr>
        <w:ind w:left="1440"/>
      </w:pPr>
      <w:r w:rsidRPr="002F6CE5">
        <w:t>Recipients and subrecipients of Federal funds are prohibited from obligating or expending loan or grant funds to:</w:t>
      </w:r>
    </w:p>
    <w:p w14:paraId="602B2800" w14:textId="18CF8E47" w:rsidR="002F6CE5" w:rsidRDefault="002F6CE5" w:rsidP="002F6CE5">
      <w:pPr>
        <w:pStyle w:val="Heading4"/>
        <w:numPr>
          <w:ilvl w:val="0"/>
          <w:numId w:val="9"/>
        </w:numPr>
      </w:pPr>
      <w:r>
        <w:t>Procure or obtain;</w:t>
      </w:r>
    </w:p>
    <w:p w14:paraId="6D91EF97" w14:textId="08D58FA3" w:rsidR="002F6CE5" w:rsidRDefault="002F6CE5" w:rsidP="002F6CE5">
      <w:pPr>
        <w:pStyle w:val="Heading4"/>
      </w:pPr>
      <w:r>
        <w:t xml:space="preserve">Enter into </w:t>
      </w:r>
      <w:r w:rsidRPr="002F6CE5">
        <w:t xml:space="preserve">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w:t>
      </w:r>
      <w:r w:rsidRPr="002F6CE5">
        <w:lastRenderedPageBreak/>
        <w:t>Company or ZTE Corporation (or any subsidiary or affiliate of such entities).</w:t>
      </w:r>
    </w:p>
    <w:p w14:paraId="03F41BB6" w14:textId="1290C1A4" w:rsidR="002F6CE5" w:rsidRDefault="002F6CE5" w:rsidP="002F6CE5">
      <w:pPr>
        <w:pStyle w:val="Heading4"/>
        <w:numPr>
          <w:ilvl w:val="1"/>
          <w:numId w:val="8"/>
        </w:numPr>
      </w:pPr>
      <w:r w:rsidRPr="002F6CE5">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56616EB1" w14:textId="3586FA7D" w:rsidR="002F6CE5" w:rsidRDefault="002F6CE5" w:rsidP="002F6CE5">
      <w:pPr>
        <w:pStyle w:val="ListParagraph"/>
        <w:numPr>
          <w:ilvl w:val="1"/>
          <w:numId w:val="8"/>
        </w:numPr>
        <w:contextualSpacing w:val="0"/>
      </w:pPr>
      <w:r w:rsidRPr="002F6CE5">
        <w:t>Telecommunications or video surveillance services provided by such entities or using such equipment.</w:t>
      </w:r>
    </w:p>
    <w:p w14:paraId="16445D70" w14:textId="2669171F" w:rsidR="002F6CE5" w:rsidRPr="002F6CE5" w:rsidRDefault="002F6CE5" w:rsidP="002F6CE5">
      <w:pPr>
        <w:pStyle w:val="ListParagraph"/>
        <w:numPr>
          <w:ilvl w:val="1"/>
          <w:numId w:val="8"/>
        </w:numPr>
        <w:contextualSpacing w:val="0"/>
      </w:pPr>
      <w:r w:rsidRPr="002F6CE5">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2DBA24CE" w14:textId="56C74762" w:rsidR="00746943" w:rsidRDefault="00746943" w:rsidP="00746943">
      <w:pPr>
        <w:pStyle w:val="Heading3"/>
      </w:pPr>
      <w:r>
        <w:t>Domestic Preferences for Procurements</w:t>
      </w:r>
    </w:p>
    <w:p w14:paraId="360A61DB" w14:textId="33928C7C" w:rsidR="002F6CE5" w:rsidRDefault="002F6CE5" w:rsidP="002F6CE5">
      <w:pPr>
        <w:pStyle w:val="Heading4"/>
        <w:numPr>
          <w:ilvl w:val="0"/>
          <w:numId w:val="10"/>
        </w:numPr>
      </w:pPr>
      <w:r w:rsidRPr="002F6CE5">
        <w:t xml:space="preserve">As appropriate and to the extent consistent with law, the </w:t>
      </w:r>
      <w:r>
        <w:t>selected Respondent</w:t>
      </w:r>
      <w:r w:rsidRPr="002F6CE5">
        <w:t xml:space="preserve"> or subrecipient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1824371C" w14:textId="63DB57C8" w:rsidR="002F6CE5" w:rsidRDefault="002F6CE5" w:rsidP="002F6CE5">
      <w:pPr>
        <w:pStyle w:val="Heading4"/>
      </w:pPr>
      <w:r w:rsidRPr="002F6CE5">
        <w:t>For purposes of this section:</w:t>
      </w:r>
    </w:p>
    <w:p w14:paraId="70C38745" w14:textId="2EBA4046" w:rsidR="002F6CE5" w:rsidRDefault="002F6CE5" w:rsidP="002F6CE5">
      <w:pPr>
        <w:pStyle w:val="ListParagraph"/>
        <w:numPr>
          <w:ilvl w:val="0"/>
          <w:numId w:val="11"/>
        </w:numPr>
        <w:contextualSpacing w:val="0"/>
      </w:pPr>
      <w:r w:rsidRPr="002F6CE5">
        <w:t>“Produced in the United States” means, for iron and steel products, that all manufacturing processes, from the initial melting stage through the application of coatings, occurred in the United States.</w:t>
      </w:r>
    </w:p>
    <w:p w14:paraId="3A407B9F" w14:textId="3BC6AD36" w:rsidR="002F6CE5" w:rsidRDefault="002F6CE5" w:rsidP="002F6CE5">
      <w:pPr>
        <w:pStyle w:val="ListParagraph"/>
        <w:numPr>
          <w:ilvl w:val="0"/>
          <w:numId w:val="11"/>
        </w:numPr>
        <w:contextualSpacing w:val="0"/>
      </w:pPr>
      <w:r w:rsidRPr="002F6CE5">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4FEFCAE8" w14:textId="09B6CC5B" w:rsidR="002F6CE5" w:rsidRDefault="002F6CE5" w:rsidP="002F6CE5">
      <w:r w:rsidRPr="002F6CE5">
        <w:t xml:space="preserve">In addition to the above clauses, the </w:t>
      </w:r>
      <w:r>
        <w:t>selected Respondent will</w:t>
      </w:r>
      <w:r w:rsidRPr="002F6CE5">
        <w:t xml:space="preserve"> agree with, and shall adhere to, the following:</w:t>
      </w:r>
    </w:p>
    <w:p w14:paraId="44CA73A9" w14:textId="08CFD0CC" w:rsidR="002F6CE5" w:rsidRDefault="002F6CE5" w:rsidP="002F6CE5">
      <w:pPr>
        <w:pStyle w:val="Heading2"/>
      </w:pPr>
      <w:r>
        <w:lastRenderedPageBreak/>
        <w:t>Tobacco Smoke</w:t>
      </w:r>
    </w:p>
    <w:p w14:paraId="2789C6E7" w14:textId="47EB10D9" w:rsidR="002F6CE5" w:rsidRPr="002F6CE5" w:rsidRDefault="002F6CE5" w:rsidP="002F6CE5">
      <w:pPr>
        <w:ind w:left="720"/>
      </w:pPr>
      <w:r w:rsidRPr="002F6CE5">
        <w:t>Public Law 103-227, Title X, Part C, also known as the Pro-Children Act of 1994 (20 U.S.C. § 6083) prohibits smoking in any portion of any indoor facility owned or leased or contracted for by an entity used routinely or regularly for the provision of health, daycare, education, or library services to children under the age of 18 if the services are funded by Federal programs either directly or through state or local governments by Federal grant, contract, loan or loan guarantee.</w:t>
      </w:r>
    </w:p>
    <w:p w14:paraId="6C02D023" w14:textId="1FF23EEF" w:rsidR="002F6CE5" w:rsidRDefault="002F6CE5" w:rsidP="002F6CE5">
      <w:pPr>
        <w:pStyle w:val="Heading2"/>
      </w:pPr>
      <w:r>
        <w:t>Drug-Free Workplace Requirements</w:t>
      </w:r>
    </w:p>
    <w:p w14:paraId="2B651218" w14:textId="19A18648" w:rsidR="002F6CE5" w:rsidRPr="002F6CE5" w:rsidRDefault="002F6CE5" w:rsidP="002F6CE5">
      <w:pPr>
        <w:ind w:left="720"/>
      </w:pPr>
      <w:r w:rsidRPr="002F6CE5">
        <w:t xml:space="preserve">In accordance with provisions of Title V, Subtitle D of Public Law 100-690 or Public Law 111-350 (41 U.S.C. § 8101 et seq.), the Drug-Free Workplace Act of 1988, the </w:t>
      </w:r>
      <w:r>
        <w:t>selected Respondent</w:t>
      </w:r>
      <w:r w:rsidRPr="002F6CE5">
        <w:t xml:space="preserve"> must maintain a drug-free workplace and must publish a statement informing employees that the unlawful manufacture, distribution, dispensing, possession, or use of a controlled substance is prohibited in the workplace and establishing the actions that will be taken against employees violating these prohibitions. Failure to comply with these requirements may be cause for debarment.</w:t>
      </w:r>
    </w:p>
    <w:p w14:paraId="52C5746A" w14:textId="64A92EC7" w:rsidR="002F6CE5" w:rsidRDefault="002F6CE5" w:rsidP="002F6CE5">
      <w:pPr>
        <w:pStyle w:val="Heading2"/>
      </w:pPr>
      <w:r>
        <w:t>Transparency Act</w:t>
      </w:r>
    </w:p>
    <w:p w14:paraId="49747217" w14:textId="3F4C0025" w:rsidR="002F6CE5" w:rsidRPr="002F6CE5" w:rsidRDefault="002F6CE5" w:rsidP="002F6CE5">
      <w:pPr>
        <w:ind w:left="720"/>
      </w:pPr>
      <w:r w:rsidRPr="002F6CE5">
        <w:t>Awards under Federal programs are included under the provisions of Public Law 109-282, the Federal Funds Accountability and Transparency Act of 2006. Under this statute, the State is required to report information regarding executive compensation and all subawards, contracts and subcontracts in excess of $30,000 through the Federal Subaward Reporting System (https://www.fsrs.gov) and in accordance with the terms found in Federal regulations at 2 C.F.R. Part 170, including Appendix A. Therefore, all Subrecipients, who meet this threshold, will be required to furnish this information to the division within ADECA which is funding the Subrecipient agreement. Specific reporting processes will be provided by the applicable ADECA division to Subrecipients.</w:t>
      </w:r>
    </w:p>
    <w:p w14:paraId="61AE8C7C" w14:textId="61AE6BA6" w:rsidR="002F6CE5" w:rsidRDefault="002F6CE5" w:rsidP="002F6CE5">
      <w:pPr>
        <w:pStyle w:val="Heading2"/>
      </w:pPr>
      <w:r>
        <w:t>Political Activity</w:t>
      </w:r>
    </w:p>
    <w:p w14:paraId="7B64A1D5" w14:textId="699E2297" w:rsidR="002F6CE5" w:rsidRPr="002F6CE5" w:rsidRDefault="002F6CE5" w:rsidP="002F6CE5">
      <w:pPr>
        <w:ind w:left="720"/>
      </w:pPr>
      <w:r w:rsidRPr="002F6CE5">
        <w:t xml:space="preserve">The </w:t>
      </w:r>
      <w:r>
        <w:t>selected Respondent</w:t>
      </w:r>
      <w:r w:rsidRPr="002F6CE5">
        <w:t xml:space="preserve"> shall comply with the Hatch Act, 5 U.S.C. § 1501 et seq., regarding political activity by public employees or those paid with Federal funds. None of the funds, materials, property, or services contributed by the </w:t>
      </w:r>
      <w:r>
        <w:t>selected Respondent</w:t>
      </w:r>
      <w:r w:rsidRPr="002F6CE5">
        <w:t xml:space="preserve"> or </w:t>
      </w:r>
      <w:r>
        <w:t>ADECA</w:t>
      </w:r>
      <w:r w:rsidRPr="002F6CE5">
        <w:t xml:space="preserve"> under th</w:t>
      </w:r>
      <w:r>
        <w:t xml:space="preserve">e contract </w:t>
      </w:r>
      <w:r w:rsidRPr="002F6CE5">
        <w:t>shall be used for any partisan political activity or to further the election or defeat of any candidate in public office.</w:t>
      </w:r>
    </w:p>
    <w:p w14:paraId="4500742C" w14:textId="02BB53FE" w:rsidR="002F6CE5" w:rsidRDefault="002F6CE5" w:rsidP="002F6CE5">
      <w:pPr>
        <w:pStyle w:val="Heading2"/>
      </w:pPr>
      <w:r>
        <w:t>Human Trafficking Provisions</w:t>
      </w:r>
    </w:p>
    <w:p w14:paraId="6791E1D5" w14:textId="30E0E988" w:rsidR="002F6CE5" w:rsidRPr="002F6CE5" w:rsidRDefault="002F6CE5" w:rsidP="002F6CE5">
      <w:pPr>
        <w:ind w:left="720"/>
      </w:pPr>
      <w:r w:rsidRPr="002F6CE5">
        <w:t>Th</w:t>
      </w:r>
      <w:r>
        <w:t>e contract shall be</w:t>
      </w:r>
      <w:r w:rsidRPr="002F6CE5">
        <w:t xml:space="preserve"> subject to the requirements of Section 106(g) of the Trafficking Victims Protection Act of 2000, codified in 22 U.S.C. § 7104.</w:t>
      </w:r>
    </w:p>
    <w:p w14:paraId="7C13B91B" w14:textId="3F6BC4AC" w:rsidR="002F6CE5" w:rsidRDefault="002F6CE5" w:rsidP="002F6CE5">
      <w:pPr>
        <w:pStyle w:val="Heading2"/>
      </w:pPr>
      <w:r>
        <w:lastRenderedPageBreak/>
        <w:t>Purchases of American-Made Equipment and Products</w:t>
      </w:r>
    </w:p>
    <w:p w14:paraId="2464D227" w14:textId="750014C6" w:rsidR="002F6CE5" w:rsidRPr="002F6CE5" w:rsidRDefault="002F6CE5" w:rsidP="002F6CE5">
      <w:pPr>
        <w:ind w:left="720"/>
      </w:pPr>
      <w:r w:rsidRPr="002F6CE5">
        <w:t xml:space="preserve">As stated in Section 507 of Public Law 103-333, it is the sense of Congress that, to the extent practicable, all equipment and product purchases with funds from this Agreement should be </w:t>
      </w:r>
      <w:r w:rsidRPr="00FA7F1D">
        <w:t>American-made</w:t>
      </w:r>
      <w:r w:rsidRPr="002F6CE5">
        <w:t>.</w:t>
      </w:r>
    </w:p>
    <w:p w14:paraId="5EC10F77" w14:textId="1F29E605" w:rsidR="002F6CE5" w:rsidRDefault="002F6CE5" w:rsidP="002F6CE5">
      <w:pPr>
        <w:pStyle w:val="Heading2"/>
      </w:pPr>
      <w:r>
        <w:t>Mandatory Disclosures</w:t>
      </w:r>
    </w:p>
    <w:p w14:paraId="256A0B7C" w14:textId="65DD7387" w:rsidR="006855DB" w:rsidRDefault="002F6CE5" w:rsidP="002F6CE5">
      <w:pPr>
        <w:ind w:left="720"/>
      </w:pPr>
      <w:r w:rsidRPr="002F6CE5">
        <w:t>Pursuant to 2 C.F.R. § 200.113, the Subrecipient must disclose, in a timely manner, in writing to the Department all violations of Federal criminal law involving fraud, bribery, or gratuity violations.</w:t>
      </w:r>
    </w:p>
    <w:p w14:paraId="4A919809" w14:textId="77777777" w:rsidR="002F20CE" w:rsidRDefault="002F20CE" w:rsidP="006855DB">
      <w:pPr>
        <w:ind w:left="0"/>
        <w:sectPr w:rsidR="002F20CE">
          <w:headerReference w:type="default" r:id="rId20"/>
          <w:footerReference w:type="default" r:id="rId21"/>
          <w:pgSz w:w="12240" w:h="15840"/>
          <w:pgMar w:top="1440" w:right="1440" w:bottom="1440" w:left="1440" w:header="720" w:footer="720" w:gutter="0"/>
          <w:cols w:space="720"/>
          <w:docGrid w:linePitch="360"/>
        </w:sectPr>
      </w:pPr>
    </w:p>
    <w:p w14:paraId="16842072" w14:textId="1C642FFC" w:rsidR="002F6CE5" w:rsidRDefault="006855DB" w:rsidP="006855DB">
      <w:pPr>
        <w:ind w:left="0"/>
      </w:pPr>
      <w:r>
        <w:lastRenderedPageBreak/>
        <w:t>Attachment 1</w:t>
      </w:r>
    </w:p>
    <w:p w14:paraId="78DCDF81" w14:textId="70DB4E11" w:rsidR="006855DB" w:rsidRPr="006855DB" w:rsidRDefault="006855DB" w:rsidP="006855DB">
      <w:pPr>
        <w:spacing w:after="0"/>
        <w:ind w:left="0"/>
        <w:jc w:val="center"/>
        <w:rPr>
          <w:b/>
          <w:bCs/>
        </w:rPr>
      </w:pPr>
      <w:r w:rsidRPr="006855DB">
        <w:rPr>
          <w:b/>
        </w:rPr>
        <w:t>State of Alabama Budget Detail and Summary</w:t>
      </w:r>
    </w:p>
    <w:p w14:paraId="2C1B0F00" w14:textId="1F0A17B3" w:rsidR="006855DB" w:rsidRDefault="006855DB" w:rsidP="006855DB">
      <w:pPr>
        <w:spacing w:after="0"/>
        <w:ind w:left="0"/>
        <w:jc w:val="center"/>
        <w:rPr>
          <w:b/>
          <w:bCs/>
        </w:rPr>
      </w:pPr>
      <w:r w:rsidRPr="006855DB">
        <w:rPr>
          <w:b/>
        </w:rPr>
        <w:t>Racial and Ethnic Disparity Coordinator</w:t>
      </w:r>
    </w:p>
    <w:p w14:paraId="613BF2E2" w14:textId="3739F4DF" w:rsidR="006855DB" w:rsidRDefault="006855DB" w:rsidP="006855DB">
      <w:pPr>
        <w:ind w:left="0"/>
        <w:jc w:val="center"/>
        <w:rPr>
          <w:b/>
          <w:bCs/>
        </w:rPr>
      </w:pPr>
      <w:r>
        <w:rPr>
          <w:b/>
        </w:rPr>
        <w:t>One-Year Budget Summary</w:t>
      </w:r>
    </w:p>
    <w:p w14:paraId="4573E122" w14:textId="77777777" w:rsidR="00EC6C62" w:rsidRDefault="00EC6C62" w:rsidP="006855DB">
      <w:pPr>
        <w:ind w:left="0"/>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20"/>
      </w:tblGrid>
      <w:tr w:rsidR="006855DB" w14:paraId="5B083614" w14:textId="77777777" w:rsidTr="006855DB">
        <w:trPr>
          <w:trHeight w:val="864"/>
        </w:trPr>
        <w:tc>
          <w:tcPr>
            <w:tcW w:w="6030" w:type="dxa"/>
            <w:vAlign w:val="center"/>
          </w:tcPr>
          <w:p w14:paraId="6AD9977D" w14:textId="44E955C2" w:rsidR="006855DB" w:rsidRDefault="006855DB" w:rsidP="006855DB">
            <w:pPr>
              <w:ind w:left="0"/>
              <w:rPr>
                <w:b/>
                <w:bCs/>
              </w:rPr>
            </w:pPr>
            <w:r>
              <w:rPr>
                <w:b/>
              </w:rPr>
              <w:t>Cost Category:</w:t>
            </w:r>
          </w:p>
        </w:tc>
        <w:tc>
          <w:tcPr>
            <w:tcW w:w="3320" w:type="dxa"/>
            <w:vAlign w:val="center"/>
          </w:tcPr>
          <w:p w14:paraId="3895847B" w14:textId="3900AA8C" w:rsidR="006855DB" w:rsidRDefault="006855DB" w:rsidP="006855DB">
            <w:pPr>
              <w:ind w:left="0"/>
              <w:rPr>
                <w:b/>
                <w:bCs/>
              </w:rPr>
            </w:pPr>
            <w:r>
              <w:rPr>
                <w:b/>
              </w:rPr>
              <w:t>Amount:</w:t>
            </w:r>
          </w:p>
        </w:tc>
      </w:tr>
      <w:tr w:rsidR="006855DB" w14:paraId="1B6E28C8" w14:textId="77777777" w:rsidTr="006855DB">
        <w:trPr>
          <w:trHeight w:val="864"/>
        </w:trPr>
        <w:tc>
          <w:tcPr>
            <w:tcW w:w="6030" w:type="dxa"/>
            <w:vAlign w:val="center"/>
          </w:tcPr>
          <w:p w14:paraId="650F7D79" w14:textId="6D7F0201" w:rsidR="006855DB" w:rsidRPr="006855DB" w:rsidRDefault="006855DB" w:rsidP="006855DB">
            <w:pPr>
              <w:pStyle w:val="ListParagraph"/>
              <w:numPr>
                <w:ilvl w:val="0"/>
                <w:numId w:val="21"/>
              </w:numPr>
            </w:pPr>
            <w:r w:rsidRPr="006855DB">
              <w:t>Personnel (Salaries)</w:t>
            </w:r>
          </w:p>
        </w:tc>
        <w:tc>
          <w:tcPr>
            <w:tcW w:w="3320" w:type="dxa"/>
            <w:vAlign w:val="center"/>
          </w:tcPr>
          <w:p w14:paraId="1E4D6D7D" w14:textId="39B64E37" w:rsidR="006855DB" w:rsidRPr="006855DB" w:rsidRDefault="006855DB" w:rsidP="006855DB">
            <w:pPr>
              <w:ind w:left="0"/>
            </w:pPr>
            <w:r w:rsidRPr="006855DB">
              <w:t>$__________</w:t>
            </w:r>
            <w:r>
              <w:t>____</w:t>
            </w:r>
          </w:p>
        </w:tc>
      </w:tr>
      <w:tr w:rsidR="006855DB" w14:paraId="2173440D" w14:textId="77777777" w:rsidTr="006855DB">
        <w:trPr>
          <w:trHeight w:val="864"/>
        </w:trPr>
        <w:tc>
          <w:tcPr>
            <w:tcW w:w="6030" w:type="dxa"/>
            <w:vAlign w:val="center"/>
          </w:tcPr>
          <w:p w14:paraId="6C1F485C" w14:textId="39FC5D9C" w:rsidR="006855DB" w:rsidRPr="006855DB" w:rsidRDefault="006855DB" w:rsidP="006855DB">
            <w:pPr>
              <w:pStyle w:val="ListParagraph"/>
              <w:numPr>
                <w:ilvl w:val="0"/>
                <w:numId w:val="21"/>
              </w:numPr>
            </w:pPr>
            <w:r>
              <w:t>Personnel (Fringe Benefits)</w:t>
            </w:r>
          </w:p>
        </w:tc>
        <w:tc>
          <w:tcPr>
            <w:tcW w:w="3320" w:type="dxa"/>
            <w:vAlign w:val="center"/>
          </w:tcPr>
          <w:p w14:paraId="0727EB1C" w14:textId="4F633CDE" w:rsidR="006855DB" w:rsidRPr="006855DB" w:rsidRDefault="006855DB" w:rsidP="006855DB">
            <w:pPr>
              <w:ind w:left="0"/>
            </w:pPr>
            <w:r w:rsidRPr="006855DB">
              <w:t>$__________</w:t>
            </w:r>
            <w:r>
              <w:t>____</w:t>
            </w:r>
          </w:p>
        </w:tc>
      </w:tr>
      <w:tr w:rsidR="006855DB" w14:paraId="4D7EC138" w14:textId="77777777" w:rsidTr="006855DB">
        <w:trPr>
          <w:trHeight w:val="864"/>
        </w:trPr>
        <w:tc>
          <w:tcPr>
            <w:tcW w:w="6030" w:type="dxa"/>
            <w:vAlign w:val="center"/>
          </w:tcPr>
          <w:p w14:paraId="5E066702" w14:textId="0E79C089" w:rsidR="006855DB" w:rsidRPr="006855DB" w:rsidRDefault="006855DB" w:rsidP="006855DB">
            <w:pPr>
              <w:pStyle w:val="ListParagraph"/>
              <w:numPr>
                <w:ilvl w:val="0"/>
                <w:numId w:val="21"/>
              </w:numPr>
            </w:pPr>
            <w:r>
              <w:t>Travel</w:t>
            </w:r>
          </w:p>
        </w:tc>
        <w:tc>
          <w:tcPr>
            <w:tcW w:w="3320" w:type="dxa"/>
            <w:vAlign w:val="center"/>
          </w:tcPr>
          <w:p w14:paraId="36AAB216" w14:textId="73288504" w:rsidR="006855DB" w:rsidRPr="006855DB" w:rsidRDefault="006855DB" w:rsidP="006855DB">
            <w:pPr>
              <w:ind w:left="0"/>
            </w:pPr>
            <w:r w:rsidRPr="006855DB">
              <w:t>$__________</w:t>
            </w:r>
            <w:r>
              <w:t>____</w:t>
            </w:r>
          </w:p>
        </w:tc>
      </w:tr>
      <w:tr w:rsidR="006855DB" w14:paraId="31739B39" w14:textId="77777777" w:rsidTr="006855DB">
        <w:trPr>
          <w:trHeight w:val="864"/>
        </w:trPr>
        <w:tc>
          <w:tcPr>
            <w:tcW w:w="6030" w:type="dxa"/>
            <w:vAlign w:val="center"/>
          </w:tcPr>
          <w:p w14:paraId="12C76946" w14:textId="3EFFB8DA" w:rsidR="006855DB" w:rsidRPr="006855DB" w:rsidRDefault="006855DB" w:rsidP="006855DB">
            <w:pPr>
              <w:pStyle w:val="ListParagraph"/>
              <w:numPr>
                <w:ilvl w:val="0"/>
                <w:numId w:val="21"/>
              </w:numPr>
            </w:pPr>
            <w:r>
              <w:t>Equipment</w:t>
            </w:r>
          </w:p>
        </w:tc>
        <w:tc>
          <w:tcPr>
            <w:tcW w:w="3320" w:type="dxa"/>
            <w:vAlign w:val="center"/>
          </w:tcPr>
          <w:p w14:paraId="071E5370" w14:textId="1A09140C" w:rsidR="006855DB" w:rsidRPr="006855DB" w:rsidRDefault="006855DB" w:rsidP="006855DB">
            <w:pPr>
              <w:ind w:left="0"/>
            </w:pPr>
            <w:r w:rsidRPr="006855DB">
              <w:t>$__________</w:t>
            </w:r>
            <w:r>
              <w:t>____</w:t>
            </w:r>
          </w:p>
        </w:tc>
      </w:tr>
      <w:tr w:rsidR="006855DB" w14:paraId="3AED05EE" w14:textId="77777777" w:rsidTr="006855DB">
        <w:trPr>
          <w:trHeight w:val="864"/>
        </w:trPr>
        <w:tc>
          <w:tcPr>
            <w:tcW w:w="6030" w:type="dxa"/>
            <w:vAlign w:val="center"/>
          </w:tcPr>
          <w:p w14:paraId="3B16A1A4" w14:textId="1667BC2E" w:rsidR="006855DB" w:rsidRPr="006855DB" w:rsidRDefault="006855DB" w:rsidP="006855DB">
            <w:pPr>
              <w:pStyle w:val="ListParagraph"/>
              <w:numPr>
                <w:ilvl w:val="0"/>
                <w:numId w:val="21"/>
              </w:numPr>
            </w:pPr>
            <w:r>
              <w:t>Supplies</w:t>
            </w:r>
          </w:p>
        </w:tc>
        <w:tc>
          <w:tcPr>
            <w:tcW w:w="3320" w:type="dxa"/>
            <w:vAlign w:val="center"/>
          </w:tcPr>
          <w:p w14:paraId="6E43D270" w14:textId="5561634C" w:rsidR="006855DB" w:rsidRPr="006855DB" w:rsidRDefault="006855DB" w:rsidP="006855DB">
            <w:pPr>
              <w:ind w:left="0"/>
            </w:pPr>
            <w:r w:rsidRPr="006855DB">
              <w:t>$__________</w:t>
            </w:r>
            <w:r>
              <w:t>____</w:t>
            </w:r>
          </w:p>
        </w:tc>
      </w:tr>
      <w:tr w:rsidR="006855DB" w14:paraId="17775AC2" w14:textId="77777777" w:rsidTr="006855DB">
        <w:trPr>
          <w:trHeight w:val="864"/>
        </w:trPr>
        <w:tc>
          <w:tcPr>
            <w:tcW w:w="6030" w:type="dxa"/>
            <w:vAlign w:val="center"/>
          </w:tcPr>
          <w:p w14:paraId="32093D06" w14:textId="2842CBA6" w:rsidR="006855DB" w:rsidRPr="006855DB" w:rsidRDefault="006855DB" w:rsidP="006855DB">
            <w:pPr>
              <w:pStyle w:val="ListParagraph"/>
              <w:numPr>
                <w:ilvl w:val="0"/>
                <w:numId w:val="21"/>
              </w:numPr>
            </w:pPr>
            <w:r>
              <w:t>Construction</w:t>
            </w:r>
          </w:p>
        </w:tc>
        <w:tc>
          <w:tcPr>
            <w:tcW w:w="3320" w:type="dxa"/>
            <w:vAlign w:val="center"/>
          </w:tcPr>
          <w:p w14:paraId="2776E68C" w14:textId="2D518B40" w:rsidR="006855DB" w:rsidRPr="006855DB" w:rsidRDefault="006855DB" w:rsidP="006855DB">
            <w:pPr>
              <w:ind w:left="0"/>
            </w:pPr>
            <w:r w:rsidRPr="006855DB">
              <w:t>$__________</w:t>
            </w:r>
            <w:r>
              <w:t>____</w:t>
            </w:r>
          </w:p>
        </w:tc>
      </w:tr>
      <w:tr w:rsidR="006855DB" w14:paraId="708DCB9A" w14:textId="77777777" w:rsidTr="006855DB">
        <w:trPr>
          <w:trHeight w:val="864"/>
        </w:trPr>
        <w:tc>
          <w:tcPr>
            <w:tcW w:w="6030" w:type="dxa"/>
            <w:vAlign w:val="center"/>
          </w:tcPr>
          <w:p w14:paraId="58E18C68" w14:textId="7821C2BD" w:rsidR="006855DB" w:rsidRPr="006855DB" w:rsidRDefault="006855DB" w:rsidP="006855DB">
            <w:pPr>
              <w:pStyle w:val="ListParagraph"/>
              <w:numPr>
                <w:ilvl w:val="0"/>
                <w:numId w:val="21"/>
              </w:numPr>
            </w:pPr>
            <w:r>
              <w:t>Consultants/Contracts</w:t>
            </w:r>
          </w:p>
        </w:tc>
        <w:tc>
          <w:tcPr>
            <w:tcW w:w="3320" w:type="dxa"/>
            <w:vAlign w:val="center"/>
          </w:tcPr>
          <w:p w14:paraId="5FD45A01" w14:textId="5EC25560" w:rsidR="006855DB" w:rsidRPr="006855DB" w:rsidRDefault="006855DB" w:rsidP="006855DB">
            <w:pPr>
              <w:ind w:left="0"/>
            </w:pPr>
            <w:r w:rsidRPr="006855DB">
              <w:t>$__________</w:t>
            </w:r>
            <w:r>
              <w:t>____</w:t>
            </w:r>
          </w:p>
        </w:tc>
      </w:tr>
      <w:tr w:rsidR="006855DB" w14:paraId="522B9B52" w14:textId="77777777" w:rsidTr="006855DB">
        <w:trPr>
          <w:trHeight w:val="864"/>
        </w:trPr>
        <w:tc>
          <w:tcPr>
            <w:tcW w:w="6030" w:type="dxa"/>
            <w:vAlign w:val="center"/>
          </w:tcPr>
          <w:p w14:paraId="35437ED7" w14:textId="0972ED7E" w:rsidR="006855DB" w:rsidRPr="006855DB" w:rsidRDefault="006855DB" w:rsidP="006855DB">
            <w:pPr>
              <w:pStyle w:val="ListParagraph"/>
              <w:numPr>
                <w:ilvl w:val="0"/>
                <w:numId w:val="21"/>
              </w:numPr>
            </w:pPr>
            <w:r>
              <w:t>Other Costs</w:t>
            </w:r>
          </w:p>
        </w:tc>
        <w:tc>
          <w:tcPr>
            <w:tcW w:w="3320" w:type="dxa"/>
            <w:vAlign w:val="center"/>
          </w:tcPr>
          <w:p w14:paraId="7965D1B9" w14:textId="16FBE222" w:rsidR="006855DB" w:rsidRPr="006855DB" w:rsidRDefault="006855DB" w:rsidP="006855DB">
            <w:pPr>
              <w:ind w:left="0"/>
            </w:pPr>
            <w:r w:rsidRPr="006855DB">
              <w:t>$__________</w:t>
            </w:r>
            <w:r>
              <w:t>____</w:t>
            </w:r>
          </w:p>
        </w:tc>
      </w:tr>
      <w:tr w:rsidR="006855DB" w14:paraId="557708B5" w14:textId="77777777" w:rsidTr="006855DB">
        <w:trPr>
          <w:trHeight w:val="864"/>
        </w:trPr>
        <w:tc>
          <w:tcPr>
            <w:tcW w:w="6030" w:type="dxa"/>
            <w:vAlign w:val="center"/>
          </w:tcPr>
          <w:p w14:paraId="6B176B39" w14:textId="62A72811" w:rsidR="006855DB" w:rsidRPr="006855DB" w:rsidRDefault="006855DB" w:rsidP="006855DB">
            <w:pPr>
              <w:ind w:left="0"/>
              <w:rPr>
                <w:b/>
                <w:bCs/>
              </w:rPr>
            </w:pPr>
            <w:r w:rsidRPr="006855DB">
              <w:rPr>
                <w:b/>
              </w:rPr>
              <w:t>Total</w:t>
            </w:r>
          </w:p>
        </w:tc>
        <w:tc>
          <w:tcPr>
            <w:tcW w:w="3320" w:type="dxa"/>
            <w:vAlign w:val="center"/>
          </w:tcPr>
          <w:p w14:paraId="7C795321" w14:textId="4A2E8C93" w:rsidR="006855DB" w:rsidRPr="006855DB" w:rsidRDefault="006855DB" w:rsidP="006855DB">
            <w:pPr>
              <w:ind w:left="0"/>
              <w:rPr>
                <w:b/>
                <w:bCs/>
              </w:rPr>
            </w:pPr>
            <w:bookmarkStart w:id="2" w:name="_Hlk155259261"/>
            <w:r w:rsidRPr="006855DB">
              <w:rPr>
                <w:b/>
              </w:rPr>
              <w:t>$__________</w:t>
            </w:r>
            <w:r>
              <w:rPr>
                <w:b/>
              </w:rPr>
              <w:t>____</w:t>
            </w:r>
            <w:bookmarkEnd w:id="2"/>
          </w:p>
        </w:tc>
      </w:tr>
    </w:tbl>
    <w:p w14:paraId="3A63BE07" w14:textId="48CB88BB" w:rsidR="006855DB" w:rsidRDefault="006855DB" w:rsidP="006855DB">
      <w:pPr>
        <w:ind w:left="0"/>
        <w:jc w:val="left"/>
        <w:rPr>
          <w:b/>
          <w:bCs/>
        </w:rPr>
      </w:pPr>
    </w:p>
    <w:p w14:paraId="18AF72FD" w14:textId="77777777" w:rsidR="002F20CE" w:rsidRDefault="002F20CE" w:rsidP="002F20CE">
      <w:pPr>
        <w:spacing w:after="0"/>
        <w:ind w:left="0"/>
        <w:jc w:val="left"/>
        <w:sectPr w:rsidR="002F20CE" w:rsidSect="002F20CE">
          <w:footerReference w:type="default" r:id="rId22"/>
          <w:pgSz w:w="12240" w:h="15840"/>
          <w:pgMar w:top="1440" w:right="1440" w:bottom="1440" w:left="1440" w:header="720" w:footer="720" w:gutter="0"/>
          <w:pgNumType w:start="1"/>
          <w:cols w:space="720"/>
          <w:docGrid w:linePitch="360"/>
        </w:sectPr>
      </w:pPr>
    </w:p>
    <w:p w14:paraId="284DB954" w14:textId="3C98BF4E" w:rsidR="006855DB" w:rsidRPr="002F20CE" w:rsidRDefault="006855DB" w:rsidP="002F20CE">
      <w:pPr>
        <w:spacing w:after="0"/>
        <w:ind w:left="0"/>
        <w:jc w:val="left"/>
        <w:rPr>
          <w:b/>
          <w:bCs/>
        </w:rPr>
      </w:pPr>
      <w:r w:rsidRPr="006855DB">
        <w:lastRenderedPageBreak/>
        <w:t>Attachment 2</w:t>
      </w:r>
    </w:p>
    <w:p w14:paraId="0DF9B1F0" w14:textId="77777777" w:rsidR="006855DB" w:rsidRPr="006855DB" w:rsidRDefault="006855DB" w:rsidP="006855DB">
      <w:pPr>
        <w:spacing w:after="0"/>
        <w:ind w:left="0"/>
        <w:jc w:val="center"/>
        <w:rPr>
          <w:b/>
          <w:bCs/>
        </w:rPr>
      </w:pPr>
      <w:r w:rsidRPr="006855DB">
        <w:rPr>
          <w:b/>
        </w:rPr>
        <w:t>State of Alabama Budget Detail and Summary</w:t>
      </w:r>
    </w:p>
    <w:p w14:paraId="3F2C04C7" w14:textId="77777777" w:rsidR="006855DB" w:rsidRPr="006855DB" w:rsidRDefault="006855DB" w:rsidP="006855DB">
      <w:pPr>
        <w:spacing w:after="0"/>
        <w:ind w:left="0"/>
        <w:jc w:val="center"/>
        <w:rPr>
          <w:b/>
          <w:bCs/>
        </w:rPr>
      </w:pPr>
      <w:r w:rsidRPr="006855DB">
        <w:rPr>
          <w:b/>
        </w:rPr>
        <w:t>Racial and Ethnic Disparity Coordinator</w:t>
      </w:r>
    </w:p>
    <w:p w14:paraId="36C6D217" w14:textId="41EBF78B" w:rsidR="006855DB" w:rsidRDefault="006855DB" w:rsidP="006855DB">
      <w:pPr>
        <w:ind w:left="0"/>
        <w:jc w:val="center"/>
        <w:rPr>
          <w:b/>
          <w:bCs/>
        </w:rPr>
      </w:pPr>
      <w:r>
        <w:rPr>
          <w:b/>
        </w:rPr>
        <w:t>Budget Detail Worksheet</w:t>
      </w:r>
    </w:p>
    <w:p w14:paraId="14846C43" w14:textId="77777777" w:rsidR="00EC6C62" w:rsidRDefault="00EC6C62" w:rsidP="006855DB">
      <w:pPr>
        <w:ind w:left="0"/>
        <w:jc w:val="center"/>
        <w:rPr>
          <w:b/>
          <w:bCs/>
        </w:rPr>
      </w:pPr>
    </w:p>
    <w:p w14:paraId="55400333" w14:textId="5A64216C" w:rsidR="006855DB" w:rsidRPr="006855DB" w:rsidRDefault="006855DB" w:rsidP="006855DB">
      <w:pPr>
        <w:pStyle w:val="ListParagraph"/>
        <w:numPr>
          <w:ilvl w:val="0"/>
          <w:numId w:val="22"/>
        </w:numPr>
        <w:rPr>
          <w:b/>
          <w:bCs/>
        </w:rPr>
      </w:pPr>
      <w:r w:rsidRPr="006855DB">
        <w:rPr>
          <w:b/>
        </w:rPr>
        <w:t>Personnel (Salaries)</w:t>
      </w:r>
    </w:p>
    <w:p w14:paraId="4E630D6A" w14:textId="390C6653" w:rsidR="006855DB" w:rsidRDefault="006855DB" w:rsidP="00EC6C62">
      <w:pPr>
        <w:pStyle w:val="ListParagraph"/>
        <w:contextualSpacing w:val="0"/>
      </w:pPr>
      <w:r>
        <w:t>List each position</w:t>
      </w:r>
      <w:r w:rsidRPr="006855DB">
        <w:t xml:space="preserve">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14:paraId="2BBE5B97" w14:textId="65CB324A" w:rsidR="00EC6C62" w:rsidRPr="00EC6C62" w:rsidRDefault="00EC6C62" w:rsidP="00EC6C62">
      <w:pPr>
        <w:pStyle w:val="ListParagraph"/>
        <w:contextualSpacing w:val="0"/>
        <w:rPr>
          <w:u w:val="single"/>
        </w:rPr>
      </w:pPr>
      <w:bookmarkStart w:id="3" w:name="_Hlk155259338"/>
      <w:r w:rsidRPr="00EC6C62">
        <w:rPr>
          <w:u w:val="single"/>
        </w:rPr>
        <w:t>Name/Position</w:t>
      </w:r>
      <w:r w:rsidRPr="00EC6C62">
        <w:rPr>
          <w:u w:val="single"/>
        </w:rPr>
        <w:tab/>
      </w:r>
      <w:r w:rsidRPr="00EC6C62">
        <w:rPr>
          <w:u w:val="single"/>
        </w:rPr>
        <w:tab/>
      </w:r>
      <w:r w:rsidRPr="00EC6C62">
        <w:rPr>
          <w:u w:val="single"/>
        </w:rPr>
        <w:tab/>
      </w:r>
      <w:r w:rsidRPr="00EC6C62">
        <w:rPr>
          <w:u w:val="single"/>
        </w:rPr>
        <w:tab/>
        <w:t>Salary Computation</w:t>
      </w:r>
      <w:r w:rsidRPr="00EC6C62">
        <w:rPr>
          <w:u w:val="single"/>
        </w:rPr>
        <w:tab/>
      </w:r>
      <w:r w:rsidRPr="00EC6C62">
        <w:rPr>
          <w:u w:val="single"/>
        </w:rPr>
        <w:tab/>
      </w:r>
      <w:r w:rsidRPr="00EC6C62">
        <w:rPr>
          <w:u w:val="single"/>
        </w:rPr>
        <w:tab/>
      </w:r>
      <w:r w:rsidRPr="00EC6C62">
        <w:rPr>
          <w:u w:val="single"/>
        </w:rPr>
        <w:tab/>
        <w:t>Cost</w:t>
      </w:r>
    </w:p>
    <w:p w14:paraId="3F55225D" w14:textId="7799856C" w:rsidR="00EC6C62" w:rsidRDefault="00EC6C62" w:rsidP="00EC6C62">
      <w:pPr>
        <w:pStyle w:val="ListParagraph"/>
        <w:contextualSpacing w:val="0"/>
      </w:pPr>
    </w:p>
    <w:p w14:paraId="57A081EF" w14:textId="2A61984C" w:rsidR="00EC6C62" w:rsidRPr="000A4957" w:rsidRDefault="00EC6C62" w:rsidP="00EC6C62">
      <w:pPr>
        <w:pStyle w:val="ListParagraph"/>
        <w:contextualSpacing w:val="0"/>
        <w:rPr>
          <w:b/>
          <w:bCs/>
        </w:rPr>
      </w:pPr>
      <w:r w:rsidRPr="000A4957">
        <w:rPr>
          <w:b/>
        </w:rPr>
        <w:t>Total of Personnel Salaries:</w:t>
      </w:r>
      <w:r w:rsidRPr="000A4957">
        <w:rPr>
          <w:b/>
        </w:rPr>
        <w:tab/>
      </w:r>
      <w:r w:rsidRPr="000A4957">
        <w:rPr>
          <w:b/>
        </w:rPr>
        <w:tab/>
      </w:r>
      <w:r w:rsidRPr="000A4957">
        <w:rPr>
          <w:b/>
        </w:rPr>
        <w:tab/>
      </w:r>
      <w:r w:rsidRPr="000A4957">
        <w:rPr>
          <w:b/>
        </w:rPr>
        <w:tab/>
      </w:r>
      <w:r w:rsidRPr="000A4957">
        <w:rPr>
          <w:b/>
        </w:rPr>
        <w:tab/>
      </w:r>
      <w:r w:rsidRPr="000A4957">
        <w:rPr>
          <w:b/>
        </w:rPr>
        <w:tab/>
        <w:t>$______________</w:t>
      </w:r>
    </w:p>
    <w:bookmarkEnd w:id="3"/>
    <w:p w14:paraId="29EB0039" w14:textId="3EAC82A6" w:rsidR="00EC6C62" w:rsidRPr="00EC6C62" w:rsidRDefault="00EC6C62" w:rsidP="00EC6C62">
      <w:pPr>
        <w:pStyle w:val="ListParagraph"/>
        <w:numPr>
          <w:ilvl w:val="0"/>
          <w:numId w:val="22"/>
        </w:numPr>
        <w:spacing w:after="0"/>
        <w:contextualSpacing w:val="0"/>
        <w:rPr>
          <w:b/>
          <w:bCs/>
        </w:rPr>
      </w:pPr>
      <w:r w:rsidRPr="00EC6C62">
        <w:rPr>
          <w:b/>
        </w:rPr>
        <w:t>Personnel (Fringe Benefits)</w:t>
      </w:r>
    </w:p>
    <w:p w14:paraId="7B1CEA40" w14:textId="3F8F7B86" w:rsidR="00EC6C62" w:rsidRDefault="00EC6C62" w:rsidP="00EC6C62">
      <w:pPr>
        <w:pStyle w:val="ListParagraph"/>
        <w:contextualSpacing w:val="0"/>
      </w:pPr>
      <w:r w:rsidRPr="00EC6C62">
        <w:t>Fringe Benefits should be based on actual known costs or an established formula. Fringe Benefits are for the personnel listed in budget category (A) and only for the percentage of time devoted to the project.</w:t>
      </w:r>
    </w:p>
    <w:p w14:paraId="60EDBCC8" w14:textId="4FC5BA11" w:rsidR="00EC6C62" w:rsidRPr="00EC6C62" w:rsidRDefault="00EC6C62" w:rsidP="00EC6C62">
      <w:pPr>
        <w:pStyle w:val="ListParagraph"/>
        <w:contextualSpacing w:val="0"/>
        <w:rPr>
          <w:u w:val="single"/>
        </w:rPr>
      </w:pPr>
      <w:bookmarkStart w:id="4" w:name="_Hlk155259951"/>
      <w:r w:rsidRPr="00EC6C62">
        <w:rPr>
          <w:u w:val="single"/>
        </w:rPr>
        <w:t>Name/Position</w:t>
      </w:r>
      <w:r w:rsidRPr="00EC6C62">
        <w:rPr>
          <w:u w:val="single"/>
        </w:rPr>
        <w:tab/>
      </w:r>
      <w:r w:rsidRPr="00EC6C62">
        <w:rPr>
          <w:u w:val="single"/>
        </w:rPr>
        <w:tab/>
      </w:r>
      <w:r w:rsidRPr="00EC6C62">
        <w:rPr>
          <w:u w:val="single"/>
        </w:rPr>
        <w:tab/>
      </w:r>
      <w:r w:rsidRPr="00EC6C62">
        <w:rPr>
          <w:u w:val="single"/>
        </w:rPr>
        <w:tab/>
      </w:r>
      <w:r>
        <w:rPr>
          <w:u w:val="single"/>
        </w:rPr>
        <w:t>Fringe Benefits</w:t>
      </w:r>
      <w:r w:rsidRPr="00EC6C62">
        <w:rPr>
          <w:u w:val="single"/>
        </w:rPr>
        <w:t xml:space="preserve"> Computation</w:t>
      </w:r>
      <w:r w:rsidRPr="00EC6C62">
        <w:rPr>
          <w:u w:val="single"/>
        </w:rPr>
        <w:tab/>
      </w:r>
      <w:r w:rsidRPr="00EC6C62">
        <w:rPr>
          <w:u w:val="single"/>
        </w:rPr>
        <w:tab/>
      </w:r>
      <w:r w:rsidRPr="00EC6C62">
        <w:rPr>
          <w:u w:val="single"/>
        </w:rPr>
        <w:tab/>
        <w:t>Cost</w:t>
      </w:r>
    </w:p>
    <w:p w14:paraId="1B703520" w14:textId="77777777" w:rsidR="00EC6C62" w:rsidRDefault="00EC6C62" w:rsidP="00EC6C62">
      <w:pPr>
        <w:pStyle w:val="ListParagraph"/>
        <w:contextualSpacing w:val="0"/>
      </w:pPr>
    </w:p>
    <w:p w14:paraId="7E829A5E" w14:textId="28061C75" w:rsidR="00EC6C62" w:rsidRPr="00EC6C62" w:rsidRDefault="00EC6C62" w:rsidP="00EC6C62">
      <w:pPr>
        <w:pStyle w:val="ListParagraph"/>
        <w:contextualSpacing w:val="0"/>
        <w:rPr>
          <w:b/>
          <w:bCs/>
        </w:rPr>
      </w:pPr>
      <w:r w:rsidRPr="00EC6C62">
        <w:rPr>
          <w:b/>
        </w:rPr>
        <w:t>Total of Personnel Salaries:</w:t>
      </w:r>
      <w:r w:rsidRPr="00EC6C62">
        <w:rPr>
          <w:b/>
        </w:rPr>
        <w:tab/>
      </w:r>
      <w:r w:rsidRPr="00EC6C62">
        <w:rPr>
          <w:b/>
        </w:rPr>
        <w:tab/>
      </w:r>
      <w:r w:rsidRPr="00EC6C62">
        <w:rPr>
          <w:b/>
        </w:rPr>
        <w:tab/>
      </w:r>
      <w:r w:rsidRPr="00EC6C62">
        <w:rPr>
          <w:b/>
        </w:rPr>
        <w:tab/>
      </w:r>
      <w:r w:rsidRPr="00EC6C62">
        <w:rPr>
          <w:b/>
        </w:rPr>
        <w:tab/>
      </w:r>
      <w:r w:rsidRPr="00EC6C62">
        <w:rPr>
          <w:b/>
        </w:rPr>
        <w:tab/>
        <w:t>$______________</w:t>
      </w:r>
    </w:p>
    <w:bookmarkEnd w:id="4"/>
    <w:p w14:paraId="0D7E703A" w14:textId="37076109" w:rsidR="00EC6C62" w:rsidRPr="00EC6C62" w:rsidRDefault="00EC6C62" w:rsidP="00EC6C62">
      <w:pPr>
        <w:pStyle w:val="ListParagraph"/>
        <w:numPr>
          <w:ilvl w:val="0"/>
          <w:numId w:val="22"/>
        </w:numPr>
        <w:spacing w:after="0"/>
        <w:contextualSpacing w:val="0"/>
        <w:rPr>
          <w:b/>
          <w:bCs/>
        </w:rPr>
      </w:pPr>
      <w:r w:rsidRPr="00EC6C62">
        <w:rPr>
          <w:b/>
        </w:rPr>
        <w:t>Travel</w:t>
      </w:r>
    </w:p>
    <w:p w14:paraId="31226E63" w14:textId="349A248C" w:rsidR="00EC6C62" w:rsidRDefault="00EC6C62" w:rsidP="00EC6C62">
      <w:pPr>
        <w:pStyle w:val="ListParagraph"/>
        <w:contextualSpacing w:val="0"/>
      </w:pPr>
      <w:r>
        <w:t>Itemize travel expenses of project personnel by purpose (e.g., staff to training, field interviews, advisory group meeting). Show the basis of computation (e.g., six people to three-day training at $X airfare, $X lodging, $X subsistence).</w:t>
      </w:r>
    </w:p>
    <w:p w14:paraId="413D2F56" w14:textId="5AB18437" w:rsidR="00EC6C62" w:rsidRPr="00EC6C62" w:rsidRDefault="00EC6C62" w:rsidP="00EC6C62">
      <w:pPr>
        <w:pStyle w:val="ListParagraph"/>
        <w:contextualSpacing w:val="0"/>
        <w:rPr>
          <w:u w:val="single"/>
        </w:rPr>
      </w:pPr>
      <w:r>
        <w:rPr>
          <w:u w:val="single"/>
        </w:rPr>
        <w:t>Purpose of Travel</w:t>
      </w:r>
      <w:r w:rsidRPr="00EC6C62">
        <w:rPr>
          <w:u w:val="single"/>
        </w:rPr>
        <w:tab/>
      </w:r>
      <w:r w:rsidRPr="00EC6C62">
        <w:rPr>
          <w:u w:val="single"/>
        </w:rPr>
        <w:tab/>
      </w:r>
      <w:r>
        <w:rPr>
          <w:u w:val="single"/>
        </w:rPr>
        <w:t>Location</w:t>
      </w:r>
      <w:r w:rsidRPr="00EC6C62">
        <w:rPr>
          <w:u w:val="single"/>
        </w:rPr>
        <w:tab/>
      </w:r>
      <w:r w:rsidR="000A4957">
        <w:rPr>
          <w:u w:val="single"/>
        </w:rPr>
        <w:tab/>
      </w:r>
      <w:r>
        <w:rPr>
          <w:u w:val="single"/>
        </w:rPr>
        <w:t>Item Computation</w:t>
      </w:r>
      <w:r w:rsidRPr="00EC6C62">
        <w:rPr>
          <w:u w:val="single"/>
        </w:rPr>
        <w:tab/>
      </w:r>
      <w:r w:rsidRPr="00EC6C62">
        <w:rPr>
          <w:u w:val="single"/>
        </w:rPr>
        <w:tab/>
        <w:t>Cost</w:t>
      </w:r>
    </w:p>
    <w:p w14:paraId="634DC690" w14:textId="77777777" w:rsidR="00EC6C62" w:rsidRDefault="00EC6C62" w:rsidP="00EC6C62">
      <w:pPr>
        <w:pStyle w:val="ListParagraph"/>
        <w:contextualSpacing w:val="0"/>
      </w:pPr>
    </w:p>
    <w:p w14:paraId="1878ED0C" w14:textId="0A527F52" w:rsidR="00EC6C62" w:rsidRPr="000A4957" w:rsidRDefault="00EC6C62" w:rsidP="000A4957">
      <w:pPr>
        <w:pStyle w:val="ListParagraph"/>
        <w:spacing w:after="0"/>
        <w:contextualSpacing w:val="0"/>
        <w:rPr>
          <w:b/>
          <w:bCs/>
        </w:rPr>
      </w:pPr>
      <w:r w:rsidRPr="000A4957">
        <w:rPr>
          <w:b/>
        </w:rPr>
        <w:t xml:space="preserve">Total of </w:t>
      </w:r>
      <w:r w:rsidR="000A4957" w:rsidRPr="000A4957">
        <w:rPr>
          <w:b/>
        </w:rPr>
        <w:t>Travel Costs</w:t>
      </w:r>
      <w:r w:rsidRPr="000A4957">
        <w:rPr>
          <w:b/>
        </w:rPr>
        <w:t>:</w:t>
      </w:r>
      <w:r w:rsidRPr="000A4957">
        <w:rPr>
          <w:b/>
        </w:rPr>
        <w:tab/>
      </w:r>
      <w:r w:rsidRPr="000A4957">
        <w:rPr>
          <w:b/>
        </w:rPr>
        <w:tab/>
      </w:r>
      <w:r w:rsidRPr="000A4957">
        <w:rPr>
          <w:b/>
        </w:rPr>
        <w:tab/>
      </w:r>
      <w:r w:rsidRPr="000A4957">
        <w:rPr>
          <w:b/>
        </w:rPr>
        <w:tab/>
      </w:r>
      <w:r w:rsidRPr="000A4957">
        <w:rPr>
          <w:b/>
        </w:rPr>
        <w:tab/>
      </w:r>
      <w:r w:rsidRPr="000A4957">
        <w:rPr>
          <w:b/>
        </w:rPr>
        <w:tab/>
        <w:t>$</w:t>
      </w:r>
      <w:r w:rsidR="000A4957" w:rsidRPr="000A4957">
        <w:rPr>
          <w:b/>
        </w:rPr>
        <w:t>______________</w:t>
      </w:r>
    </w:p>
    <w:p w14:paraId="7D76795B" w14:textId="55A8275E" w:rsidR="000A4957" w:rsidRDefault="000A4957" w:rsidP="00EC6C62">
      <w:pPr>
        <w:pStyle w:val="ListParagraph"/>
        <w:contextualSpacing w:val="0"/>
      </w:pPr>
      <w:r>
        <w:t>Travel estimates based on the State of Alabama’s written travel policies.</w:t>
      </w:r>
    </w:p>
    <w:p w14:paraId="2EFB31B1" w14:textId="75AE2665" w:rsidR="000A4957" w:rsidRDefault="000A4957" w:rsidP="00EC6C62">
      <w:pPr>
        <w:pStyle w:val="ListParagraph"/>
        <w:contextualSpacing w:val="0"/>
      </w:pPr>
    </w:p>
    <w:p w14:paraId="3503DB64" w14:textId="700457FA" w:rsidR="000A4957" w:rsidRDefault="000A4957" w:rsidP="00EC6C62">
      <w:pPr>
        <w:pStyle w:val="ListParagraph"/>
        <w:contextualSpacing w:val="0"/>
      </w:pPr>
    </w:p>
    <w:p w14:paraId="71B00B0D" w14:textId="77777777" w:rsidR="000A4957" w:rsidRDefault="000A4957" w:rsidP="00EC6C62">
      <w:pPr>
        <w:pStyle w:val="ListParagraph"/>
        <w:contextualSpacing w:val="0"/>
      </w:pPr>
    </w:p>
    <w:p w14:paraId="49674079" w14:textId="03957086" w:rsidR="00EC6C62" w:rsidRPr="00EC6C62" w:rsidRDefault="00EC6C62" w:rsidP="00EC6C62">
      <w:pPr>
        <w:pStyle w:val="ListParagraph"/>
        <w:numPr>
          <w:ilvl w:val="0"/>
          <w:numId w:val="22"/>
        </w:numPr>
        <w:spacing w:after="0"/>
        <w:contextualSpacing w:val="0"/>
        <w:rPr>
          <w:b/>
          <w:bCs/>
        </w:rPr>
      </w:pPr>
      <w:r w:rsidRPr="00EC6C62">
        <w:rPr>
          <w:b/>
        </w:rPr>
        <w:lastRenderedPageBreak/>
        <w:t>Equipment</w:t>
      </w:r>
    </w:p>
    <w:p w14:paraId="170A7DC7" w14:textId="2A605C52" w:rsidR="00EC6C62" w:rsidRDefault="00EC6C62" w:rsidP="00EC6C62">
      <w:pPr>
        <w:pStyle w:val="ListParagraph"/>
        <w:contextualSpacing w:val="0"/>
      </w:pPr>
      <w:r>
        <w:t>List nonexpendable items that are to be purchased. Nonexpendable equipment is tangible property having a useful life of more than two years and an acquisition cost of $5,000.00 or more per unit.</w:t>
      </w:r>
    </w:p>
    <w:p w14:paraId="61A5AB78" w14:textId="18D2984D" w:rsidR="00EC6C62" w:rsidRPr="00EC6C62" w:rsidRDefault="000A4957" w:rsidP="00EC6C62">
      <w:pPr>
        <w:pStyle w:val="ListParagraph"/>
        <w:contextualSpacing w:val="0"/>
        <w:rPr>
          <w:u w:val="single"/>
        </w:rPr>
      </w:pPr>
      <w:r>
        <w:rPr>
          <w:u w:val="single"/>
        </w:rPr>
        <w:t>Equipment Items</w:t>
      </w:r>
      <w:r w:rsidR="00EC6C62" w:rsidRPr="00EC6C62">
        <w:rPr>
          <w:u w:val="single"/>
        </w:rPr>
        <w:tab/>
      </w:r>
      <w:r w:rsidR="00EC6C62" w:rsidRPr="00EC6C62">
        <w:rPr>
          <w:u w:val="single"/>
        </w:rPr>
        <w:tab/>
      </w:r>
      <w:r w:rsidR="00EC6C62" w:rsidRPr="00EC6C62">
        <w:rPr>
          <w:u w:val="single"/>
        </w:rPr>
        <w:tab/>
        <w:t>Computation</w:t>
      </w:r>
      <w:r w:rsidR="00EC6C62" w:rsidRPr="00EC6C62">
        <w:rPr>
          <w:u w:val="single"/>
        </w:rPr>
        <w:tab/>
      </w:r>
      <w:r w:rsidR="00EC6C62" w:rsidRPr="00EC6C62">
        <w:rPr>
          <w:u w:val="single"/>
        </w:rPr>
        <w:tab/>
      </w:r>
      <w:r w:rsidR="00EC6C62" w:rsidRPr="00EC6C62">
        <w:rPr>
          <w:u w:val="single"/>
        </w:rPr>
        <w:tab/>
      </w:r>
      <w:r>
        <w:rPr>
          <w:u w:val="single"/>
        </w:rPr>
        <w:tab/>
      </w:r>
      <w:r w:rsidR="00EC6C62" w:rsidRPr="00EC6C62">
        <w:rPr>
          <w:u w:val="single"/>
        </w:rPr>
        <w:tab/>
        <w:t>Cost</w:t>
      </w:r>
    </w:p>
    <w:p w14:paraId="2BB00046" w14:textId="77777777" w:rsidR="00EC6C62" w:rsidRDefault="00EC6C62" w:rsidP="00EC6C62">
      <w:pPr>
        <w:pStyle w:val="ListParagraph"/>
        <w:contextualSpacing w:val="0"/>
      </w:pPr>
    </w:p>
    <w:p w14:paraId="1A074391" w14:textId="7EE0AB0F" w:rsidR="00EC6C62" w:rsidRPr="000A4957" w:rsidRDefault="00EC6C62" w:rsidP="00EC6C62">
      <w:pPr>
        <w:pStyle w:val="ListParagraph"/>
        <w:contextualSpacing w:val="0"/>
        <w:rPr>
          <w:b/>
          <w:bCs/>
        </w:rPr>
      </w:pPr>
      <w:r w:rsidRPr="000A4957">
        <w:rPr>
          <w:b/>
        </w:rPr>
        <w:t xml:space="preserve">Total of </w:t>
      </w:r>
      <w:r w:rsidR="000A4957" w:rsidRPr="000A4957">
        <w:rPr>
          <w:b/>
        </w:rPr>
        <w:t>Equipment Costs</w:t>
      </w:r>
      <w:r w:rsidRPr="000A4957">
        <w:rPr>
          <w:b/>
        </w:rPr>
        <w:t>:</w:t>
      </w:r>
      <w:r w:rsidRPr="000A4957">
        <w:rPr>
          <w:b/>
        </w:rPr>
        <w:tab/>
      </w:r>
      <w:r w:rsidRPr="000A4957">
        <w:rPr>
          <w:b/>
        </w:rPr>
        <w:tab/>
      </w:r>
      <w:r w:rsidRPr="000A4957">
        <w:rPr>
          <w:b/>
        </w:rPr>
        <w:tab/>
      </w:r>
      <w:r w:rsidRPr="000A4957">
        <w:rPr>
          <w:b/>
        </w:rPr>
        <w:tab/>
      </w:r>
      <w:r w:rsidRPr="000A4957">
        <w:rPr>
          <w:b/>
        </w:rPr>
        <w:tab/>
      </w:r>
      <w:r w:rsidRPr="000A4957">
        <w:rPr>
          <w:b/>
        </w:rPr>
        <w:tab/>
        <w:t>$______________</w:t>
      </w:r>
    </w:p>
    <w:p w14:paraId="4DC28E47" w14:textId="0B5E914D" w:rsidR="00EC6C62" w:rsidRPr="000A4957" w:rsidRDefault="00EC6C62" w:rsidP="000A4957">
      <w:pPr>
        <w:pStyle w:val="ListParagraph"/>
        <w:numPr>
          <w:ilvl w:val="0"/>
          <w:numId w:val="22"/>
        </w:numPr>
        <w:spacing w:after="0"/>
        <w:contextualSpacing w:val="0"/>
        <w:rPr>
          <w:b/>
          <w:bCs/>
        </w:rPr>
      </w:pPr>
      <w:r w:rsidRPr="000A4957">
        <w:rPr>
          <w:b/>
        </w:rPr>
        <w:t>Supplies</w:t>
      </w:r>
    </w:p>
    <w:p w14:paraId="45F8F816" w14:textId="7F4AED48" w:rsidR="00EC6C62" w:rsidRDefault="00EC6C62" w:rsidP="00EC6C62">
      <w:pPr>
        <w:pStyle w:val="ListParagraph"/>
        <w:contextualSpacing w:val="0"/>
      </w:pPr>
      <w:r w:rsidRPr="00EC6C62">
        <w:t>List items by type (e.g., office supplies, postage, training materials, copying paper, and expendable equipment items costing less than $5,000, such as books, hand-held tape recorders) and show the basis for computation. Generally, supplies include any materials that are expendable or consumed during the course of the project.</w:t>
      </w:r>
    </w:p>
    <w:p w14:paraId="575C6F46" w14:textId="4A0733E3" w:rsidR="000A4957" w:rsidRPr="00EC6C62" w:rsidRDefault="000A4957" w:rsidP="000A4957">
      <w:pPr>
        <w:pStyle w:val="ListParagraph"/>
        <w:contextualSpacing w:val="0"/>
        <w:rPr>
          <w:u w:val="single"/>
        </w:rPr>
      </w:pPr>
      <w:r>
        <w:rPr>
          <w:u w:val="single"/>
        </w:rPr>
        <w:t>Supply Items</w:t>
      </w:r>
      <w:r w:rsidRPr="00EC6C62">
        <w:rPr>
          <w:u w:val="single"/>
        </w:rPr>
        <w:tab/>
      </w:r>
      <w:r w:rsidRPr="00EC6C62">
        <w:rPr>
          <w:u w:val="single"/>
        </w:rPr>
        <w:tab/>
      </w:r>
      <w:r w:rsidRPr="00EC6C62">
        <w:rPr>
          <w:u w:val="single"/>
        </w:rPr>
        <w:tab/>
      </w:r>
      <w:r w:rsidRPr="00EC6C62">
        <w:rPr>
          <w:u w:val="single"/>
        </w:rPr>
        <w:tab/>
        <w:t>Computation</w:t>
      </w:r>
      <w:r w:rsidRPr="00EC6C62">
        <w:rPr>
          <w:u w:val="single"/>
        </w:rPr>
        <w:tab/>
      </w:r>
      <w:r w:rsidRPr="00EC6C62">
        <w:rPr>
          <w:u w:val="single"/>
        </w:rPr>
        <w:tab/>
      </w:r>
      <w:r w:rsidRPr="00EC6C62">
        <w:rPr>
          <w:u w:val="single"/>
        </w:rPr>
        <w:tab/>
      </w:r>
      <w:r>
        <w:rPr>
          <w:u w:val="single"/>
        </w:rPr>
        <w:tab/>
      </w:r>
      <w:r>
        <w:rPr>
          <w:u w:val="single"/>
        </w:rPr>
        <w:tab/>
      </w:r>
      <w:r w:rsidRPr="00EC6C62">
        <w:rPr>
          <w:u w:val="single"/>
        </w:rPr>
        <w:t>Cost</w:t>
      </w:r>
    </w:p>
    <w:p w14:paraId="1025AC72" w14:textId="77777777" w:rsidR="000A4957" w:rsidRDefault="000A4957" w:rsidP="000A4957">
      <w:pPr>
        <w:pStyle w:val="ListParagraph"/>
        <w:contextualSpacing w:val="0"/>
      </w:pPr>
    </w:p>
    <w:p w14:paraId="787DED79" w14:textId="3C9B5F48" w:rsidR="000A4957" w:rsidRPr="000A4957" w:rsidRDefault="000A4957" w:rsidP="000A4957">
      <w:pPr>
        <w:pStyle w:val="ListParagraph"/>
        <w:contextualSpacing w:val="0"/>
        <w:rPr>
          <w:b/>
          <w:bCs/>
        </w:rPr>
      </w:pPr>
      <w:r w:rsidRPr="00EC6C62">
        <w:rPr>
          <w:b/>
        </w:rPr>
        <w:t xml:space="preserve">Total of </w:t>
      </w:r>
      <w:r>
        <w:rPr>
          <w:b/>
        </w:rPr>
        <w:t>Supplies Cost</w:t>
      </w:r>
      <w:r w:rsidRPr="00EC6C62">
        <w:rPr>
          <w:b/>
        </w:rPr>
        <w:t>:</w:t>
      </w:r>
      <w:r w:rsidRPr="00EC6C62">
        <w:rPr>
          <w:b/>
        </w:rPr>
        <w:tab/>
      </w:r>
      <w:r w:rsidRPr="00EC6C62">
        <w:rPr>
          <w:b/>
        </w:rPr>
        <w:tab/>
      </w:r>
      <w:r w:rsidRPr="00EC6C62">
        <w:rPr>
          <w:b/>
        </w:rPr>
        <w:tab/>
      </w:r>
      <w:r w:rsidRPr="00EC6C62">
        <w:rPr>
          <w:b/>
        </w:rPr>
        <w:tab/>
      </w:r>
      <w:r w:rsidRPr="00EC6C62">
        <w:rPr>
          <w:b/>
        </w:rPr>
        <w:tab/>
      </w:r>
      <w:r w:rsidRPr="00EC6C62">
        <w:rPr>
          <w:b/>
        </w:rPr>
        <w:tab/>
        <w:t>$______________</w:t>
      </w:r>
    </w:p>
    <w:p w14:paraId="128B9DBD" w14:textId="31BBD12E" w:rsidR="00EC6C62" w:rsidRPr="000A4957" w:rsidRDefault="00EC6C62" w:rsidP="000A4957">
      <w:pPr>
        <w:pStyle w:val="ListParagraph"/>
        <w:numPr>
          <w:ilvl w:val="0"/>
          <w:numId w:val="22"/>
        </w:numPr>
        <w:spacing w:after="0"/>
        <w:contextualSpacing w:val="0"/>
        <w:rPr>
          <w:b/>
          <w:bCs/>
        </w:rPr>
      </w:pPr>
      <w:r w:rsidRPr="000A4957">
        <w:rPr>
          <w:b/>
        </w:rPr>
        <w:t>Construction</w:t>
      </w:r>
    </w:p>
    <w:p w14:paraId="0D54B0F3" w14:textId="3D1DA827" w:rsidR="00EC6C62" w:rsidRDefault="00EC6C62" w:rsidP="00EC6C62">
      <w:pPr>
        <w:pStyle w:val="ListParagraph"/>
        <w:contextualSpacing w:val="0"/>
      </w:pPr>
      <w:r w:rsidRPr="00EC6C62">
        <w:t>As a rule, construction costs are not allowable. In some cases, minor repairs or renovations may be allowable. Check with the program office before budgeting funds in this category.</w:t>
      </w:r>
    </w:p>
    <w:p w14:paraId="6FE83828" w14:textId="3145EB84" w:rsidR="000A4957" w:rsidRPr="00EC6C62" w:rsidRDefault="000A4957" w:rsidP="000A4957">
      <w:pPr>
        <w:pStyle w:val="ListParagraph"/>
        <w:spacing w:after="0"/>
        <w:contextualSpacing w:val="0"/>
        <w:rPr>
          <w:u w:val="single"/>
        </w:rPr>
      </w:pPr>
      <w:r>
        <w:rPr>
          <w:u w:val="single"/>
        </w:rPr>
        <w:t>Purpose</w:t>
      </w:r>
      <w:r w:rsidRPr="00EC6C62">
        <w:rPr>
          <w:u w:val="single"/>
        </w:rPr>
        <w:tab/>
      </w:r>
      <w:r w:rsidRPr="00EC6C62">
        <w:rPr>
          <w:u w:val="single"/>
        </w:rPr>
        <w:tab/>
      </w:r>
      <w:r w:rsidRPr="00EC6C62">
        <w:rPr>
          <w:u w:val="single"/>
        </w:rPr>
        <w:tab/>
      </w:r>
      <w:r w:rsidRPr="00EC6C62">
        <w:rPr>
          <w:u w:val="single"/>
        </w:rPr>
        <w:tab/>
      </w:r>
      <w:r>
        <w:rPr>
          <w:u w:val="single"/>
        </w:rPr>
        <w:t>Description of Work</w:t>
      </w:r>
      <w:r w:rsidRPr="00EC6C62">
        <w:rPr>
          <w:u w:val="single"/>
        </w:rPr>
        <w:tab/>
      </w:r>
      <w:r w:rsidRPr="00EC6C62">
        <w:rPr>
          <w:u w:val="single"/>
        </w:rPr>
        <w:tab/>
      </w:r>
      <w:r>
        <w:rPr>
          <w:u w:val="single"/>
        </w:rPr>
        <w:tab/>
      </w:r>
      <w:r w:rsidRPr="00EC6C62">
        <w:rPr>
          <w:u w:val="single"/>
        </w:rPr>
        <w:tab/>
        <w:t>Cost</w:t>
      </w:r>
    </w:p>
    <w:p w14:paraId="3ABF4101" w14:textId="37263196" w:rsidR="000A4957" w:rsidRPr="000A4957" w:rsidRDefault="000A4957" w:rsidP="000A4957">
      <w:pPr>
        <w:pStyle w:val="ListParagraph"/>
        <w:contextualSpacing w:val="0"/>
        <w:rPr>
          <w:color w:val="FF0000"/>
        </w:rPr>
      </w:pPr>
      <w:r w:rsidRPr="000A4957">
        <w:rPr>
          <w:color w:val="FF0000"/>
        </w:rPr>
        <w:t>Not Applicable</w:t>
      </w:r>
    </w:p>
    <w:p w14:paraId="35C8B583" w14:textId="429B4D60" w:rsidR="000A4957" w:rsidRPr="000A4957" w:rsidRDefault="000A4957" w:rsidP="000A4957">
      <w:pPr>
        <w:pStyle w:val="ListParagraph"/>
        <w:contextualSpacing w:val="0"/>
        <w:rPr>
          <w:b/>
          <w:bCs/>
        </w:rPr>
      </w:pPr>
      <w:r w:rsidRPr="00EC6C62">
        <w:rPr>
          <w:b/>
        </w:rPr>
        <w:t xml:space="preserve">Total of </w:t>
      </w:r>
      <w:r>
        <w:rPr>
          <w:b/>
        </w:rPr>
        <w:t>Construction Costs</w:t>
      </w:r>
      <w:r w:rsidRPr="00EC6C62">
        <w:rPr>
          <w:b/>
        </w:rPr>
        <w:t>:</w:t>
      </w:r>
      <w:r w:rsidRPr="00EC6C62">
        <w:rPr>
          <w:b/>
        </w:rPr>
        <w:tab/>
      </w:r>
      <w:r w:rsidRPr="00EC6C62">
        <w:rPr>
          <w:b/>
        </w:rPr>
        <w:tab/>
      </w:r>
      <w:r w:rsidRPr="00EC6C62">
        <w:rPr>
          <w:b/>
        </w:rPr>
        <w:tab/>
      </w:r>
      <w:r w:rsidRPr="00EC6C62">
        <w:rPr>
          <w:b/>
        </w:rPr>
        <w:tab/>
      </w:r>
      <w:r w:rsidRPr="00EC6C62">
        <w:rPr>
          <w:b/>
        </w:rPr>
        <w:tab/>
        <w:t>$______________</w:t>
      </w:r>
    </w:p>
    <w:p w14:paraId="5D764CE2" w14:textId="1A062EE7" w:rsidR="00EC6C62" w:rsidRPr="000A4957" w:rsidRDefault="00EC6C62" w:rsidP="000A4957">
      <w:pPr>
        <w:pStyle w:val="ListParagraph"/>
        <w:numPr>
          <w:ilvl w:val="0"/>
          <w:numId w:val="22"/>
        </w:numPr>
        <w:spacing w:after="0"/>
        <w:contextualSpacing w:val="0"/>
        <w:rPr>
          <w:b/>
          <w:bCs/>
        </w:rPr>
      </w:pPr>
      <w:r w:rsidRPr="000A4957">
        <w:rPr>
          <w:b/>
        </w:rPr>
        <w:t>Consultants/Contracts</w:t>
      </w:r>
    </w:p>
    <w:p w14:paraId="7A4220F1" w14:textId="0FF30A6F" w:rsidR="00EC6C62" w:rsidRPr="000A4957" w:rsidRDefault="00EC6C62" w:rsidP="000A4957">
      <w:pPr>
        <w:pStyle w:val="ListParagraph"/>
        <w:numPr>
          <w:ilvl w:val="1"/>
          <w:numId w:val="22"/>
        </w:numPr>
        <w:spacing w:after="0"/>
        <w:contextualSpacing w:val="0"/>
        <w:rPr>
          <w:b/>
          <w:bCs/>
        </w:rPr>
      </w:pPr>
      <w:r w:rsidRPr="000A4957">
        <w:rPr>
          <w:b/>
        </w:rPr>
        <w:t>Consultant Fees</w:t>
      </w:r>
    </w:p>
    <w:p w14:paraId="79E40103" w14:textId="73AD1677" w:rsidR="00EC6C62" w:rsidRDefault="00EC6C62" w:rsidP="00EC6C62">
      <w:pPr>
        <w:pStyle w:val="ListParagraph"/>
        <w:ind w:left="1440"/>
        <w:contextualSpacing w:val="0"/>
        <w:rPr>
          <w:i/>
          <w:iCs/>
          <w:u w:val="single"/>
        </w:rPr>
      </w:pPr>
      <w:r w:rsidRPr="00EC6C62">
        <w:t xml:space="preserve">For each consultant enter the name, if known; service to be provided; hourly or daily fee (8-hour day); and estimated time on the project. </w:t>
      </w:r>
      <w:r w:rsidRPr="00EC6C62">
        <w:rPr>
          <w:i/>
          <w:iCs/>
          <w:u w:val="single"/>
        </w:rPr>
        <w:t>Hourly Rate cannot exceed $56.25/day.</w:t>
      </w:r>
    </w:p>
    <w:p w14:paraId="0E7AC201" w14:textId="30A8682B" w:rsidR="000A4957" w:rsidRPr="00EC6C62" w:rsidRDefault="000A4957" w:rsidP="000A4957">
      <w:pPr>
        <w:pStyle w:val="ListParagraph"/>
        <w:ind w:firstLine="720"/>
        <w:contextualSpacing w:val="0"/>
        <w:rPr>
          <w:u w:val="single"/>
        </w:rPr>
      </w:pPr>
      <w:r w:rsidRPr="00EC6C62">
        <w:rPr>
          <w:u w:val="single"/>
        </w:rPr>
        <w:t>Name</w:t>
      </w:r>
      <w:r>
        <w:rPr>
          <w:u w:val="single"/>
        </w:rPr>
        <w:t xml:space="preserve"> of Consultant</w:t>
      </w:r>
      <w:r w:rsidRPr="00EC6C62">
        <w:rPr>
          <w:u w:val="single"/>
        </w:rPr>
        <w:tab/>
      </w:r>
      <w:r w:rsidRPr="00EC6C62">
        <w:rPr>
          <w:u w:val="single"/>
        </w:rPr>
        <w:tab/>
      </w:r>
      <w:r>
        <w:rPr>
          <w:u w:val="single"/>
        </w:rPr>
        <w:tab/>
        <w:t>Service Provided</w:t>
      </w:r>
      <w:r w:rsidRPr="00EC6C62">
        <w:rPr>
          <w:u w:val="single"/>
        </w:rPr>
        <w:tab/>
      </w:r>
      <w:r w:rsidRPr="00EC6C62">
        <w:rPr>
          <w:u w:val="single"/>
        </w:rPr>
        <w:tab/>
      </w:r>
      <w:r w:rsidRPr="00EC6C62">
        <w:rPr>
          <w:u w:val="single"/>
        </w:rPr>
        <w:tab/>
        <w:t>Cost</w:t>
      </w:r>
    </w:p>
    <w:p w14:paraId="16715591" w14:textId="3CCE320B" w:rsidR="000A4957" w:rsidRDefault="000A4957" w:rsidP="000A4957">
      <w:pPr>
        <w:pStyle w:val="ListParagraph"/>
        <w:contextualSpacing w:val="0"/>
      </w:pPr>
      <w:r>
        <w:tab/>
      </w:r>
    </w:p>
    <w:p w14:paraId="5243CF76" w14:textId="09A4EE08" w:rsidR="000A4957" w:rsidRDefault="000A4957" w:rsidP="000A4957">
      <w:pPr>
        <w:pStyle w:val="ListParagraph"/>
        <w:ind w:firstLine="720"/>
        <w:contextualSpacing w:val="0"/>
        <w:rPr>
          <w:b/>
          <w:bCs/>
        </w:rPr>
      </w:pPr>
      <w:r w:rsidRPr="00EC6C62">
        <w:rPr>
          <w:b/>
        </w:rPr>
        <w:t xml:space="preserve">Total of </w:t>
      </w:r>
      <w:r>
        <w:rPr>
          <w:b/>
        </w:rPr>
        <w:t>Consultant Fees</w:t>
      </w:r>
      <w:r w:rsidRPr="00EC6C62">
        <w:rPr>
          <w:b/>
        </w:rPr>
        <w:t>:</w:t>
      </w:r>
      <w:r w:rsidRPr="00EC6C62">
        <w:rPr>
          <w:b/>
        </w:rPr>
        <w:tab/>
      </w:r>
      <w:r w:rsidRPr="00EC6C62">
        <w:rPr>
          <w:b/>
        </w:rPr>
        <w:tab/>
      </w:r>
      <w:r w:rsidRPr="00EC6C62">
        <w:rPr>
          <w:b/>
        </w:rPr>
        <w:tab/>
      </w:r>
      <w:r w:rsidRPr="00EC6C62">
        <w:rPr>
          <w:b/>
        </w:rPr>
        <w:tab/>
      </w:r>
      <w:r w:rsidRPr="00EC6C62">
        <w:rPr>
          <w:b/>
        </w:rPr>
        <w:tab/>
        <w:t>$______________</w:t>
      </w:r>
    </w:p>
    <w:p w14:paraId="174C6992" w14:textId="697AD683" w:rsidR="000A4957" w:rsidRDefault="000A4957" w:rsidP="000A4957">
      <w:pPr>
        <w:pStyle w:val="ListParagraph"/>
        <w:ind w:firstLine="720"/>
        <w:contextualSpacing w:val="0"/>
        <w:rPr>
          <w:b/>
          <w:bCs/>
        </w:rPr>
      </w:pPr>
    </w:p>
    <w:p w14:paraId="28843C94" w14:textId="7414BD33" w:rsidR="000A4957" w:rsidRDefault="000A4957" w:rsidP="000A4957">
      <w:pPr>
        <w:pStyle w:val="ListParagraph"/>
        <w:ind w:firstLine="720"/>
        <w:contextualSpacing w:val="0"/>
        <w:rPr>
          <w:b/>
          <w:bCs/>
        </w:rPr>
      </w:pPr>
    </w:p>
    <w:p w14:paraId="5AAB39A6" w14:textId="77777777" w:rsidR="000A4957" w:rsidRPr="000A4957" w:rsidRDefault="000A4957" w:rsidP="000A4957">
      <w:pPr>
        <w:pStyle w:val="ListParagraph"/>
        <w:ind w:firstLine="720"/>
        <w:contextualSpacing w:val="0"/>
        <w:rPr>
          <w:b/>
          <w:bCs/>
        </w:rPr>
      </w:pPr>
    </w:p>
    <w:p w14:paraId="6D859F22" w14:textId="18FA93F7" w:rsidR="00EC6C62" w:rsidRPr="000A4957" w:rsidRDefault="00EC6C62" w:rsidP="000A4957">
      <w:pPr>
        <w:pStyle w:val="ListParagraph"/>
        <w:numPr>
          <w:ilvl w:val="1"/>
          <w:numId w:val="22"/>
        </w:numPr>
        <w:spacing w:after="0"/>
        <w:contextualSpacing w:val="0"/>
        <w:rPr>
          <w:b/>
          <w:bCs/>
        </w:rPr>
      </w:pPr>
      <w:r w:rsidRPr="000A4957">
        <w:rPr>
          <w:b/>
        </w:rPr>
        <w:t>Consultant Expenses</w:t>
      </w:r>
    </w:p>
    <w:p w14:paraId="600B1B0F" w14:textId="4D629AB3" w:rsidR="00EC6C62" w:rsidRDefault="00EC6C62" w:rsidP="00EC6C62">
      <w:pPr>
        <w:pStyle w:val="ListParagraph"/>
        <w:ind w:left="1440"/>
        <w:contextualSpacing w:val="0"/>
      </w:pPr>
      <w:r w:rsidRPr="00EC6C62">
        <w:t>List all expenses to be paid from the grant to the individual consultants in addition to their fees (e.g., travel, meals, lodging).</w:t>
      </w:r>
    </w:p>
    <w:p w14:paraId="50C955FC" w14:textId="02B49868" w:rsidR="000A4957" w:rsidRPr="00EC6C62" w:rsidRDefault="000A4957" w:rsidP="000A4957">
      <w:pPr>
        <w:pStyle w:val="ListParagraph"/>
        <w:ind w:firstLine="720"/>
        <w:contextualSpacing w:val="0"/>
        <w:rPr>
          <w:u w:val="single"/>
        </w:rPr>
      </w:pPr>
      <w:r>
        <w:rPr>
          <w:u w:val="single"/>
        </w:rPr>
        <w:t>Item</w:t>
      </w:r>
      <w:r w:rsidRPr="00EC6C62">
        <w:rPr>
          <w:u w:val="single"/>
        </w:rPr>
        <w:tab/>
      </w:r>
      <w:r w:rsidRPr="00EC6C62">
        <w:rPr>
          <w:u w:val="single"/>
        </w:rPr>
        <w:tab/>
      </w:r>
      <w:r>
        <w:rPr>
          <w:u w:val="single"/>
        </w:rPr>
        <w:tab/>
        <w:t>Location</w:t>
      </w:r>
      <w:r w:rsidRPr="00EC6C62">
        <w:rPr>
          <w:u w:val="single"/>
        </w:rPr>
        <w:tab/>
      </w:r>
      <w:r>
        <w:rPr>
          <w:u w:val="single"/>
        </w:rPr>
        <w:tab/>
        <w:t>Computation</w:t>
      </w:r>
      <w:r w:rsidRPr="00EC6C62">
        <w:rPr>
          <w:u w:val="single"/>
        </w:rPr>
        <w:tab/>
      </w:r>
      <w:r w:rsidRPr="00EC6C62">
        <w:rPr>
          <w:u w:val="single"/>
        </w:rPr>
        <w:tab/>
      </w:r>
      <w:r>
        <w:rPr>
          <w:u w:val="single"/>
        </w:rPr>
        <w:tab/>
      </w:r>
      <w:r w:rsidRPr="00EC6C62">
        <w:rPr>
          <w:u w:val="single"/>
        </w:rPr>
        <w:t>Cost</w:t>
      </w:r>
    </w:p>
    <w:p w14:paraId="56F473D2" w14:textId="77777777" w:rsidR="000A4957" w:rsidRDefault="000A4957" w:rsidP="000A4957">
      <w:pPr>
        <w:pStyle w:val="ListParagraph"/>
        <w:contextualSpacing w:val="0"/>
      </w:pPr>
    </w:p>
    <w:p w14:paraId="7B0C1FDE" w14:textId="0A08308F" w:rsidR="000A4957" w:rsidRPr="00EC6C62" w:rsidRDefault="000A4957" w:rsidP="000A4957">
      <w:pPr>
        <w:pStyle w:val="ListParagraph"/>
        <w:ind w:firstLine="720"/>
        <w:contextualSpacing w:val="0"/>
        <w:rPr>
          <w:b/>
          <w:bCs/>
        </w:rPr>
      </w:pPr>
      <w:r w:rsidRPr="00EC6C62">
        <w:rPr>
          <w:b/>
        </w:rPr>
        <w:t xml:space="preserve">Total of </w:t>
      </w:r>
      <w:r>
        <w:rPr>
          <w:b/>
        </w:rPr>
        <w:t>Consultant Expenses</w:t>
      </w:r>
      <w:r w:rsidRPr="00EC6C62">
        <w:rPr>
          <w:b/>
        </w:rPr>
        <w:t>:</w:t>
      </w:r>
      <w:r w:rsidRPr="00EC6C62">
        <w:rPr>
          <w:b/>
        </w:rPr>
        <w:tab/>
      </w:r>
      <w:r w:rsidRPr="00EC6C62">
        <w:rPr>
          <w:b/>
        </w:rPr>
        <w:tab/>
      </w:r>
      <w:r w:rsidRPr="00EC6C62">
        <w:rPr>
          <w:b/>
        </w:rPr>
        <w:tab/>
      </w:r>
      <w:r w:rsidRPr="00EC6C62">
        <w:rPr>
          <w:b/>
        </w:rPr>
        <w:tab/>
        <w:t>$______________</w:t>
      </w:r>
    </w:p>
    <w:p w14:paraId="5AD5A289" w14:textId="77777777" w:rsidR="000A4957" w:rsidRDefault="000A4957" w:rsidP="00EC6C62">
      <w:pPr>
        <w:pStyle w:val="ListParagraph"/>
        <w:ind w:left="1440"/>
        <w:contextualSpacing w:val="0"/>
      </w:pPr>
    </w:p>
    <w:p w14:paraId="3339FC45" w14:textId="354CDECB" w:rsidR="00EC6C62" w:rsidRPr="000A4957" w:rsidRDefault="00EC6C62" w:rsidP="000A4957">
      <w:pPr>
        <w:pStyle w:val="ListParagraph"/>
        <w:numPr>
          <w:ilvl w:val="1"/>
          <w:numId w:val="22"/>
        </w:numPr>
        <w:spacing w:after="0"/>
        <w:contextualSpacing w:val="0"/>
        <w:rPr>
          <w:b/>
          <w:bCs/>
        </w:rPr>
      </w:pPr>
      <w:r w:rsidRPr="000A4957">
        <w:rPr>
          <w:b/>
        </w:rPr>
        <w:t>Contracts</w:t>
      </w:r>
    </w:p>
    <w:p w14:paraId="610BDFBF" w14:textId="773B92B2" w:rsidR="00EC6C62" w:rsidRDefault="00EC6C62" w:rsidP="00EC6C62">
      <w:pPr>
        <w:pStyle w:val="ListParagraph"/>
        <w:ind w:left="1440"/>
        <w:contextualSpacing w:val="0"/>
      </w:pPr>
      <w:r w:rsidRPr="00EC6C62">
        <w:t>Provide a description of the product or service to be procured by contract and an estimate of the cost. Applicants are encouraged to promote free and open competition in awarding contracts.</w:t>
      </w:r>
    </w:p>
    <w:p w14:paraId="61F73CAC" w14:textId="40F28122" w:rsidR="000A4957" w:rsidRPr="00EC6C62" w:rsidRDefault="000A4957" w:rsidP="000A4957">
      <w:pPr>
        <w:pStyle w:val="ListParagraph"/>
        <w:ind w:firstLine="720"/>
        <w:contextualSpacing w:val="0"/>
        <w:rPr>
          <w:u w:val="single"/>
        </w:rPr>
      </w:pPr>
      <w:r w:rsidRPr="00EC6C62">
        <w:rPr>
          <w:u w:val="single"/>
        </w:rPr>
        <w:t>Name</w:t>
      </w:r>
      <w:r>
        <w:rPr>
          <w:u w:val="single"/>
        </w:rPr>
        <w:t xml:space="preserve"> of Contractor</w:t>
      </w:r>
      <w:r w:rsidRPr="00EC6C62">
        <w:rPr>
          <w:u w:val="single"/>
        </w:rPr>
        <w:tab/>
      </w:r>
      <w:r>
        <w:rPr>
          <w:u w:val="single"/>
        </w:rPr>
        <w:tab/>
        <w:t>Service Provided</w:t>
      </w:r>
      <w:r w:rsidRPr="00EC6C62">
        <w:rPr>
          <w:u w:val="single"/>
        </w:rPr>
        <w:tab/>
      </w:r>
      <w:r>
        <w:rPr>
          <w:u w:val="single"/>
        </w:rPr>
        <w:t>Computation</w:t>
      </w:r>
      <w:r w:rsidRPr="00EC6C62">
        <w:rPr>
          <w:u w:val="single"/>
        </w:rPr>
        <w:tab/>
      </w:r>
      <w:r>
        <w:rPr>
          <w:u w:val="single"/>
        </w:rPr>
        <w:tab/>
      </w:r>
      <w:r w:rsidRPr="00EC6C62">
        <w:rPr>
          <w:u w:val="single"/>
        </w:rPr>
        <w:t>Cost</w:t>
      </w:r>
    </w:p>
    <w:p w14:paraId="64DF6E0B" w14:textId="77777777" w:rsidR="000A4957" w:rsidRDefault="000A4957" w:rsidP="000A4957">
      <w:pPr>
        <w:pStyle w:val="ListParagraph"/>
        <w:contextualSpacing w:val="0"/>
      </w:pPr>
    </w:p>
    <w:p w14:paraId="6A8D9AD9" w14:textId="07EFAB15" w:rsidR="000A4957" w:rsidRPr="00EC6C62" w:rsidRDefault="000A4957" w:rsidP="000A4957">
      <w:pPr>
        <w:pStyle w:val="ListParagraph"/>
        <w:ind w:firstLine="720"/>
        <w:contextualSpacing w:val="0"/>
        <w:rPr>
          <w:b/>
          <w:bCs/>
        </w:rPr>
      </w:pPr>
      <w:r w:rsidRPr="00EC6C62">
        <w:rPr>
          <w:b/>
        </w:rPr>
        <w:t xml:space="preserve">Total of </w:t>
      </w:r>
      <w:r>
        <w:rPr>
          <w:b/>
        </w:rPr>
        <w:t>Contracts</w:t>
      </w:r>
      <w:r w:rsidRPr="00EC6C62">
        <w:rPr>
          <w:b/>
        </w:rPr>
        <w:t>:</w:t>
      </w:r>
      <w:r w:rsidRPr="00EC6C62">
        <w:rPr>
          <w:b/>
        </w:rPr>
        <w:tab/>
      </w:r>
      <w:r w:rsidRPr="00EC6C62">
        <w:rPr>
          <w:b/>
        </w:rPr>
        <w:tab/>
      </w:r>
      <w:r w:rsidRPr="00EC6C62">
        <w:rPr>
          <w:b/>
        </w:rPr>
        <w:tab/>
      </w:r>
      <w:r w:rsidRPr="00EC6C62">
        <w:rPr>
          <w:b/>
        </w:rPr>
        <w:tab/>
      </w:r>
      <w:r w:rsidRPr="00EC6C62">
        <w:rPr>
          <w:b/>
        </w:rPr>
        <w:tab/>
      </w:r>
      <w:r w:rsidRPr="00EC6C62">
        <w:rPr>
          <w:b/>
        </w:rPr>
        <w:tab/>
      </w:r>
      <w:bookmarkStart w:id="5" w:name="_Hlk155260304"/>
      <w:r w:rsidRPr="00EC6C62">
        <w:rPr>
          <w:b/>
        </w:rPr>
        <w:t>$______________</w:t>
      </w:r>
      <w:bookmarkEnd w:id="5"/>
    </w:p>
    <w:p w14:paraId="4377B212" w14:textId="42936AF0" w:rsidR="000A4957" w:rsidRPr="000A4957" w:rsidRDefault="000A4957" w:rsidP="000A4957">
      <w:pPr>
        <w:rPr>
          <w:b/>
          <w:bCs/>
        </w:rPr>
      </w:pPr>
      <w:r>
        <w:tab/>
      </w:r>
      <w:r w:rsidRPr="000A4957">
        <w:rPr>
          <w:b/>
        </w:rPr>
        <w:t>Total of Consultants/Contracts:</w:t>
      </w:r>
      <w:r w:rsidRPr="000A4957">
        <w:rPr>
          <w:b/>
        </w:rPr>
        <w:tab/>
      </w:r>
      <w:r w:rsidRPr="000A4957">
        <w:rPr>
          <w:b/>
        </w:rPr>
        <w:tab/>
      </w:r>
      <w:r w:rsidRPr="000A4957">
        <w:rPr>
          <w:b/>
        </w:rPr>
        <w:tab/>
      </w:r>
      <w:r w:rsidRPr="000A4957">
        <w:rPr>
          <w:b/>
        </w:rPr>
        <w:tab/>
      </w:r>
      <w:r w:rsidRPr="000A4957">
        <w:rPr>
          <w:b/>
        </w:rPr>
        <w:tab/>
        <w:t>$______________</w:t>
      </w:r>
    </w:p>
    <w:p w14:paraId="07B1C8E3" w14:textId="0120FBCA" w:rsidR="00EC6C62" w:rsidRPr="000A4957" w:rsidRDefault="00EC6C62" w:rsidP="000A4957">
      <w:pPr>
        <w:pStyle w:val="ListParagraph"/>
        <w:numPr>
          <w:ilvl w:val="0"/>
          <w:numId w:val="22"/>
        </w:numPr>
        <w:spacing w:after="0"/>
        <w:contextualSpacing w:val="0"/>
        <w:rPr>
          <w:b/>
          <w:bCs/>
        </w:rPr>
      </w:pPr>
      <w:r w:rsidRPr="000A4957">
        <w:rPr>
          <w:b/>
        </w:rPr>
        <w:t>Other Costs</w:t>
      </w:r>
    </w:p>
    <w:p w14:paraId="39AB9CF9" w14:textId="11E1CF42" w:rsidR="00EC6C62" w:rsidRDefault="00EC6C62" w:rsidP="00EC6C62">
      <w:pPr>
        <w:pStyle w:val="ListParagraph"/>
        <w:contextualSpacing w:val="0"/>
      </w:pPr>
      <w:r w:rsidRPr="00EC6C62">
        <w:t>List items by major type (e.g., rent, reproduction, telephone, janitorial, or security services, and investigative or confidential funds) and the basis of the computation. For example, provide the square footage and the cost per square foot for rent, or provide a monthly rental cost and how many months to rent.</w:t>
      </w:r>
    </w:p>
    <w:p w14:paraId="0087B709" w14:textId="10C20C27" w:rsidR="000A4957" w:rsidRPr="00EC6C62" w:rsidRDefault="000A4957" w:rsidP="000A4957">
      <w:pPr>
        <w:pStyle w:val="ListParagraph"/>
        <w:contextualSpacing w:val="0"/>
        <w:rPr>
          <w:u w:val="single"/>
        </w:rPr>
      </w:pPr>
      <w:r>
        <w:rPr>
          <w:u w:val="single"/>
        </w:rPr>
        <w:t>Description</w:t>
      </w:r>
      <w:r w:rsidRPr="00EC6C62">
        <w:rPr>
          <w:u w:val="single"/>
        </w:rPr>
        <w:tab/>
      </w:r>
      <w:r w:rsidRPr="00EC6C62">
        <w:rPr>
          <w:u w:val="single"/>
        </w:rPr>
        <w:tab/>
      </w:r>
      <w:r w:rsidRPr="00EC6C62">
        <w:rPr>
          <w:u w:val="single"/>
        </w:rPr>
        <w:tab/>
      </w:r>
      <w:r w:rsidRPr="00EC6C62">
        <w:rPr>
          <w:u w:val="single"/>
        </w:rPr>
        <w:tab/>
        <w:t>Computation</w:t>
      </w:r>
      <w:r w:rsidRPr="00EC6C62">
        <w:rPr>
          <w:u w:val="single"/>
        </w:rPr>
        <w:tab/>
      </w:r>
      <w:r w:rsidRPr="00EC6C62">
        <w:rPr>
          <w:u w:val="single"/>
        </w:rPr>
        <w:tab/>
      </w:r>
      <w:r w:rsidRPr="00EC6C62">
        <w:rPr>
          <w:u w:val="single"/>
        </w:rPr>
        <w:tab/>
      </w:r>
      <w:r>
        <w:rPr>
          <w:u w:val="single"/>
        </w:rPr>
        <w:tab/>
      </w:r>
      <w:r>
        <w:rPr>
          <w:u w:val="single"/>
        </w:rPr>
        <w:tab/>
      </w:r>
      <w:r w:rsidRPr="00EC6C62">
        <w:rPr>
          <w:u w:val="single"/>
        </w:rPr>
        <w:t>Cost</w:t>
      </w:r>
    </w:p>
    <w:p w14:paraId="718597ED" w14:textId="77777777" w:rsidR="000A4957" w:rsidRDefault="000A4957" w:rsidP="000A4957">
      <w:pPr>
        <w:pStyle w:val="ListParagraph"/>
        <w:contextualSpacing w:val="0"/>
      </w:pPr>
    </w:p>
    <w:p w14:paraId="2D226020" w14:textId="28B57DCF" w:rsidR="000A4957" w:rsidRPr="00EC6C62" w:rsidRDefault="000A4957" w:rsidP="000A4957">
      <w:pPr>
        <w:pStyle w:val="ListParagraph"/>
        <w:contextualSpacing w:val="0"/>
        <w:rPr>
          <w:b/>
          <w:bCs/>
        </w:rPr>
      </w:pPr>
      <w:r w:rsidRPr="00EC6C62">
        <w:rPr>
          <w:b/>
        </w:rPr>
        <w:t xml:space="preserve">Total of </w:t>
      </w:r>
      <w:r>
        <w:rPr>
          <w:b/>
        </w:rPr>
        <w:t>Other Costs</w:t>
      </w:r>
      <w:r w:rsidRPr="00EC6C62">
        <w:rPr>
          <w:b/>
        </w:rPr>
        <w:t>:</w:t>
      </w:r>
      <w:r w:rsidRPr="00EC6C62">
        <w:rPr>
          <w:b/>
        </w:rPr>
        <w:tab/>
      </w:r>
      <w:r w:rsidRPr="00EC6C62">
        <w:rPr>
          <w:b/>
        </w:rPr>
        <w:tab/>
      </w:r>
      <w:r w:rsidRPr="00EC6C62">
        <w:rPr>
          <w:b/>
        </w:rPr>
        <w:tab/>
      </w:r>
      <w:r w:rsidRPr="00EC6C62">
        <w:rPr>
          <w:b/>
        </w:rPr>
        <w:tab/>
      </w:r>
      <w:r w:rsidRPr="00EC6C62">
        <w:rPr>
          <w:b/>
        </w:rPr>
        <w:tab/>
      </w:r>
      <w:r w:rsidRPr="00EC6C62">
        <w:rPr>
          <w:b/>
        </w:rPr>
        <w:tab/>
        <w:t>$______________</w:t>
      </w:r>
    </w:p>
    <w:p w14:paraId="1ED8DC4A" w14:textId="77777777" w:rsidR="000A4957" w:rsidRPr="006855DB" w:rsidRDefault="000A4957" w:rsidP="00EC6C62">
      <w:pPr>
        <w:pStyle w:val="ListParagraph"/>
        <w:contextualSpacing w:val="0"/>
      </w:pPr>
    </w:p>
    <w:sectPr w:rsidR="000A4957" w:rsidRPr="006855DB" w:rsidSect="002F20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647F" w14:textId="77777777" w:rsidR="006E2C2F" w:rsidRDefault="006E2C2F" w:rsidP="00312317">
      <w:pPr>
        <w:spacing w:after="0"/>
      </w:pPr>
      <w:r>
        <w:separator/>
      </w:r>
    </w:p>
  </w:endnote>
  <w:endnote w:type="continuationSeparator" w:id="0">
    <w:p w14:paraId="5FDBF025" w14:textId="77777777" w:rsidR="006E2C2F" w:rsidRDefault="006E2C2F" w:rsidP="00312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79376"/>
      <w:docPartObj>
        <w:docPartGallery w:val="Page Numbers (Bottom of Page)"/>
        <w:docPartUnique/>
      </w:docPartObj>
    </w:sdtPr>
    <w:sdtEndPr>
      <w:rPr>
        <w:noProof/>
      </w:rPr>
    </w:sdtEndPr>
    <w:sdtContent>
      <w:p w14:paraId="2F952888" w14:textId="58C4D886" w:rsidR="002F20CE" w:rsidRDefault="002F2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81911" w14:textId="77777777" w:rsidR="002F20CE" w:rsidRDefault="002F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11929"/>
      <w:docPartObj>
        <w:docPartGallery w:val="Page Numbers (Bottom of Page)"/>
        <w:docPartUnique/>
      </w:docPartObj>
    </w:sdtPr>
    <w:sdtEndPr>
      <w:rPr>
        <w:noProof/>
      </w:rPr>
    </w:sdtEndPr>
    <w:sdtContent>
      <w:p w14:paraId="31D2DBA0" w14:textId="77777777" w:rsidR="002F20CE" w:rsidRDefault="002F2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0637E" w14:textId="77777777" w:rsidR="002F20CE" w:rsidRDefault="002F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AFF7" w14:textId="77777777" w:rsidR="006E2C2F" w:rsidRDefault="006E2C2F" w:rsidP="00312317">
      <w:pPr>
        <w:spacing w:after="0"/>
      </w:pPr>
      <w:r>
        <w:separator/>
      </w:r>
    </w:p>
  </w:footnote>
  <w:footnote w:type="continuationSeparator" w:id="0">
    <w:p w14:paraId="692D7343" w14:textId="77777777" w:rsidR="006E2C2F" w:rsidRDefault="006E2C2F" w:rsidP="003123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68A8" w14:textId="02688752" w:rsidR="00312317" w:rsidRDefault="00312317" w:rsidP="00EA00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61F"/>
    <w:multiLevelType w:val="hybridMultilevel"/>
    <w:tmpl w:val="58B8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D305D"/>
    <w:multiLevelType w:val="hybridMultilevel"/>
    <w:tmpl w:val="70B40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99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80BBD"/>
    <w:multiLevelType w:val="hybridMultilevel"/>
    <w:tmpl w:val="2AC6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E2793"/>
    <w:multiLevelType w:val="hybridMultilevel"/>
    <w:tmpl w:val="DA4C4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4717"/>
    <w:multiLevelType w:val="hybridMultilevel"/>
    <w:tmpl w:val="C34AA2B6"/>
    <w:lvl w:ilvl="0" w:tplc="88E8AD5E">
      <w:start w:val="1"/>
      <w:numFmt w:val="decimal"/>
      <w:pStyle w:val="Heading4"/>
      <w:lvlText w:val="(%1)"/>
      <w:lvlJc w:val="left"/>
      <w:pPr>
        <w:ind w:left="2160" w:hanging="360"/>
      </w:pPr>
      <w:rPr>
        <w:b w:val="0"/>
        <w:bCs/>
      </w:rPr>
    </w:lvl>
    <w:lvl w:ilvl="1" w:tplc="04090019">
      <w:start w:val="1"/>
      <w:numFmt w:val="low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A96D68"/>
    <w:multiLevelType w:val="hybridMultilevel"/>
    <w:tmpl w:val="0D48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81E9D"/>
    <w:multiLevelType w:val="hybridMultilevel"/>
    <w:tmpl w:val="889A2094"/>
    <w:lvl w:ilvl="0" w:tplc="2FA2B684">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CB046C"/>
    <w:multiLevelType w:val="hybridMultilevel"/>
    <w:tmpl w:val="AEB4A6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AB00FC"/>
    <w:multiLevelType w:val="hybridMultilevel"/>
    <w:tmpl w:val="C3205E82"/>
    <w:lvl w:ilvl="0" w:tplc="FFFFFFFF">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6B40DC"/>
    <w:multiLevelType w:val="hybridMultilevel"/>
    <w:tmpl w:val="637276B6"/>
    <w:lvl w:ilvl="0" w:tplc="0CD47CDC">
      <w:start w:val="1"/>
      <w:numFmt w:val="upperLetter"/>
      <w:pStyle w:val="Heading1"/>
      <w:lvlText w:val="%1."/>
      <w:lvlJc w:val="left"/>
      <w:pPr>
        <w:ind w:left="360" w:hanging="360"/>
      </w:pPr>
    </w:lvl>
    <w:lvl w:ilvl="1" w:tplc="F1FCE1AE">
      <w:start w:val="1"/>
      <w:numFmt w:val="decimal"/>
      <w:pStyle w:val="Heading2"/>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D36B9"/>
    <w:multiLevelType w:val="hybridMultilevel"/>
    <w:tmpl w:val="266C70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922385D"/>
    <w:multiLevelType w:val="hybridMultilevel"/>
    <w:tmpl w:val="3612B372"/>
    <w:lvl w:ilvl="0" w:tplc="89AE413A">
      <w:start w:val="1"/>
      <w:numFmt w:val="lowerRoman"/>
      <w:pStyle w:val="Heading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B6F99"/>
    <w:multiLevelType w:val="hybridMultilevel"/>
    <w:tmpl w:val="5D3AD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D31D90"/>
    <w:multiLevelType w:val="hybridMultilevel"/>
    <w:tmpl w:val="99C8FCCC"/>
    <w:lvl w:ilvl="0" w:tplc="FFFFFFFF">
      <w:start w:val="1"/>
      <w:numFmt w:val="bullet"/>
      <w:lvlText w:val=""/>
      <w:lvlJc w:val="left"/>
      <w:pPr>
        <w:ind w:left="99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FFFFFFFF">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4" w15:restartNumberingAfterBreak="0">
    <w:nsid w:val="6458468B"/>
    <w:multiLevelType w:val="hybridMultilevel"/>
    <w:tmpl w:val="17A46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B87742"/>
    <w:multiLevelType w:val="hybridMultilevel"/>
    <w:tmpl w:val="7E9A4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D447F"/>
    <w:multiLevelType w:val="hybridMultilevel"/>
    <w:tmpl w:val="07BC2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B336A"/>
    <w:multiLevelType w:val="hybridMultilevel"/>
    <w:tmpl w:val="63C4BD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79591858"/>
    <w:multiLevelType w:val="hybridMultilevel"/>
    <w:tmpl w:val="14CC1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EB7E6E"/>
    <w:multiLevelType w:val="hybridMultilevel"/>
    <w:tmpl w:val="493CE28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F9974CB"/>
    <w:multiLevelType w:val="hybridMultilevel"/>
    <w:tmpl w:val="A1BC1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81491167">
    <w:abstractNumId w:val="9"/>
  </w:num>
  <w:num w:numId="2" w16cid:durableId="2027975867">
    <w:abstractNumId w:val="10"/>
  </w:num>
  <w:num w:numId="3" w16cid:durableId="1400249663">
    <w:abstractNumId w:val="15"/>
  </w:num>
  <w:num w:numId="4" w16cid:durableId="1349020689">
    <w:abstractNumId w:val="5"/>
  </w:num>
  <w:num w:numId="5" w16cid:durableId="1767650409">
    <w:abstractNumId w:val="11"/>
  </w:num>
  <w:num w:numId="6" w16cid:durableId="1915504932">
    <w:abstractNumId w:val="6"/>
  </w:num>
  <w:num w:numId="7" w16cid:durableId="1268346183">
    <w:abstractNumId w:val="20"/>
  </w:num>
  <w:num w:numId="8" w16cid:durableId="1739596618">
    <w:abstractNumId w:val="4"/>
  </w:num>
  <w:num w:numId="9" w16cid:durableId="1782258123">
    <w:abstractNumId w:val="4"/>
    <w:lvlOverride w:ilvl="0">
      <w:startOverride w:val="1"/>
    </w:lvlOverride>
  </w:num>
  <w:num w:numId="10" w16cid:durableId="1919942890">
    <w:abstractNumId w:val="4"/>
    <w:lvlOverride w:ilvl="0">
      <w:startOverride w:val="1"/>
    </w:lvlOverride>
  </w:num>
  <w:num w:numId="11" w16cid:durableId="1252004265">
    <w:abstractNumId w:val="7"/>
  </w:num>
  <w:num w:numId="12" w16cid:durableId="713312037">
    <w:abstractNumId w:val="2"/>
  </w:num>
  <w:num w:numId="13" w16cid:durableId="980035869">
    <w:abstractNumId w:val="18"/>
  </w:num>
  <w:num w:numId="14" w16cid:durableId="1519931462">
    <w:abstractNumId w:val="14"/>
  </w:num>
  <w:num w:numId="15" w16cid:durableId="1599176264">
    <w:abstractNumId w:val="16"/>
  </w:num>
  <w:num w:numId="16" w16cid:durableId="859246429">
    <w:abstractNumId w:val="1"/>
  </w:num>
  <w:num w:numId="17" w16cid:durableId="759256906">
    <w:abstractNumId w:val="19"/>
  </w:num>
  <w:num w:numId="18" w16cid:durableId="1529220992">
    <w:abstractNumId w:val="13"/>
  </w:num>
  <w:num w:numId="19" w16cid:durableId="1165978570">
    <w:abstractNumId w:val="0"/>
  </w:num>
  <w:num w:numId="20" w16cid:durableId="1750693190">
    <w:abstractNumId w:val="12"/>
  </w:num>
  <w:num w:numId="21" w16cid:durableId="1238516736">
    <w:abstractNumId w:val="3"/>
  </w:num>
  <w:num w:numId="22" w16cid:durableId="1922329760">
    <w:abstractNumId w:val="8"/>
  </w:num>
  <w:num w:numId="23" w16cid:durableId="932281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17"/>
    <w:rsid w:val="0004187D"/>
    <w:rsid w:val="000742AC"/>
    <w:rsid w:val="000838A2"/>
    <w:rsid w:val="000A4957"/>
    <w:rsid w:val="000B376C"/>
    <w:rsid w:val="000C770B"/>
    <w:rsid w:val="001047BE"/>
    <w:rsid w:val="00116B72"/>
    <w:rsid w:val="00120ADD"/>
    <w:rsid w:val="00136889"/>
    <w:rsid w:val="001574C9"/>
    <w:rsid w:val="00173541"/>
    <w:rsid w:val="00174A55"/>
    <w:rsid w:val="001932BA"/>
    <w:rsid w:val="001A5F1E"/>
    <w:rsid w:val="00214017"/>
    <w:rsid w:val="002240C4"/>
    <w:rsid w:val="00291495"/>
    <w:rsid w:val="002945AE"/>
    <w:rsid w:val="002E0D6B"/>
    <w:rsid w:val="002E6D7D"/>
    <w:rsid w:val="002F20CE"/>
    <w:rsid w:val="002F4A8A"/>
    <w:rsid w:val="002F6CE5"/>
    <w:rsid w:val="00302524"/>
    <w:rsid w:val="003032BA"/>
    <w:rsid w:val="00312317"/>
    <w:rsid w:val="003560F1"/>
    <w:rsid w:val="003624A3"/>
    <w:rsid w:val="00393D47"/>
    <w:rsid w:val="003B4784"/>
    <w:rsid w:val="0042595C"/>
    <w:rsid w:val="00425B6E"/>
    <w:rsid w:val="00447E37"/>
    <w:rsid w:val="004500C6"/>
    <w:rsid w:val="00455B33"/>
    <w:rsid w:val="00456570"/>
    <w:rsid w:val="004659BC"/>
    <w:rsid w:val="004F2623"/>
    <w:rsid w:val="005413C0"/>
    <w:rsid w:val="00594BB1"/>
    <w:rsid w:val="005D533B"/>
    <w:rsid w:val="00616EF9"/>
    <w:rsid w:val="00653907"/>
    <w:rsid w:val="00671A2F"/>
    <w:rsid w:val="006768A8"/>
    <w:rsid w:val="006855DB"/>
    <w:rsid w:val="006A59A4"/>
    <w:rsid w:val="006A7B68"/>
    <w:rsid w:val="006E2C2F"/>
    <w:rsid w:val="006E7151"/>
    <w:rsid w:val="006F044B"/>
    <w:rsid w:val="006F04BB"/>
    <w:rsid w:val="006F6F35"/>
    <w:rsid w:val="00720009"/>
    <w:rsid w:val="00725205"/>
    <w:rsid w:val="00746943"/>
    <w:rsid w:val="00790F24"/>
    <w:rsid w:val="00795D33"/>
    <w:rsid w:val="007B3A6C"/>
    <w:rsid w:val="007C738E"/>
    <w:rsid w:val="00851175"/>
    <w:rsid w:val="008933E9"/>
    <w:rsid w:val="0092730C"/>
    <w:rsid w:val="00971257"/>
    <w:rsid w:val="009725B0"/>
    <w:rsid w:val="009B2D5F"/>
    <w:rsid w:val="00A66CC1"/>
    <w:rsid w:val="00AA1B5D"/>
    <w:rsid w:val="00AA5463"/>
    <w:rsid w:val="00AF76DD"/>
    <w:rsid w:val="00B42AB3"/>
    <w:rsid w:val="00B81EC9"/>
    <w:rsid w:val="00BD643C"/>
    <w:rsid w:val="00BF0FB2"/>
    <w:rsid w:val="00C20155"/>
    <w:rsid w:val="00C732C5"/>
    <w:rsid w:val="00C93155"/>
    <w:rsid w:val="00CF7113"/>
    <w:rsid w:val="00D3749A"/>
    <w:rsid w:val="00D70899"/>
    <w:rsid w:val="00DD70B4"/>
    <w:rsid w:val="00E03DEF"/>
    <w:rsid w:val="00E11AAD"/>
    <w:rsid w:val="00E1795C"/>
    <w:rsid w:val="00E63738"/>
    <w:rsid w:val="00E83414"/>
    <w:rsid w:val="00EA0006"/>
    <w:rsid w:val="00EB3889"/>
    <w:rsid w:val="00EC6C62"/>
    <w:rsid w:val="00F60550"/>
    <w:rsid w:val="00F8294C"/>
    <w:rsid w:val="00FA7F1D"/>
    <w:rsid w:val="00FB345B"/>
    <w:rsid w:val="00FC0E1F"/>
    <w:rsid w:val="00FC3D76"/>
    <w:rsid w:val="00FD1C9C"/>
    <w:rsid w:val="00FD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39AD"/>
  <w15:chartTrackingRefBased/>
  <w15:docId w15:val="{DE081B12-6005-4FDE-BCBE-C9D5DC04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41"/>
    <w:pPr>
      <w:spacing w:after="240"/>
      <w:ind w:left="360"/>
      <w:jc w:val="both"/>
    </w:pPr>
  </w:style>
  <w:style w:type="paragraph" w:styleId="Heading1">
    <w:name w:val="heading 1"/>
    <w:basedOn w:val="Normal"/>
    <w:next w:val="Normal"/>
    <w:link w:val="Heading1Char"/>
    <w:uiPriority w:val="9"/>
    <w:qFormat/>
    <w:rsid w:val="002240C4"/>
    <w:pPr>
      <w:keepNext/>
      <w:keepLines/>
      <w:numPr>
        <w:numId w:val="1"/>
      </w:numPr>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2240C4"/>
    <w:pPr>
      <w:numPr>
        <w:ilvl w:val="1"/>
      </w:numPr>
      <w:outlineLvl w:val="1"/>
    </w:pPr>
    <w:rPr>
      <w:sz w:val="24"/>
      <w:szCs w:val="24"/>
    </w:rPr>
  </w:style>
  <w:style w:type="paragraph" w:styleId="Heading3">
    <w:name w:val="heading 3"/>
    <w:basedOn w:val="ListParagraph"/>
    <w:next w:val="Normal"/>
    <w:link w:val="Heading3Char"/>
    <w:uiPriority w:val="9"/>
    <w:unhideWhenUsed/>
    <w:qFormat/>
    <w:rsid w:val="0042595C"/>
    <w:pPr>
      <w:numPr>
        <w:numId w:val="5"/>
      </w:numPr>
      <w:ind w:left="1440"/>
      <w:outlineLvl w:val="2"/>
    </w:pPr>
    <w:rPr>
      <w:b/>
    </w:rPr>
  </w:style>
  <w:style w:type="paragraph" w:styleId="Heading4">
    <w:name w:val="heading 4"/>
    <w:basedOn w:val="ListParagraph"/>
    <w:next w:val="Normal"/>
    <w:link w:val="Heading4Char"/>
    <w:uiPriority w:val="9"/>
    <w:unhideWhenUsed/>
    <w:qFormat/>
    <w:rsid w:val="00746943"/>
    <w:pPr>
      <w:numPr>
        <w:numId w:val="8"/>
      </w:numPr>
      <w:contextualSpacing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17"/>
    <w:pPr>
      <w:tabs>
        <w:tab w:val="center" w:pos="4680"/>
        <w:tab w:val="right" w:pos="9360"/>
      </w:tabs>
    </w:pPr>
  </w:style>
  <w:style w:type="character" w:customStyle="1" w:styleId="HeaderChar">
    <w:name w:val="Header Char"/>
    <w:basedOn w:val="DefaultParagraphFont"/>
    <w:link w:val="Header"/>
    <w:uiPriority w:val="99"/>
    <w:rsid w:val="00312317"/>
  </w:style>
  <w:style w:type="paragraph" w:styleId="Footer">
    <w:name w:val="footer"/>
    <w:basedOn w:val="Normal"/>
    <w:link w:val="FooterChar"/>
    <w:uiPriority w:val="99"/>
    <w:unhideWhenUsed/>
    <w:rsid w:val="00312317"/>
    <w:pPr>
      <w:tabs>
        <w:tab w:val="center" w:pos="4680"/>
        <w:tab w:val="right" w:pos="9360"/>
      </w:tabs>
    </w:pPr>
  </w:style>
  <w:style w:type="character" w:customStyle="1" w:styleId="FooterChar">
    <w:name w:val="Footer Char"/>
    <w:basedOn w:val="DefaultParagraphFont"/>
    <w:link w:val="Footer"/>
    <w:uiPriority w:val="99"/>
    <w:rsid w:val="00312317"/>
  </w:style>
  <w:style w:type="character" w:styleId="Hyperlink">
    <w:name w:val="Hyperlink"/>
    <w:basedOn w:val="DefaultParagraphFont"/>
    <w:uiPriority w:val="99"/>
    <w:unhideWhenUsed/>
    <w:rsid w:val="00312317"/>
    <w:rPr>
      <w:color w:val="0563C1" w:themeColor="hyperlink"/>
      <w:u w:val="single"/>
    </w:rPr>
  </w:style>
  <w:style w:type="character" w:styleId="UnresolvedMention">
    <w:name w:val="Unresolved Mention"/>
    <w:basedOn w:val="DefaultParagraphFont"/>
    <w:uiPriority w:val="99"/>
    <w:semiHidden/>
    <w:unhideWhenUsed/>
    <w:rsid w:val="00312317"/>
    <w:rPr>
      <w:color w:val="605E5C"/>
      <w:shd w:val="clear" w:color="auto" w:fill="E1DFDD"/>
    </w:rPr>
  </w:style>
  <w:style w:type="character" w:customStyle="1" w:styleId="Heading1Char">
    <w:name w:val="Heading 1 Char"/>
    <w:basedOn w:val="DefaultParagraphFont"/>
    <w:link w:val="Heading1"/>
    <w:uiPriority w:val="9"/>
    <w:rsid w:val="002240C4"/>
    <w:rPr>
      <w:rFonts w:eastAsiaTheme="majorEastAsia" w:cstheme="majorBidi"/>
      <w:b/>
      <w:sz w:val="28"/>
      <w:szCs w:val="32"/>
    </w:rPr>
  </w:style>
  <w:style w:type="paragraph" w:styleId="ListParagraph">
    <w:name w:val="List Paragraph"/>
    <w:basedOn w:val="Normal"/>
    <w:uiPriority w:val="34"/>
    <w:qFormat/>
    <w:rsid w:val="00AA1B5D"/>
    <w:pPr>
      <w:ind w:left="720"/>
      <w:contextualSpacing/>
    </w:pPr>
  </w:style>
  <w:style w:type="character" w:customStyle="1" w:styleId="Heading2Char">
    <w:name w:val="Heading 2 Char"/>
    <w:basedOn w:val="DefaultParagraphFont"/>
    <w:link w:val="Heading2"/>
    <w:uiPriority w:val="9"/>
    <w:rsid w:val="002240C4"/>
    <w:rPr>
      <w:rFonts w:eastAsiaTheme="majorEastAsia" w:cstheme="majorBidi"/>
      <w:b/>
    </w:rPr>
  </w:style>
  <w:style w:type="character" w:customStyle="1" w:styleId="Heading3Char">
    <w:name w:val="Heading 3 Char"/>
    <w:basedOn w:val="DefaultParagraphFont"/>
    <w:link w:val="Heading3"/>
    <w:uiPriority w:val="9"/>
    <w:rsid w:val="0042595C"/>
    <w:rPr>
      <w:b/>
    </w:rPr>
  </w:style>
  <w:style w:type="character" w:customStyle="1" w:styleId="Heading4Char">
    <w:name w:val="Heading 4 Char"/>
    <w:basedOn w:val="DefaultParagraphFont"/>
    <w:link w:val="Heading4"/>
    <w:uiPriority w:val="9"/>
    <w:rsid w:val="00746943"/>
  </w:style>
  <w:style w:type="character" w:styleId="PlaceholderText">
    <w:name w:val="Placeholder Text"/>
    <w:basedOn w:val="DefaultParagraphFont"/>
    <w:uiPriority w:val="99"/>
    <w:semiHidden/>
    <w:rsid w:val="00173541"/>
    <w:rPr>
      <w:color w:val="808080"/>
    </w:rPr>
  </w:style>
  <w:style w:type="character" w:styleId="CommentReference">
    <w:name w:val="annotation reference"/>
    <w:basedOn w:val="DefaultParagraphFont"/>
    <w:uiPriority w:val="99"/>
    <w:semiHidden/>
    <w:unhideWhenUsed/>
    <w:rsid w:val="00173541"/>
    <w:rPr>
      <w:sz w:val="16"/>
      <w:szCs w:val="16"/>
    </w:rPr>
  </w:style>
  <w:style w:type="paragraph" w:styleId="CommentText">
    <w:name w:val="annotation text"/>
    <w:basedOn w:val="Normal"/>
    <w:link w:val="CommentTextChar"/>
    <w:uiPriority w:val="99"/>
    <w:unhideWhenUsed/>
    <w:rsid w:val="00173541"/>
    <w:rPr>
      <w:sz w:val="20"/>
      <w:szCs w:val="20"/>
    </w:rPr>
  </w:style>
  <w:style w:type="character" w:customStyle="1" w:styleId="CommentTextChar">
    <w:name w:val="Comment Text Char"/>
    <w:basedOn w:val="DefaultParagraphFont"/>
    <w:link w:val="CommentText"/>
    <w:uiPriority w:val="99"/>
    <w:rsid w:val="00173541"/>
    <w:rPr>
      <w:sz w:val="20"/>
      <w:szCs w:val="20"/>
    </w:rPr>
  </w:style>
  <w:style w:type="paragraph" w:styleId="CommentSubject">
    <w:name w:val="annotation subject"/>
    <w:basedOn w:val="CommentText"/>
    <w:next w:val="CommentText"/>
    <w:link w:val="CommentSubjectChar"/>
    <w:uiPriority w:val="99"/>
    <w:semiHidden/>
    <w:unhideWhenUsed/>
    <w:rsid w:val="00173541"/>
    <w:rPr>
      <w:b/>
    </w:rPr>
  </w:style>
  <w:style w:type="character" w:customStyle="1" w:styleId="CommentSubjectChar">
    <w:name w:val="Comment Subject Char"/>
    <w:basedOn w:val="CommentTextChar"/>
    <w:link w:val="CommentSubject"/>
    <w:uiPriority w:val="99"/>
    <w:semiHidden/>
    <w:rsid w:val="00173541"/>
    <w:rPr>
      <w:b/>
      <w:sz w:val="20"/>
      <w:szCs w:val="20"/>
    </w:rPr>
  </w:style>
  <w:style w:type="table" w:styleId="TableGrid">
    <w:name w:val="Table Grid"/>
    <w:basedOn w:val="TableNormal"/>
    <w:uiPriority w:val="39"/>
    <w:rsid w:val="0068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017"/>
    <w:rPr>
      <w:color w:val="954F72" w:themeColor="followedHyperlink"/>
      <w:u w:val="single"/>
    </w:rPr>
  </w:style>
  <w:style w:type="paragraph" w:styleId="Revision">
    <w:name w:val="Revision"/>
    <w:hidden/>
    <w:uiPriority w:val="99"/>
    <w:semiHidden/>
    <w:rsid w:val="0045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P@adeca.alabama.gov" TargetMode="External"/><Relationship Id="rId18" Type="http://schemas.openxmlformats.org/officeDocument/2006/relationships/hyperlink" Target="https://alison-file.legislature.state.al.us/pdfdocs/joint/contract_review/Certificate_of_Compliance.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lison-file.legislature.state.al.us/pdfdocs/joint/contract_review/AL_Vendor_Disclosure_Statement.pdf" TargetMode="External"/><Relationship Id="rId17" Type="http://schemas.openxmlformats.org/officeDocument/2006/relationships/hyperlink" Target="https://alison-file.legislature.state.al.us/pdfdocs/joint/contract_review/AL_Vendor_Disclosure_Statement.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alison-file.legislature.state.al.us/pdfdocs/joint/contract_review/IMMIGRATION_STATUS_for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staars.alabam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ffy.smelley@adeca.alabama.gov" TargetMode="External"/><Relationship Id="rId23" Type="http://schemas.openxmlformats.org/officeDocument/2006/relationships/fontTable" Target="fontTable.xml"/><Relationship Id="rId10" Type="http://schemas.openxmlformats.org/officeDocument/2006/relationships/hyperlink" Target="https://ojjdp.ojp.gov/sites/g/files/xyckuh176/files/media/document/JJDPA-of-1974-as-Amended-12-21-18.pdf" TargetMode="External"/><Relationship Id="rId19"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ojjdp.ojp.gov/sites/g/files/xyckuh176/files/media/document/JJDPA-of-1974-as-Amended-12-21-18.pdf" TargetMode="External"/><Relationship Id="rId14" Type="http://schemas.openxmlformats.org/officeDocument/2006/relationships/hyperlink" Target="mailto:buffy.smelley@adeca.alabam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B42B0-EA35-4548-991B-F42B73C20FA0}">
  <ds:schemaRefs>
    <ds:schemaRef ds:uri="http://schemas.openxmlformats.org/officeDocument/2006/bibliography"/>
  </ds:schemaRefs>
</ds:datastoreItem>
</file>

<file path=customXml/itemProps2.xml><?xml version="1.0" encoding="utf-8"?>
<ds:datastoreItem xmlns:ds="http://schemas.openxmlformats.org/officeDocument/2006/customXml" ds:itemID="{A2DEEC3A-0C02-412F-B12A-2A586EFA7D28}"/>
</file>

<file path=customXml/itemProps3.xml><?xml version="1.0" encoding="utf-8"?>
<ds:datastoreItem xmlns:ds="http://schemas.openxmlformats.org/officeDocument/2006/customXml" ds:itemID="{F7E5CE0D-7394-455B-9190-4216089DF04F}"/>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25</Pages>
  <Words>9025</Words>
  <Characters>47748</Characters>
  <Application>Microsoft Office Word</Application>
  <DocSecurity>0</DocSecurity>
  <Lines>7958</Lines>
  <Paragraphs>3339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 Mary Elizabeth</dc:creator>
  <cp:keywords/>
  <dc:description/>
  <cp:lastModifiedBy>Smelley, Buffy</cp:lastModifiedBy>
  <cp:revision>10</cp:revision>
  <cp:lastPrinted>2024-01-05T14:20:00Z</cp:lastPrinted>
  <dcterms:created xsi:type="dcterms:W3CDTF">2024-03-01T19:50:00Z</dcterms:created>
  <dcterms:modified xsi:type="dcterms:W3CDTF">2024-03-01T20:00:00Z</dcterms:modified>
</cp:coreProperties>
</file>