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0C956" w14:textId="3AD35F4A" w:rsidR="00FA22D3" w:rsidRPr="00E85110" w:rsidRDefault="00FA22D3" w:rsidP="00FA22D3">
      <w:pPr>
        <w:spacing w:line="266" w:lineRule="exact"/>
        <w:jc w:val="center"/>
        <w:rPr>
          <w:b/>
          <w:bCs/>
        </w:rPr>
      </w:pPr>
      <w:r w:rsidRPr="00E85110">
        <w:rPr>
          <w:b/>
          <w:bCs/>
        </w:rPr>
        <w:t>AVISO DE AUDIENCIAS PÚBLICAS</w:t>
      </w:r>
    </w:p>
    <w:p w14:paraId="5728D556" w14:textId="77777777" w:rsidR="00FA22D3" w:rsidRPr="00E85110" w:rsidRDefault="00FA22D3" w:rsidP="00FA22D3">
      <w:pPr>
        <w:spacing w:line="270" w:lineRule="exact"/>
        <w:jc w:val="center"/>
        <w:rPr>
          <w:b/>
          <w:bCs/>
        </w:rPr>
      </w:pPr>
      <w:r w:rsidRPr="00E85110">
        <w:rPr>
          <w:b/>
          <w:bCs/>
        </w:rPr>
        <w:t>y</w:t>
      </w:r>
    </w:p>
    <w:p w14:paraId="548D3010" w14:textId="77777777" w:rsidR="00FA22D3" w:rsidRPr="00E85110" w:rsidRDefault="00FA22D3" w:rsidP="00FA22D3">
      <w:pPr>
        <w:spacing w:line="270" w:lineRule="exact"/>
        <w:jc w:val="center"/>
        <w:rPr>
          <w:b/>
          <w:bCs/>
        </w:rPr>
      </w:pPr>
      <w:r w:rsidRPr="00E85110">
        <w:rPr>
          <w:b/>
          <w:bCs/>
        </w:rPr>
        <w:t>AVISO DE DISPONIBILIDAD</w:t>
      </w:r>
    </w:p>
    <w:p w14:paraId="4779BE43" w14:textId="77777777" w:rsidR="00FA22D3" w:rsidRDefault="00FA22D3" w:rsidP="00FA22D3">
      <w:pPr>
        <w:spacing w:line="249" w:lineRule="auto"/>
        <w:ind w:left="112" w:right="244"/>
        <w:jc w:val="both"/>
        <w:rPr>
          <w:color w:val="1C1C1C"/>
          <w:spacing w:val="-1"/>
          <w:sz w:val="19"/>
          <w:szCs w:val="19"/>
        </w:rPr>
      </w:pPr>
      <w:r w:rsidRPr="00E85110">
        <w:rPr>
          <w:color w:val="1C1C1C"/>
          <w:sz w:val="19"/>
          <w:szCs w:val="19"/>
        </w:rPr>
        <w:t>Paraca</w:t>
      </w:r>
      <w:r w:rsidRPr="00E85110">
        <w:rPr>
          <w:color w:val="1C1C1C"/>
          <w:spacing w:val="9"/>
          <w:sz w:val="19"/>
          <w:szCs w:val="19"/>
        </w:rPr>
        <w:t xml:space="preserve"> </w:t>
      </w:r>
      <w:r w:rsidRPr="00E85110">
        <w:rPr>
          <w:color w:val="1C1C1C"/>
          <w:sz w:val="19"/>
          <w:szCs w:val="19"/>
        </w:rPr>
        <w:t>una</w:t>
      </w:r>
      <w:r w:rsidRPr="00E85110">
        <w:rPr>
          <w:color w:val="1C1C1C"/>
          <w:spacing w:val="10"/>
          <w:sz w:val="19"/>
          <w:szCs w:val="19"/>
        </w:rPr>
        <w:t xml:space="preserve"> </w:t>
      </w:r>
      <w:r w:rsidRPr="00E85110">
        <w:rPr>
          <w:color w:val="1C1C1C"/>
          <w:sz w:val="19"/>
          <w:szCs w:val="19"/>
        </w:rPr>
        <w:t>versión</w:t>
      </w:r>
      <w:r w:rsidRPr="00E85110">
        <w:rPr>
          <w:color w:val="1C1C1C"/>
          <w:spacing w:val="9"/>
          <w:sz w:val="19"/>
          <w:szCs w:val="19"/>
        </w:rPr>
        <w:t xml:space="preserve"> </w:t>
      </w:r>
      <w:r w:rsidRPr="00E85110">
        <w:rPr>
          <w:color w:val="1C1C1C"/>
          <w:sz w:val="19"/>
          <w:szCs w:val="19"/>
        </w:rPr>
        <w:t>español</w:t>
      </w:r>
      <w:r w:rsidRPr="00E85110">
        <w:rPr>
          <w:color w:val="1C1C1C"/>
          <w:spacing w:val="10"/>
          <w:sz w:val="19"/>
          <w:szCs w:val="19"/>
        </w:rPr>
        <w:t xml:space="preserve"> </w:t>
      </w:r>
      <w:r w:rsidRPr="00E85110">
        <w:rPr>
          <w:color w:val="1C1C1C"/>
          <w:sz w:val="19"/>
          <w:szCs w:val="19"/>
        </w:rPr>
        <w:t>Delaware</w:t>
      </w:r>
      <w:r w:rsidRPr="00E85110">
        <w:rPr>
          <w:color w:val="1C1C1C"/>
          <w:spacing w:val="9"/>
          <w:sz w:val="19"/>
          <w:szCs w:val="19"/>
        </w:rPr>
        <w:t xml:space="preserve"> </w:t>
      </w:r>
      <w:r w:rsidRPr="00E85110">
        <w:rPr>
          <w:color w:val="1C1C1C"/>
          <w:sz w:val="19"/>
          <w:szCs w:val="19"/>
        </w:rPr>
        <w:t>Este</w:t>
      </w:r>
      <w:r w:rsidRPr="00E85110">
        <w:rPr>
          <w:color w:val="1C1C1C"/>
          <w:spacing w:val="10"/>
          <w:sz w:val="19"/>
          <w:szCs w:val="19"/>
        </w:rPr>
        <w:t xml:space="preserve"> </w:t>
      </w:r>
      <w:r w:rsidRPr="00E85110">
        <w:rPr>
          <w:color w:val="1C1C1C"/>
          <w:sz w:val="19"/>
          <w:szCs w:val="19"/>
        </w:rPr>
        <w:t>aviso</w:t>
      </w:r>
      <w:r w:rsidRPr="00E85110">
        <w:rPr>
          <w:color w:val="1C1C1C"/>
          <w:spacing w:val="9"/>
          <w:sz w:val="19"/>
          <w:szCs w:val="19"/>
        </w:rPr>
        <w:t xml:space="preserve"> </w:t>
      </w:r>
      <w:r w:rsidRPr="00E85110">
        <w:rPr>
          <w:color w:val="1C1C1C"/>
          <w:sz w:val="19"/>
          <w:szCs w:val="19"/>
        </w:rPr>
        <w:t>Delaware</w:t>
      </w:r>
      <w:r w:rsidRPr="00E85110">
        <w:rPr>
          <w:color w:val="1C1C1C"/>
          <w:spacing w:val="10"/>
          <w:sz w:val="19"/>
          <w:szCs w:val="19"/>
        </w:rPr>
        <w:t xml:space="preserve"> </w:t>
      </w:r>
      <w:r w:rsidRPr="00E85110">
        <w:rPr>
          <w:color w:val="1C1C1C"/>
          <w:spacing w:val="-1"/>
          <w:sz w:val="19"/>
          <w:szCs w:val="19"/>
        </w:rPr>
        <w:t>audiencia,</w:t>
      </w:r>
      <w:r w:rsidRPr="00E85110">
        <w:rPr>
          <w:color w:val="1C1C1C"/>
          <w:spacing w:val="10"/>
          <w:sz w:val="19"/>
          <w:szCs w:val="19"/>
        </w:rPr>
        <w:t xml:space="preserve"> </w:t>
      </w:r>
      <w:r w:rsidRPr="00E85110">
        <w:rPr>
          <w:color w:val="1C1C1C"/>
          <w:sz w:val="19"/>
          <w:szCs w:val="19"/>
        </w:rPr>
        <w:t>visitar</w:t>
      </w:r>
      <w:r w:rsidRPr="00E85110">
        <w:rPr>
          <w:color w:val="1C1C1C"/>
          <w:spacing w:val="9"/>
          <w:sz w:val="19"/>
          <w:szCs w:val="19"/>
        </w:rPr>
        <w:t xml:space="preserve"> </w:t>
      </w:r>
      <w:hyperlink r:id="rId6">
        <w:r w:rsidRPr="00E85110">
          <w:rPr>
            <w:color w:val="0563C1"/>
            <w:spacing w:val="-1"/>
            <w:sz w:val="19"/>
            <w:szCs w:val="19"/>
            <w:u w:val="single" w:color="0563C1"/>
          </w:rPr>
          <w:t xml:space="preserve">www.adeca.alabama.gov </w:t>
        </w:r>
      </w:hyperlink>
      <w:r w:rsidRPr="00E85110">
        <w:rPr>
          <w:color w:val="1C1C1C"/>
          <w:spacing w:val="-1"/>
          <w:sz w:val="19"/>
          <w:szCs w:val="19"/>
        </w:rPr>
        <w:t>.</w:t>
      </w:r>
      <w:r w:rsidRPr="00E85110">
        <w:rPr>
          <w:color w:val="1C1C1C"/>
          <w:spacing w:val="10"/>
          <w:sz w:val="19"/>
          <w:szCs w:val="19"/>
        </w:rPr>
        <w:t xml:space="preserve"> </w:t>
      </w:r>
      <w:r w:rsidRPr="00E85110">
        <w:rPr>
          <w:color w:val="1C1C1C"/>
          <w:sz w:val="19"/>
          <w:szCs w:val="19"/>
        </w:rPr>
        <w:t>Paraca</w:t>
      </w:r>
      <w:r w:rsidRPr="00E85110">
        <w:rPr>
          <w:color w:val="1C1C1C"/>
          <w:spacing w:val="9"/>
          <w:sz w:val="19"/>
          <w:szCs w:val="19"/>
        </w:rPr>
        <w:t xml:space="preserve"> </w:t>
      </w:r>
      <w:r w:rsidRPr="00E85110">
        <w:rPr>
          <w:color w:val="1C1C1C"/>
          <w:sz w:val="19"/>
          <w:szCs w:val="19"/>
        </w:rPr>
        <w:t>traducciones</w:t>
      </w:r>
      <w:r w:rsidRPr="00E85110">
        <w:rPr>
          <w:color w:val="1C1C1C"/>
          <w:spacing w:val="10"/>
          <w:sz w:val="19"/>
          <w:szCs w:val="19"/>
        </w:rPr>
        <w:t xml:space="preserve"> </w:t>
      </w:r>
      <w:r w:rsidRPr="00E85110">
        <w:rPr>
          <w:color w:val="1C1C1C"/>
          <w:sz w:val="19"/>
          <w:szCs w:val="19"/>
        </w:rPr>
        <w:t>Alabama</w:t>
      </w:r>
      <w:r w:rsidRPr="00E85110">
        <w:rPr>
          <w:color w:val="1C1C1C"/>
          <w:spacing w:val="60"/>
          <w:w w:val="102"/>
          <w:sz w:val="19"/>
          <w:szCs w:val="19"/>
        </w:rPr>
        <w:t xml:space="preserve"> </w:t>
      </w:r>
      <w:r w:rsidRPr="00E85110">
        <w:rPr>
          <w:color w:val="1C1C1C"/>
          <w:sz w:val="19"/>
          <w:szCs w:val="19"/>
        </w:rPr>
        <w:t>ingles</w:t>
      </w:r>
      <w:r w:rsidRPr="00E85110">
        <w:rPr>
          <w:color w:val="1C1C1C"/>
          <w:spacing w:val="11"/>
          <w:sz w:val="19"/>
          <w:szCs w:val="19"/>
        </w:rPr>
        <w:t xml:space="preserve"> </w:t>
      </w:r>
      <w:r w:rsidRPr="00E85110">
        <w:rPr>
          <w:color w:val="1C1C1C"/>
          <w:sz w:val="19"/>
          <w:szCs w:val="19"/>
        </w:rPr>
        <w:t>Delaware</w:t>
      </w:r>
      <w:r w:rsidRPr="00E85110">
        <w:rPr>
          <w:color w:val="1C1C1C"/>
          <w:spacing w:val="11"/>
          <w:sz w:val="19"/>
          <w:szCs w:val="19"/>
        </w:rPr>
        <w:t xml:space="preserve"> </w:t>
      </w:r>
      <w:r w:rsidRPr="00E85110">
        <w:rPr>
          <w:color w:val="1C1C1C"/>
          <w:sz w:val="19"/>
          <w:szCs w:val="19"/>
        </w:rPr>
        <w:t>los</w:t>
      </w:r>
      <w:r w:rsidRPr="00E85110">
        <w:rPr>
          <w:color w:val="1C1C1C"/>
          <w:spacing w:val="12"/>
          <w:sz w:val="19"/>
          <w:szCs w:val="19"/>
        </w:rPr>
        <w:t xml:space="preserve"> </w:t>
      </w:r>
      <w:r w:rsidRPr="00E85110">
        <w:rPr>
          <w:color w:val="1C1C1C"/>
          <w:sz w:val="19"/>
          <w:szCs w:val="19"/>
        </w:rPr>
        <w:t>documentos</w:t>
      </w:r>
      <w:r w:rsidRPr="00E85110">
        <w:rPr>
          <w:color w:val="1C1C1C"/>
          <w:spacing w:val="11"/>
          <w:sz w:val="19"/>
          <w:szCs w:val="19"/>
        </w:rPr>
        <w:t xml:space="preserve"> </w:t>
      </w:r>
      <w:r w:rsidRPr="00E85110">
        <w:rPr>
          <w:color w:val="1C1C1C"/>
          <w:sz w:val="19"/>
          <w:szCs w:val="19"/>
        </w:rPr>
        <w:t>tan</w:t>
      </w:r>
      <w:r w:rsidRPr="00E85110">
        <w:rPr>
          <w:color w:val="1C1C1C"/>
          <w:spacing w:val="11"/>
          <w:sz w:val="19"/>
          <w:szCs w:val="19"/>
        </w:rPr>
        <w:t xml:space="preserve"> </w:t>
      </w:r>
      <w:r w:rsidRPr="00E85110">
        <w:rPr>
          <w:color w:val="1C1C1C"/>
          <w:sz w:val="19"/>
          <w:szCs w:val="19"/>
        </w:rPr>
        <w:t>es</w:t>
      </w:r>
      <w:r w:rsidRPr="00E85110">
        <w:rPr>
          <w:color w:val="1C1C1C"/>
          <w:spacing w:val="12"/>
          <w:sz w:val="19"/>
          <w:szCs w:val="19"/>
        </w:rPr>
        <w:t xml:space="preserve"> </w:t>
      </w:r>
      <w:r w:rsidRPr="00E85110">
        <w:rPr>
          <w:color w:val="1C1C1C"/>
          <w:sz w:val="19"/>
          <w:szCs w:val="19"/>
        </w:rPr>
        <w:t>Este</w:t>
      </w:r>
      <w:r w:rsidRPr="00E85110">
        <w:rPr>
          <w:color w:val="1C1C1C"/>
          <w:spacing w:val="11"/>
          <w:sz w:val="19"/>
          <w:szCs w:val="19"/>
        </w:rPr>
        <w:t xml:space="preserve"> </w:t>
      </w:r>
      <w:r w:rsidRPr="00E85110">
        <w:rPr>
          <w:color w:val="1C1C1C"/>
          <w:sz w:val="19"/>
          <w:szCs w:val="19"/>
        </w:rPr>
        <w:t>aviso,</w:t>
      </w:r>
      <w:r w:rsidRPr="00E85110">
        <w:rPr>
          <w:color w:val="1C1C1C"/>
          <w:spacing w:val="11"/>
          <w:sz w:val="19"/>
          <w:szCs w:val="19"/>
        </w:rPr>
        <w:t xml:space="preserve"> </w:t>
      </w:r>
      <w:r w:rsidRPr="00E85110">
        <w:rPr>
          <w:color w:val="1C1C1C"/>
          <w:sz w:val="19"/>
          <w:szCs w:val="19"/>
        </w:rPr>
        <w:t>escribano</w:t>
      </w:r>
      <w:r w:rsidRPr="00E85110">
        <w:rPr>
          <w:color w:val="1C1C1C"/>
          <w:spacing w:val="12"/>
          <w:sz w:val="19"/>
          <w:szCs w:val="19"/>
        </w:rPr>
        <w:t xml:space="preserve"> </w:t>
      </w:r>
      <w:r w:rsidRPr="00E85110">
        <w:rPr>
          <w:color w:val="1C1C1C"/>
          <w:sz w:val="19"/>
          <w:szCs w:val="19"/>
        </w:rPr>
        <w:t>Alabama</w:t>
      </w:r>
      <w:r w:rsidRPr="00E85110">
        <w:rPr>
          <w:color w:val="1C1C1C"/>
          <w:spacing w:val="11"/>
          <w:sz w:val="19"/>
          <w:szCs w:val="19"/>
        </w:rPr>
        <w:t xml:space="preserve"> </w:t>
      </w:r>
      <w:r w:rsidRPr="00E85110">
        <w:rPr>
          <w:color w:val="1C1C1C"/>
          <w:sz w:val="19"/>
          <w:szCs w:val="19"/>
        </w:rPr>
        <w:t>departamento</w:t>
      </w:r>
      <w:r w:rsidRPr="00E85110">
        <w:rPr>
          <w:color w:val="1C1C1C"/>
          <w:spacing w:val="12"/>
          <w:sz w:val="19"/>
          <w:szCs w:val="19"/>
        </w:rPr>
        <w:t xml:space="preserve"> </w:t>
      </w:r>
      <w:r w:rsidRPr="00E85110">
        <w:rPr>
          <w:color w:val="1C1C1C"/>
          <w:sz w:val="19"/>
          <w:szCs w:val="19"/>
        </w:rPr>
        <w:t>Delaware</w:t>
      </w:r>
      <w:r w:rsidRPr="00E85110">
        <w:rPr>
          <w:color w:val="1C1C1C"/>
          <w:spacing w:val="10"/>
          <w:sz w:val="19"/>
          <w:szCs w:val="19"/>
        </w:rPr>
        <w:t xml:space="preserve"> </w:t>
      </w:r>
      <w:r w:rsidRPr="00E85110">
        <w:rPr>
          <w:color w:val="1C1C1C"/>
          <w:sz w:val="19"/>
          <w:szCs w:val="19"/>
        </w:rPr>
        <w:t>Alabama</w:t>
      </w:r>
      <w:r w:rsidRPr="00E85110">
        <w:rPr>
          <w:color w:val="1C1C1C"/>
          <w:spacing w:val="11"/>
          <w:sz w:val="19"/>
          <w:szCs w:val="19"/>
        </w:rPr>
        <w:t xml:space="preserve"> </w:t>
      </w:r>
      <w:r w:rsidRPr="00E85110">
        <w:rPr>
          <w:color w:val="1C1C1C"/>
          <w:sz w:val="19"/>
          <w:szCs w:val="19"/>
        </w:rPr>
        <w:t>Delaware</w:t>
      </w:r>
      <w:r w:rsidRPr="00E85110">
        <w:rPr>
          <w:color w:val="1C1C1C"/>
          <w:spacing w:val="11"/>
          <w:sz w:val="19"/>
          <w:szCs w:val="19"/>
        </w:rPr>
        <w:t xml:space="preserve"> </w:t>
      </w:r>
      <w:r w:rsidRPr="00E85110">
        <w:rPr>
          <w:color w:val="1C1C1C"/>
          <w:sz w:val="19"/>
          <w:szCs w:val="19"/>
        </w:rPr>
        <w:t xml:space="preserve">Asuntos </w:t>
      </w:r>
      <w:proofErr w:type="spellStart"/>
      <w:r w:rsidRPr="00E85110">
        <w:rPr>
          <w:color w:val="1C1C1C"/>
          <w:sz w:val="19"/>
          <w:szCs w:val="19"/>
        </w:rPr>
        <w:t>economicos</w:t>
      </w:r>
      <w:proofErr w:type="spellEnd"/>
      <w:r w:rsidRPr="00E85110">
        <w:rPr>
          <w:color w:val="1C1C1C"/>
          <w:spacing w:val="11"/>
          <w:sz w:val="19"/>
          <w:szCs w:val="19"/>
        </w:rPr>
        <w:t xml:space="preserve"> </w:t>
      </w:r>
      <w:r w:rsidRPr="00E85110">
        <w:rPr>
          <w:color w:val="1C1C1C"/>
          <w:sz w:val="19"/>
          <w:szCs w:val="19"/>
        </w:rPr>
        <w:t>y</w:t>
      </w:r>
      <w:r w:rsidRPr="00E85110">
        <w:rPr>
          <w:color w:val="1C1C1C"/>
          <w:spacing w:val="12"/>
          <w:sz w:val="19"/>
          <w:szCs w:val="19"/>
        </w:rPr>
        <w:t xml:space="preserve"> </w:t>
      </w:r>
      <w:r w:rsidRPr="00E85110">
        <w:rPr>
          <w:color w:val="1C1C1C"/>
          <w:sz w:val="19"/>
          <w:szCs w:val="19"/>
        </w:rPr>
        <w:t>Delaware</w:t>
      </w:r>
      <w:r w:rsidRPr="00E85110">
        <w:rPr>
          <w:color w:val="1C1C1C"/>
          <w:spacing w:val="12"/>
          <w:sz w:val="19"/>
          <w:szCs w:val="19"/>
        </w:rPr>
        <w:t xml:space="preserve"> </w:t>
      </w:r>
      <w:r w:rsidRPr="00E85110">
        <w:rPr>
          <w:color w:val="1C1C1C"/>
          <w:sz w:val="19"/>
          <w:szCs w:val="19"/>
        </w:rPr>
        <w:t>la</w:t>
      </w:r>
      <w:r w:rsidRPr="00E85110">
        <w:rPr>
          <w:color w:val="1C1C1C"/>
          <w:spacing w:val="12"/>
          <w:sz w:val="19"/>
          <w:szCs w:val="19"/>
        </w:rPr>
        <w:t xml:space="preserve"> </w:t>
      </w:r>
      <w:r w:rsidRPr="00E85110">
        <w:rPr>
          <w:color w:val="1C1C1C"/>
          <w:spacing w:val="-1"/>
          <w:sz w:val="19"/>
          <w:szCs w:val="19"/>
        </w:rPr>
        <w:t>Comunidad ,</w:t>
      </w:r>
      <w:r w:rsidRPr="00E85110">
        <w:rPr>
          <w:color w:val="1C1C1C"/>
          <w:spacing w:val="12"/>
          <w:sz w:val="19"/>
          <w:szCs w:val="19"/>
        </w:rPr>
        <w:t xml:space="preserve"> </w:t>
      </w:r>
      <w:r w:rsidRPr="00E85110">
        <w:rPr>
          <w:color w:val="1C1C1C"/>
          <w:sz w:val="19"/>
          <w:szCs w:val="19"/>
        </w:rPr>
        <w:t>correos</w:t>
      </w:r>
      <w:r w:rsidRPr="00E85110">
        <w:rPr>
          <w:color w:val="1C1C1C"/>
          <w:spacing w:val="12"/>
          <w:sz w:val="19"/>
          <w:szCs w:val="19"/>
        </w:rPr>
        <w:t xml:space="preserve"> </w:t>
      </w:r>
      <w:r w:rsidRPr="00E85110">
        <w:rPr>
          <w:color w:val="1C1C1C"/>
          <w:sz w:val="19"/>
          <w:szCs w:val="19"/>
        </w:rPr>
        <w:t>Caja</w:t>
      </w:r>
      <w:r w:rsidRPr="00E85110">
        <w:rPr>
          <w:color w:val="1C1C1C"/>
          <w:spacing w:val="12"/>
          <w:sz w:val="19"/>
          <w:szCs w:val="19"/>
        </w:rPr>
        <w:t xml:space="preserve"> </w:t>
      </w:r>
      <w:r w:rsidRPr="00E85110">
        <w:rPr>
          <w:color w:val="1C1C1C"/>
          <w:sz w:val="19"/>
          <w:szCs w:val="19"/>
        </w:rPr>
        <w:t>5690,</w:t>
      </w:r>
      <w:r w:rsidRPr="00E85110">
        <w:rPr>
          <w:color w:val="1C1C1C"/>
          <w:spacing w:val="12"/>
          <w:sz w:val="19"/>
          <w:szCs w:val="19"/>
        </w:rPr>
        <w:t xml:space="preserve"> </w:t>
      </w:r>
      <w:r w:rsidRPr="00E85110">
        <w:rPr>
          <w:color w:val="1C1C1C"/>
          <w:sz w:val="19"/>
          <w:szCs w:val="19"/>
        </w:rPr>
        <w:t>montgomery,</w:t>
      </w:r>
      <w:r w:rsidRPr="00E85110">
        <w:rPr>
          <w:color w:val="1C1C1C"/>
          <w:spacing w:val="12"/>
          <w:sz w:val="19"/>
          <w:szCs w:val="19"/>
        </w:rPr>
        <w:t xml:space="preserve"> </w:t>
      </w:r>
      <w:r w:rsidRPr="00E85110">
        <w:rPr>
          <w:color w:val="1C1C1C"/>
          <w:sz w:val="19"/>
          <w:szCs w:val="19"/>
        </w:rPr>
        <w:t>Alabama</w:t>
      </w:r>
      <w:r w:rsidRPr="00E85110">
        <w:rPr>
          <w:color w:val="1C1C1C"/>
          <w:spacing w:val="12"/>
          <w:sz w:val="19"/>
          <w:szCs w:val="19"/>
        </w:rPr>
        <w:t xml:space="preserve"> </w:t>
      </w:r>
      <w:r w:rsidRPr="00E85110">
        <w:rPr>
          <w:color w:val="1C1C1C"/>
          <w:sz w:val="19"/>
          <w:szCs w:val="19"/>
        </w:rPr>
        <w:t>36103-5690,</w:t>
      </w:r>
      <w:r w:rsidRPr="00E85110">
        <w:rPr>
          <w:color w:val="1C1C1C"/>
          <w:spacing w:val="12"/>
          <w:sz w:val="19"/>
          <w:szCs w:val="19"/>
        </w:rPr>
        <w:t xml:space="preserve"> </w:t>
      </w:r>
      <w:r w:rsidRPr="00E85110">
        <w:rPr>
          <w:color w:val="1C1C1C"/>
          <w:sz w:val="19"/>
          <w:szCs w:val="19"/>
        </w:rPr>
        <w:t>o</w:t>
      </w:r>
      <w:r w:rsidRPr="00E85110">
        <w:rPr>
          <w:color w:val="1C1C1C"/>
          <w:spacing w:val="12"/>
          <w:sz w:val="19"/>
          <w:szCs w:val="19"/>
        </w:rPr>
        <w:t xml:space="preserve"> </w:t>
      </w:r>
      <w:r w:rsidRPr="00E85110">
        <w:rPr>
          <w:color w:val="1C1C1C"/>
          <w:sz w:val="19"/>
          <w:szCs w:val="19"/>
        </w:rPr>
        <w:t>por</w:t>
      </w:r>
      <w:r w:rsidRPr="00E85110">
        <w:rPr>
          <w:color w:val="1C1C1C"/>
          <w:spacing w:val="11"/>
          <w:sz w:val="19"/>
          <w:szCs w:val="19"/>
        </w:rPr>
        <w:t xml:space="preserve"> </w:t>
      </w:r>
      <w:r w:rsidRPr="00E85110">
        <w:rPr>
          <w:color w:val="1C1C1C"/>
          <w:sz w:val="19"/>
          <w:szCs w:val="19"/>
        </w:rPr>
        <w:t>correo</w:t>
      </w:r>
      <w:r w:rsidRPr="00E85110">
        <w:rPr>
          <w:color w:val="1C1C1C"/>
          <w:spacing w:val="12"/>
          <w:sz w:val="19"/>
          <w:szCs w:val="19"/>
        </w:rPr>
        <w:t xml:space="preserve"> </w:t>
      </w:r>
      <w:r w:rsidRPr="00E85110">
        <w:rPr>
          <w:color w:val="1C1C1C"/>
          <w:sz w:val="19"/>
          <w:szCs w:val="19"/>
        </w:rPr>
        <w:t xml:space="preserve">electrónico </w:t>
      </w:r>
      <w:hyperlink r:id="rId7">
        <w:r w:rsidRPr="00E85110">
          <w:rPr>
            <w:color w:val="0563C1"/>
            <w:spacing w:val="-1"/>
            <w:sz w:val="19"/>
            <w:szCs w:val="19"/>
            <w:u w:val="single" w:color="0563C1"/>
          </w:rPr>
          <w:t xml:space="preserve">Shabbir.olia@adeca.alabama.gov </w:t>
        </w:r>
      </w:hyperlink>
      <w:r w:rsidRPr="00E85110">
        <w:rPr>
          <w:color w:val="1C1C1C"/>
          <w:spacing w:val="-1"/>
          <w:sz w:val="19"/>
          <w:szCs w:val="19"/>
        </w:rPr>
        <w:t>.</w:t>
      </w:r>
    </w:p>
    <w:p w14:paraId="2484F220" w14:textId="77777777" w:rsidR="00FA22D3" w:rsidRDefault="00FA22D3" w:rsidP="00FA22D3">
      <w:pPr>
        <w:spacing w:line="249" w:lineRule="auto"/>
        <w:ind w:left="112" w:right="244"/>
        <w:jc w:val="both"/>
      </w:pPr>
    </w:p>
    <w:p w14:paraId="1B496AAD" w14:textId="77777777" w:rsidR="00FA22D3" w:rsidRDefault="00FA22D3" w:rsidP="00FA22D3">
      <w:pPr>
        <w:spacing w:line="249" w:lineRule="auto"/>
        <w:ind w:left="112" w:right="244"/>
        <w:jc w:val="center"/>
        <w:rPr>
          <w:b/>
          <w:bCs/>
          <w:u w:val="single"/>
        </w:rPr>
      </w:pPr>
      <w:r w:rsidRPr="003D715E">
        <w:rPr>
          <w:b/>
          <w:bCs/>
          <w:u w:val="single"/>
        </w:rPr>
        <w:t>Plan de Acción del Estado de Alabama para el</w:t>
      </w:r>
    </w:p>
    <w:p w14:paraId="6A8E3966" w14:textId="77777777" w:rsidR="00FA22D3" w:rsidRPr="003D715E" w:rsidRDefault="00FA22D3" w:rsidP="00FA22D3">
      <w:pPr>
        <w:spacing w:line="249" w:lineRule="auto"/>
        <w:ind w:left="112" w:right="244"/>
        <w:jc w:val="center"/>
        <w:rPr>
          <w:b/>
          <w:bCs/>
          <w:u w:val="single"/>
        </w:rPr>
      </w:pPr>
      <w:r w:rsidRPr="003D715E">
        <w:rPr>
          <w:b/>
          <w:bCs/>
          <w:u w:val="single"/>
        </w:rPr>
        <w:t>CDBG-DR Hurricanes Sally and Zeta Grant Program</w:t>
      </w:r>
    </w:p>
    <w:p w14:paraId="6D3CF3FD" w14:textId="77777777" w:rsidR="00FA22D3" w:rsidRDefault="00FA22D3" w:rsidP="00FA22D3">
      <w:pPr>
        <w:spacing w:line="249" w:lineRule="auto"/>
        <w:ind w:left="112" w:right="244"/>
        <w:jc w:val="both"/>
      </w:pPr>
    </w:p>
    <w:p w14:paraId="56692D5D" w14:textId="77777777" w:rsidR="00FA22D3" w:rsidRDefault="00FA22D3" w:rsidP="00FA22D3">
      <w:pPr>
        <w:pStyle w:val="BodyText"/>
        <w:spacing w:line="270" w:lineRule="exact"/>
        <w:ind w:left="239" w:right="298" w:firstLine="481"/>
        <w:rPr>
          <w:rFonts w:ascii="Times New Roman" w:hAnsi="Times New Roman"/>
          <w:sz w:val="24"/>
        </w:rPr>
      </w:pPr>
      <w:r w:rsidRPr="00415B0A">
        <w:rPr>
          <w:rFonts w:ascii="Times New Roman" w:hAnsi="Times New Roman"/>
          <w:sz w:val="24"/>
        </w:rPr>
        <w:t>En nombre del Estado de Alabama, el Departamento de Asuntos Económicos y Comunitarios de Alabama (ADECA) ha preparado el Plan de Acción del Estado de Alabama para el Programa de Recuperación de Desastres y Subvenciones en Bloque para el Desarrollo Comunitario para los Huracanes Sally y Zeta (el Programa CDBG-DR). Este plan de acción resume la recuperación, mitigación, vivienda, desarrollo económico y comunitario, poblaciones vulnerables y otras necesidades que deben abordarse en las áreas afectadas por el desastre que incluyen los condados de Mobile, Baldwin, Escambia y Clarke en Alabama. El Plan también resume una estrategia para satisfacer esas necesidades usando fondos federales del Departamento de Vivienda y Desarrollo Urbano de los Estados Unidos (HUD). Este Plan también describe cómo los gobiernos locales elegibles pueden acceder a fondos de subvenciones a través de este Programa CDBG-DR para abordar sus necesidades de recuperación ante desastres por huracanes. El Estado de Alabama y ADECA llevarán a cabo dos audiencias públicas en persona para discutir el Plan de Acción propuesto para el Programa CDBG-DR en las fechas, horarios y lugares que se muestran a continuación:</w:t>
      </w:r>
    </w:p>
    <w:p w14:paraId="1BFE3DC0" w14:textId="77777777" w:rsidR="00FA22D3" w:rsidRPr="00415B0A" w:rsidRDefault="00FA22D3" w:rsidP="00FA22D3">
      <w:pPr>
        <w:pStyle w:val="BodyText"/>
        <w:spacing w:line="270" w:lineRule="exact"/>
        <w:ind w:left="239" w:right="298" w:firstLine="481"/>
        <w:rPr>
          <w:rFonts w:ascii="Times New Roman" w:hAnsi="Times New Roman"/>
          <w:sz w:val="24"/>
        </w:rPr>
      </w:pPr>
    </w:p>
    <w:p w14:paraId="0393B6FC" w14:textId="77777777" w:rsidR="00FA22D3" w:rsidRPr="00B77A03" w:rsidRDefault="00FA22D3" w:rsidP="00FA22D3">
      <w:pPr>
        <w:pStyle w:val="BodyText"/>
        <w:spacing w:line="270" w:lineRule="exact"/>
        <w:ind w:left="239" w:right="29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B77A03">
        <w:rPr>
          <w:rFonts w:ascii="Times New Roman" w:hAnsi="Times New Roman"/>
          <w:sz w:val="24"/>
        </w:rPr>
        <w:t>Primera Audiencia Pública:</w:t>
      </w:r>
    </w:p>
    <w:p w14:paraId="54DF98EB" w14:textId="19511211" w:rsidR="00FA22D3" w:rsidRPr="00B77A03" w:rsidRDefault="00FA22D3" w:rsidP="00FA22D3">
      <w:pPr>
        <w:pStyle w:val="BodyText"/>
        <w:spacing w:line="270" w:lineRule="exact"/>
        <w:ind w:left="239" w:right="298"/>
        <w:rPr>
          <w:rFonts w:ascii="Times New Roman" w:hAnsi="Times New Roman"/>
          <w:spacing w:val="-1"/>
          <w:sz w:val="24"/>
        </w:rPr>
      </w:pPr>
      <w:r w:rsidRPr="00B77A03">
        <w:rPr>
          <w:rFonts w:ascii="Times New Roman" w:hAnsi="Times New Roman"/>
          <w:sz w:val="24"/>
        </w:rPr>
        <w:tab/>
      </w:r>
      <w:r w:rsidRPr="00B77A03">
        <w:rPr>
          <w:rFonts w:ascii="Times New Roman" w:hAnsi="Times New Roman"/>
          <w:sz w:val="24"/>
        </w:rPr>
        <w:tab/>
        <w:t xml:space="preserve">Fecha: </w:t>
      </w:r>
      <w:r>
        <w:rPr>
          <w:rFonts w:ascii="Times New Roman" w:hAnsi="Times New Roman"/>
          <w:sz w:val="24"/>
        </w:rPr>
        <w:tab/>
      </w:r>
      <w:r w:rsidR="004C6F7D">
        <w:rPr>
          <w:rFonts w:ascii="Times New Roman" w:hAnsi="Times New Roman"/>
          <w:sz w:val="24"/>
        </w:rPr>
        <w:t>lunes, 12 de septiembre de 2022</w:t>
      </w:r>
    </w:p>
    <w:p w14:paraId="2FCB6D60" w14:textId="77777777" w:rsidR="00D047FB" w:rsidRDefault="00FA22D3" w:rsidP="00FA22D3">
      <w:pPr>
        <w:pStyle w:val="BodyText"/>
        <w:spacing w:line="270" w:lineRule="exact"/>
        <w:ind w:left="239" w:right="298"/>
        <w:rPr>
          <w:rFonts w:ascii="Times New Roman" w:hAnsi="Times New Roman"/>
          <w:sz w:val="24"/>
        </w:rPr>
      </w:pPr>
      <w:r w:rsidRPr="00B77A03">
        <w:rPr>
          <w:rFonts w:ascii="Times New Roman" w:hAnsi="Times New Roman"/>
          <w:spacing w:val="-1"/>
          <w:sz w:val="24"/>
        </w:rPr>
        <w:tab/>
      </w:r>
      <w:r w:rsidRPr="00B77A03">
        <w:rPr>
          <w:rFonts w:ascii="Times New Roman" w:hAnsi="Times New Roman"/>
          <w:spacing w:val="-1"/>
          <w:sz w:val="24"/>
        </w:rPr>
        <w:tab/>
      </w:r>
      <w:r w:rsidRPr="00B77A03">
        <w:rPr>
          <w:rFonts w:ascii="Times New Roman" w:hAnsi="Times New Roman"/>
          <w:sz w:val="24"/>
        </w:rPr>
        <w:t xml:space="preserve">Hora: </w:t>
      </w:r>
      <w:r>
        <w:rPr>
          <w:rFonts w:ascii="Times New Roman" w:hAnsi="Times New Roman"/>
          <w:sz w:val="24"/>
        </w:rPr>
        <w:tab/>
      </w:r>
      <w:r w:rsidR="00D047FB">
        <w:rPr>
          <w:rFonts w:ascii="Times New Roman" w:hAnsi="Times New Roman"/>
          <w:sz w:val="24"/>
        </w:rPr>
        <w:t>10:00 a. m. a 12:00 m.</w:t>
      </w:r>
    </w:p>
    <w:p w14:paraId="1C39398A" w14:textId="77777777" w:rsidR="00BB2FF5" w:rsidRDefault="00BB2FF5" w:rsidP="00BB2FF5">
      <w:pPr>
        <w:pStyle w:val="BodyText"/>
        <w:spacing w:line="270" w:lineRule="exact"/>
        <w:ind w:left="239" w:right="298"/>
        <w:rPr>
          <w:rFonts w:ascii="Times New Roman" w:hAnsi="Times New Roman"/>
          <w:sz w:val="24"/>
        </w:rPr>
      </w:pPr>
      <w:r w:rsidRPr="00B77A03">
        <w:rPr>
          <w:rFonts w:ascii="Times New Roman" w:hAnsi="Times New Roman"/>
          <w:sz w:val="24"/>
        </w:rPr>
        <w:tab/>
      </w:r>
      <w:r w:rsidRPr="00B77A03">
        <w:rPr>
          <w:rFonts w:ascii="Times New Roman" w:hAnsi="Times New Roman"/>
          <w:sz w:val="24"/>
        </w:rPr>
        <w:tab/>
        <w:t xml:space="preserve">Lugar: </w:t>
      </w:r>
      <w:r>
        <w:rPr>
          <w:rFonts w:ascii="Times New Roman" w:hAnsi="Times New Roman"/>
          <w:sz w:val="24"/>
        </w:rPr>
        <w:tab/>
      </w:r>
      <w:r w:rsidRPr="00B77A03">
        <w:rPr>
          <w:rFonts w:ascii="Times New Roman" w:hAnsi="Times New Roman"/>
          <w:sz w:val="24"/>
        </w:rPr>
        <w:t>Centro Cívico de la Ciudad de Bay Minette John F. Rhodes</w:t>
      </w:r>
    </w:p>
    <w:p w14:paraId="5A611A94" w14:textId="77777777" w:rsidR="00BB2FF5" w:rsidRPr="00B77A03" w:rsidRDefault="00BB2FF5" w:rsidP="00BB2FF5">
      <w:pPr>
        <w:pStyle w:val="BodyText"/>
        <w:spacing w:line="270" w:lineRule="exact"/>
        <w:ind w:left="1679" w:right="298" w:firstLine="48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301 </w:t>
      </w:r>
      <w:proofErr w:type="spellStart"/>
      <w:r>
        <w:rPr>
          <w:rFonts w:ascii="Times New Roman" w:hAnsi="Times New Roman"/>
          <w:sz w:val="24"/>
        </w:rPr>
        <w:t>D'Olive</w:t>
      </w:r>
      <w:proofErr w:type="spellEnd"/>
      <w:r>
        <w:rPr>
          <w:rFonts w:ascii="Times New Roman" w:hAnsi="Times New Roman"/>
          <w:sz w:val="24"/>
        </w:rPr>
        <w:t xml:space="preserve"> Street, Bay </w:t>
      </w:r>
      <w:proofErr w:type="spellStart"/>
      <w:r>
        <w:rPr>
          <w:rFonts w:ascii="Times New Roman" w:hAnsi="Times New Roman"/>
          <w:sz w:val="24"/>
        </w:rPr>
        <w:t>Minette</w:t>
      </w:r>
      <w:proofErr w:type="spellEnd"/>
      <w:r>
        <w:rPr>
          <w:rFonts w:ascii="Times New Roman" w:hAnsi="Times New Roman"/>
          <w:sz w:val="24"/>
        </w:rPr>
        <w:t>, Alabama 36507</w:t>
      </w:r>
    </w:p>
    <w:p w14:paraId="6C3E21C8" w14:textId="77777777" w:rsidR="00FA22D3" w:rsidRDefault="00FA22D3" w:rsidP="00FA22D3">
      <w:pPr>
        <w:pStyle w:val="BodyText"/>
        <w:spacing w:line="270" w:lineRule="exact"/>
        <w:ind w:left="239" w:right="298"/>
        <w:rPr>
          <w:rFonts w:ascii="Times New Roman" w:hAnsi="Times New Roman"/>
          <w:sz w:val="24"/>
        </w:rPr>
      </w:pPr>
    </w:p>
    <w:p w14:paraId="26A2EAC5" w14:textId="77777777" w:rsidR="00FA22D3" w:rsidRPr="00B77A03" w:rsidRDefault="00FA22D3" w:rsidP="00FA22D3">
      <w:pPr>
        <w:pStyle w:val="BodyText"/>
        <w:spacing w:line="270" w:lineRule="exact"/>
        <w:ind w:left="239" w:right="29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B77A03">
        <w:rPr>
          <w:rFonts w:ascii="Times New Roman" w:hAnsi="Times New Roman"/>
          <w:sz w:val="24"/>
        </w:rPr>
        <w:t>Segunda Audiencia Pública:</w:t>
      </w:r>
    </w:p>
    <w:p w14:paraId="53155DCF" w14:textId="367EF7B1" w:rsidR="00FA22D3" w:rsidRDefault="00FA22D3" w:rsidP="00FA22D3">
      <w:pPr>
        <w:pStyle w:val="BodyText"/>
        <w:spacing w:line="270" w:lineRule="exact"/>
        <w:ind w:left="239" w:right="298"/>
        <w:rPr>
          <w:rFonts w:ascii="Times New Roman" w:hAnsi="Times New Roman"/>
          <w:sz w:val="24"/>
        </w:rPr>
      </w:pPr>
      <w:r w:rsidRPr="00B77A03">
        <w:rPr>
          <w:rFonts w:ascii="Times New Roman" w:hAnsi="Times New Roman"/>
          <w:sz w:val="24"/>
        </w:rPr>
        <w:tab/>
      </w:r>
      <w:r w:rsidRPr="00B77A03">
        <w:rPr>
          <w:rFonts w:ascii="Times New Roman" w:hAnsi="Times New Roman"/>
          <w:sz w:val="24"/>
        </w:rPr>
        <w:tab/>
        <w:t xml:space="preserve">Fecha: </w:t>
      </w:r>
      <w:r>
        <w:rPr>
          <w:rFonts w:ascii="Times New Roman" w:hAnsi="Times New Roman"/>
          <w:sz w:val="24"/>
        </w:rPr>
        <w:tab/>
      </w:r>
      <w:r w:rsidR="004C6F7D">
        <w:rPr>
          <w:rFonts w:ascii="Times New Roman" w:hAnsi="Times New Roman"/>
          <w:sz w:val="24"/>
        </w:rPr>
        <w:t>martes, 13 de septiembre de 2022</w:t>
      </w:r>
    </w:p>
    <w:p w14:paraId="75BCAAA8" w14:textId="4611318B" w:rsidR="00FA22D3" w:rsidRPr="00B77A03" w:rsidRDefault="00FA22D3" w:rsidP="00FA22D3">
      <w:pPr>
        <w:pStyle w:val="BodyText"/>
        <w:spacing w:line="270" w:lineRule="exact"/>
        <w:ind w:left="239" w:right="298"/>
        <w:rPr>
          <w:rFonts w:ascii="Times New Roman" w:hAnsi="Times New Roman"/>
          <w:sz w:val="24"/>
        </w:rPr>
      </w:pPr>
      <w:r w:rsidRPr="00B77A03">
        <w:rPr>
          <w:rFonts w:ascii="Times New Roman" w:hAnsi="Times New Roman"/>
          <w:spacing w:val="-1"/>
          <w:sz w:val="24"/>
        </w:rPr>
        <w:tab/>
      </w:r>
      <w:r w:rsidRPr="00B77A03">
        <w:rPr>
          <w:rFonts w:ascii="Times New Roman" w:hAnsi="Times New Roman"/>
          <w:spacing w:val="-1"/>
          <w:sz w:val="24"/>
        </w:rPr>
        <w:tab/>
      </w:r>
      <w:r w:rsidRPr="00B77A03">
        <w:rPr>
          <w:rFonts w:ascii="Times New Roman" w:hAnsi="Times New Roman"/>
          <w:sz w:val="24"/>
        </w:rPr>
        <w:t xml:space="preserve">Hora: </w:t>
      </w:r>
      <w:r>
        <w:rPr>
          <w:rFonts w:ascii="Times New Roman" w:hAnsi="Times New Roman"/>
          <w:sz w:val="24"/>
        </w:rPr>
        <w:tab/>
      </w:r>
      <w:r w:rsidR="00D047FB">
        <w:rPr>
          <w:rFonts w:ascii="Times New Roman" w:hAnsi="Times New Roman"/>
          <w:sz w:val="24"/>
        </w:rPr>
        <w:t>14:00 a 16:00</w:t>
      </w:r>
    </w:p>
    <w:p w14:paraId="15F91393" w14:textId="77777777" w:rsidR="00BB2FF5" w:rsidRDefault="00BB2FF5" w:rsidP="00BB2FF5">
      <w:pPr>
        <w:pStyle w:val="BodyText"/>
        <w:spacing w:line="270" w:lineRule="exact"/>
        <w:ind w:left="239" w:right="298"/>
        <w:rPr>
          <w:rFonts w:ascii="Times New Roman" w:hAnsi="Times New Roman"/>
          <w:sz w:val="24"/>
        </w:rPr>
      </w:pPr>
      <w:r w:rsidRPr="00B77A03">
        <w:rPr>
          <w:rFonts w:ascii="Times New Roman" w:hAnsi="Times New Roman"/>
          <w:sz w:val="24"/>
        </w:rPr>
        <w:tab/>
      </w:r>
      <w:r w:rsidRPr="00B77A03">
        <w:rPr>
          <w:rFonts w:ascii="Times New Roman" w:hAnsi="Times New Roman"/>
          <w:sz w:val="24"/>
        </w:rPr>
        <w:tab/>
        <w:t xml:space="preserve">Lugar: </w:t>
      </w:r>
      <w:r>
        <w:rPr>
          <w:rFonts w:ascii="Times New Roman" w:hAnsi="Times New Roman"/>
          <w:sz w:val="24"/>
        </w:rPr>
        <w:tab/>
      </w:r>
      <w:r w:rsidRPr="00B77A03">
        <w:rPr>
          <w:rFonts w:ascii="Times New Roman" w:hAnsi="Times New Roman"/>
          <w:sz w:val="24"/>
        </w:rPr>
        <w:t>Complejo Municipal AJ Cooper de la ciudad de Prichard</w:t>
      </w:r>
    </w:p>
    <w:p w14:paraId="0F70A661" w14:textId="77777777" w:rsidR="00BB2FF5" w:rsidRPr="00B77A03" w:rsidRDefault="00BB2FF5" w:rsidP="00BB2FF5">
      <w:pPr>
        <w:pStyle w:val="BodyText"/>
        <w:spacing w:line="270" w:lineRule="exact"/>
        <w:ind w:left="239" w:right="29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216 E. Prichard Avenue, Prichard, Alabama 36610</w:t>
      </w:r>
    </w:p>
    <w:p w14:paraId="7913BBFB" w14:textId="051F9070" w:rsidR="00BB2FF5" w:rsidRDefault="00BB2FF5" w:rsidP="00FA22D3">
      <w:pPr>
        <w:pStyle w:val="BodyText"/>
        <w:spacing w:line="270" w:lineRule="exact"/>
        <w:ind w:left="239" w:right="298"/>
        <w:rPr>
          <w:rFonts w:ascii="Times New Roman" w:hAnsi="Times New Roman"/>
          <w:sz w:val="24"/>
        </w:rPr>
      </w:pPr>
    </w:p>
    <w:p w14:paraId="737960AA" w14:textId="2FCBE2DF" w:rsidR="00FA22D3" w:rsidRPr="0045020C" w:rsidRDefault="00FA22D3" w:rsidP="00FA22D3">
      <w:pPr>
        <w:pStyle w:val="BodyText"/>
        <w:spacing w:line="270" w:lineRule="exact"/>
        <w:ind w:left="239" w:right="172" w:firstLine="481"/>
        <w:rPr>
          <w:rFonts w:ascii="Times New Roman" w:hAnsi="Times New Roman"/>
          <w:sz w:val="24"/>
        </w:rPr>
      </w:pPr>
      <w:r w:rsidRPr="0045020C">
        <w:rPr>
          <w:rFonts w:ascii="Times New Roman" w:hAnsi="Times New Roman"/>
          <w:sz w:val="24"/>
        </w:rPr>
        <w:t>El propósito de estas audiencias públicas será brindar información general sobre el programa y recibir aportes de las partes interesadas. El Estado planea discutir (1) la cantidad de fondos de subvenciones federales disponibles para el Estado a través del Programa CDBG-DR, (2) la distribución propuesta de los fondos de subvenciones y la gama de actividades que pueden financiarse, y (3) otros detalles administrativos. Las prioridades relacionadas con la vivienda, así como las necesidades no relacionadas con la vivienda y la promoción del desarrollo económico también se incluirán en la discusión. Borradores de copias</w:t>
      </w:r>
      <w:r w:rsidRPr="0045020C">
        <w:rPr>
          <w:rFonts w:ascii="Times New Roman" w:hAnsi="Times New Roman"/>
          <w:spacing w:val="-2"/>
          <w:sz w:val="24"/>
        </w:rPr>
        <w:t xml:space="preserve"> </w:t>
      </w:r>
      <w:r w:rsidRPr="0045020C">
        <w:rPr>
          <w:rFonts w:ascii="Times New Roman" w:hAnsi="Times New Roman"/>
          <w:sz w:val="24"/>
        </w:rPr>
        <w:t xml:space="preserve">del Plan de Acción del Programa CDBG-DR se puede ver en línea en </w:t>
      </w:r>
      <w:hyperlink r:id="rId8">
        <w:r w:rsidRPr="0045020C">
          <w:rPr>
            <w:rFonts w:ascii="Times New Roman" w:hAnsi="Times New Roman"/>
            <w:color w:val="0563C1"/>
            <w:sz w:val="24"/>
            <w:u w:val="single" w:color="0563C1"/>
          </w:rPr>
          <w:t>www.adeca.alabama.gov</w:t>
        </w:r>
      </w:hyperlink>
      <w:hyperlink r:id="rId9">
        <w:r w:rsidRPr="0045020C">
          <w:rPr>
            <w:rFonts w:ascii="Times New Roman" w:hAnsi="Times New Roman"/>
            <w:color w:val="0563C1"/>
            <w:spacing w:val="-1"/>
            <w:sz w:val="24"/>
            <w:u w:val="single" w:color="0563C1"/>
          </w:rPr>
          <w:t xml:space="preserve"> </w:t>
        </w:r>
      </w:hyperlink>
      <w:r w:rsidRPr="0045020C">
        <w:rPr>
          <w:rFonts w:ascii="Times New Roman" w:hAnsi="Times New Roman"/>
          <w:sz w:val="24"/>
        </w:rPr>
        <w:t xml:space="preserve">o en la oficina de ADECA en 401 Adams Avenue, Room 500, </w:t>
      </w:r>
      <w:r w:rsidRPr="0045020C">
        <w:rPr>
          <w:rFonts w:ascii="Times New Roman" w:hAnsi="Times New Roman"/>
          <w:sz w:val="24"/>
        </w:rPr>
        <w:lastRenderedPageBreak/>
        <w:t xml:space="preserve">Montgomery, Alabama 36104, a partir del </w:t>
      </w:r>
      <w:r w:rsidR="009216C5">
        <w:rPr>
          <w:rFonts w:ascii="Times New Roman" w:hAnsi="Times New Roman"/>
          <w:sz w:val="24"/>
        </w:rPr>
        <w:t>martes</w:t>
      </w:r>
      <w:r w:rsidRPr="0045020C">
        <w:rPr>
          <w:rFonts w:ascii="Times New Roman" w:hAnsi="Times New Roman"/>
          <w:sz w:val="24"/>
        </w:rPr>
        <w:t xml:space="preserve"> </w:t>
      </w:r>
      <w:r w:rsidR="00900960">
        <w:rPr>
          <w:rFonts w:ascii="Times New Roman" w:hAnsi="Times New Roman"/>
          <w:sz w:val="24"/>
        </w:rPr>
        <w:t>20</w:t>
      </w:r>
      <w:r w:rsidRPr="0045020C">
        <w:rPr>
          <w:rFonts w:ascii="Times New Roman" w:hAnsi="Times New Roman"/>
          <w:sz w:val="24"/>
        </w:rPr>
        <w:t xml:space="preserve"> de septiembre de </w:t>
      </w:r>
      <w:proofErr w:type="gramStart"/>
      <w:r w:rsidRPr="0045020C">
        <w:rPr>
          <w:rFonts w:ascii="Times New Roman" w:hAnsi="Times New Roman"/>
          <w:sz w:val="24"/>
        </w:rPr>
        <w:t xml:space="preserve">2022 </w:t>
      </w:r>
      <w:r w:rsidRPr="0045020C">
        <w:rPr>
          <w:rFonts w:ascii="Times New Roman" w:hAnsi="Times New Roman"/>
          <w:spacing w:val="-1"/>
          <w:sz w:val="24"/>
        </w:rPr>
        <w:t>.</w:t>
      </w:r>
      <w:proofErr w:type="gramEnd"/>
      <w:r w:rsidRPr="0045020C">
        <w:rPr>
          <w:rFonts w:ascii="Times New Roman" w:hAnsi="Times New Roman"/>
          <w:spacing w:val="-1"/>
          <w:sz w:val="24"/>
        </w:rPr>
        <w:t xml:space="preserve"> </w:t>
      </w:r>
      <w:r w:rsidRPr="0045020C">
        <w:rPr>
          <w:rFonts w:ascii="Times New Roman" w:hAnsi="Times New Roman"/>
          <w:sz w:val="24"/>
        </w:rPr>
        <w:t>Asistentes e interesados</w:t>
      </w:r>
      <w:r w:rsidRPr="0045020C">
        <w:rPr>
          <w:rFonts w:ascii="Times New Roman" w:hAnsi="Times New Roman"/>
          <w:spacing w:val="24"/>
          <w:sz w:val="24"/>
        </w:rPr>
        <w:t xml:space="preserve"> </w:t>
      </w:r>
      <w:r w:rsidRPr="0045020C">
        <w:rPr>
          <w:rFonts w:ascii="Times New Roman" w:hAnsi="Times New Roman"/>
          <w:sz w:val="24"/>
        </w:rPr>
        <w:t xml:space="preserve">las partes pueden ofrecer comentarios públicos en las Audiencias Públicas y/o enviar comentarios por escrito al Estado durante un período de comentarios públicos de 30 días que comienza el </w:t>
      </w:r>
      <w:r w:rsidR="009216C5">
        <w:rPr>
          <w:rFonts w:ascii="Times New Roman" w:hAnsi="Times New Roman"/>
          <w:sz w:val="24"/>
        </w:rPr>
        <w:t>martes</w:t>
      </w:r>
      <w:r w:rsidRPr="0045020C">
        <w:rPr>
          <w:rFonts w:ascii="Times New Roman" w:hAnsi="Times New Roman"/>
          <w:sz w:val="24"/>
        </w:rPr>
        <w:t xml:space="preserve"> </w:t>
      </w:r>
      <w:r w:rsidR="00CA0909">
        <w:rPr>
          <w:rFonts w:ascii="Times New Roman" w:hAnsi="Times New Roman"/>
          <w:sz w:val="24"/>
        </w:rPr>
        <w:t>20</w:t>
      </w:r>
      <w:r w:rsidR="00DE5877">
        <w:rPr>
          <w:rFonts w:ascii="Times New Roman" w:hAnsi="Times New Roman"/>
          <w:sz w:val="24"/>
        </w:rPr>
        <w:t xml:space="preserve"> de septiembre de </w:t>
      </w:r>
      <w:r>
        <w:rPr>
          <w:rFonts w:ascii="Times New Roman" w:hAnsi="Times New Roman"/>
          <w:sz w:val="24"/>
        </w:rPr>
        <w:t xml:space="preserve">2022. Todos los comentarios por escrito deben recibirse en la oficina de ADECA a más tardar el cierre de operaciones el jueves </w:t>
      </w:r>
      <w:r w:rsidR="00A958F4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 de octubre de 2022. Dichos comentarios deben enviarse al Sr. Trent Williams, ADECA, PO Box 5690, Montgomery, AL 36103-5690, o enviarse por correo electrónico a </w:t>
      </w:r>
      <w:hyperlink r:id="rId10" w:history="1">
        <w:r w:rsidR="006B376D" w:rsidRPr="007C7DA4">
          <w:rPr>
            <w:rStyle w:val="Hyperlink"/>
            <w:rFonts w:ascii="Times New Roman" w:hAnsi="Times New Roman"/>
            <w:spacing w:val="-1"/>
            <w:sz w:val="24"/>
          </w:rPr>
          <w:t xml:space="preserve">Trent.williams@adeca.alabama.gov </w:t>
        </w:r>
      </w:hyperlink>
      <w:r w:rsidRPr="0045020C">
        <w:rPr>
          <w:rFonts w:ascii="Times New Roman" w:hAnsi="Times New Roman"/>
          <w:spacing w:val="-1"/>
          <w:sz w:val="24"/>
        </w:rPr>
        <w:t xml:space="preserve">. </w:t>
      </w:r>
      <w:r w:rsidRPr="0045020C">
        <w:rPr>
          <w:rFonts w:ascii="Times New Roman" w:hAnsi="Times New Roman"/>
          <w:sz w:val="24"/>
        </w:rPr>
        <w:t xml:space="preserve">Se alienta a todas las personas que asistan a las Audiencias Públicas a preinscribirse en ADECA antes de las 12:00 del mediodía del viernes 9 de septiembre de 2022 llamando a Teresa Nobles al 334-242-0492 o enviándole un correo electrónico a </w:t>
      </w:r>
      <w:hyperlink r:id="rId11" w:history="1">
        <w:r w:rsidRPr="0045020C">
          <w:rPr>
            <w:rStyle w:val="Hyperlink"/>
            <w:rFonts w:ascii="Times New Roman" w:hAnsi="Times New Roman"/>
            <w:sz w:val="24"/>
          </w:rPr>
          <w:t xml:space="preserve">teresa.nobles@adeca.alabama.gov </w:t>
        </w:r>
      </w:hyperlink>
      <w:r w:rsidRPr="0045020C">
        <w:rPr>
          <w:rFonts w:ascii="Times New Roman" w:hAnsi="Times New Roman"/>
          <w:sz w:val="24"/>
        </w:rPr>
        <w:t>para que que ADECA pueda preparar un espacio adecuado para acomodar a los asistentes. Las audiencias públicas son accesibles a</w:t>
      </w:r>
      <w:r w:rsidRPr="0045020C">
        <w:rPr>
          <w:rFonts w:ascii="Times New Roman" w:hAnsi="Times New Roman"/>
          <w:spacing w:val="24"/>
          <w:sz w:val="24"/>
        </w:rPr>
        <w:t xml:space="preserve"> </w:t>
      </w:r>
      <w:r w:rsidRPr="0045020C">
        <w:rPr>
          <w:rFonts w:ascii="Times New Roman" w:hAnsi="Times New Roman"/>
          <w:sz w:val="24"/>
        </w:rPr>
        <w:t xml:space="preserve">Personas con discapacidades. Las personas con discapacidades o necesidades especiales que puedan necesitar materiales, servicios o asistencia especiales deben llamar a la Sra. Nobles, enviarle un correo electrónico o escribirle a la dirección de c/o del Sr. Williams antes del viernes 9 de septiembre de 2022 </w:t>
      </w:r>
      <w:r w:rsidRPr="0045020C">
        <w:rPr>
          <w:rFonts w:ascii="Times New Roman" w:hAnsi="Times New Roman"/>
          <w:spacing w:val="-1"/>
          <w:sz w:val="24"/>
        </w:rPr>
        <w:t>.</w:t>
      </w:r>
    </w:p>
    <w:p w14:paraId="127E5445" w14:textId="77777777" w:rsidR="00FA22D3" w:rsidRPr="00415B0A" w:rsidRDefault="00FA22D3" w:rsidP="00FA22D3">
      <w:pPr>
        <w:pStyle w:val="BodyText"/>
        <w:spacing w:line="270" w:lineRule="exact"/>
        <w:ind w:left="239" w:right="172"/>
        <w:rPr>
          <w:rFonts w:ascii="Times New Roman" w:hAnsi="Times New Roman"/>
          <w:sz w:val="24"/>
        </w:rPr>
      </w:pPr>
      <w:r w:rsidRPr="0045020C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61312" behindDoc="1" locked="0" layoutInCell="1" allowOverlap="1" wp14:anchorId="53193D34" wp14:editId="0A4DC7E4">
            <wp:simplePos x="0" y="0"/>
            <wp:positionH relativeFrom="column">
              <wp:posOffset>2686050</wp:posOffset>
            </wp:positionH>
            <wp:positionV relativeFrom="paragraph">
              <wp:posOffset>12700</wp:posOffset>
            </wp:positionV>
            <wp:extent cx="365760" cy="365760"/>
            <wp:effectExtent l="0" t="0" r="0" b="0"/>
            <wp:wrapNone/>
            <wp:docPr id="1" name="Picture 1" descr="http://images.all-free-download.com/images/graphiclarge/equal_housing_opportunity_64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images.all-free-download.com/images/graphiclarge/equal_housing_opportunity_64404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3A4D36" w14:textId="77777777" w:rsidR="00FA22D3" w:rsidRDefault="00FA22D3"/>
    <w:sectPr w:rsidR="00FA2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87B"/>
    <w:rsid w:val="000151AE"/>
    <w:rsid w:val="00054B2E"/>
    <w:rsid w:val="00057838"/>
    <w:rsid w:val="00072059"/>
    <w:rsid w:val="000F0C2C"/>
    <w:rsid w:val="000F2E0F"/>
    <w:rsid w:val="00103622"/>
    <w:rsid w:val="00110587"/>
    <w:rsid w:val="00130CEA"/>
    <w:rsid w:val="001343DD"/>
    <w:rsid w:val="0018073C"/>
    <w:rsid w:val="001857ED"/>
    <w:rsid w:val="001C27C7"/>
    <w:rsid w:val="001D672D"/>
    <w:rsid w:val="002271F6"/>
    <w:rsid w:val="002412A3"/>
    <w:rsid w:val="002428DA"/>
    <w:rsid w:val="002A7485"/>
    <w:rsid w:val="002B72BD"/>
    <w:rsid w:val="003153B3"/>
    <w:rsid w:val="003253D2"/>
    <w:rsid w:val="003525EA"/>
    <w:rsid w:val="00373E5D"/>
    <w:rsid w:val="00377233"/>
    <w:rsid w:val="003C131B"/>
    <w:rsid w:val="003D715E"/>
    <w:rsid w:val="00407ED4"/>
    <w:rsid w:val="00415BDA"/>
    <w:rsid w:val="00445001"/>
    <w:rsid w:val="0045020C"/>
    <w:rsid w:val="00474D62"/>
    <w:rsid w:val="00481259"/>
    <w:rsid w:val="004853C3"/>
    <w:rsid w:val="004B6002"/>
    <w:rsid w:val="004C6F7D"/>
    <w:rsid w:val="004D4D3B"/>
    <w:rsid w:val="004F7BFB"/>
    <w:rsid w:val="00552FBB"/>
    <w:rsid w:val="005A2013"/>
    <w:rsid w:val="005D467C"/>
    <w:rsid w:val="00600EF5"/>
    <w:rsid w:val="00634B64"/>
    <w:rsid w:val="00636226"/>
    <w:rsid w:val="006868CD"/>
    <w:rsid w:val="006A4898"/>
    <w:rsid w:val="006B376D"/>
    <w:rsid w:val="006F6D75"/>
    <w:rsid w:val="00747B7D"/>
    <w:rsid w:val="00756822"/>
    <w:rsid w:val="00763E20"/>
    <w:rsid w:val="007C28FD"/>
    <w:rsid w:val="007D66CD"/>
    <w:rsid w:val="00814B65"/>
    <w:rsid w:val="008A322B"/>
    <w:rsid w:val="008B6BCF"/>
    <w:rsid w:val="008C17F6"/>
    <w:rsid w:val="008D4326"/>
    <w:rsid w:val="00900960"/>
    <w:rsid w:val="009216C5"/>
    <w:rsid w:val="00971B39"/>
    <w:rsid w:val="00986FF3"/>
    <w:rsid w:val="00A511B1"/>
    <w:rsid w:val="00A577DF"/>
    <w:rsid w:val="00A958F4"/>
    <w:rsid w:val="00A97D98"/>
    <w:rsid w:val="00AB3569"/>
    <w:rsid w:val="00AC5F76"/>
    <w:rsid w:val="00B06F40"/>
    <w:rsid w:val="00B37B2A"/>
    <w:rsid w:val="00B77A03"/>
    <w:rsid w:val="00B82780"/>
    <w:rsid w:val="00BB2FF5"/>
    <w:rsid w:val="00BE4588"/>
    <w:rsid w:val="00BE6619"/>
    <w:rsid w:val="00C12BCF"/>
    <w:rsid w:val="00C13DD5"/>
    <w:rsid w:val="00C77BEB"/>
    <w:rsid w:val="00C9603F"/>
    <w:rsid w:val="00CA0909"/>
    <w:rsid w:val="00CB2939"/>
    <w:rsid w:val="00D047FB"/>
    <w:rsid w:val="00D13226"/>
    <w:rsid w:val="00D25090"/>
    <w:rsid w:val="00D34BFB"/>
    <w:rsid w:val="00D85824"/>
    <w:rsid w:val="00D9029C"/>
    <w:rsid w:val="00DB176A"/>
    <w:rsid w:val="00DE5877"/>
    <w:rsid w:val="00E151CB"/>
    <w:rsid w:val="00E459F7"/>
    <w:rsid w:val="00E548FE"/>
    <w:rsid w:val="00E77BF8"/>
    <w:rsid w:val="00E867AC"/>
    <w:rsid w:val="00E96FB4"/>
    <w:rsid w:val="00EC3C47"/>
    <w:rsid w:val="00F7087B"/>
    <w:rsid w:val="00FA22D3"/>
    <w:rsid w:val="00FD620A"/>
    <w:rsid w:val="00FF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D6A1D"/>
  <w15:chartTrackingRefBased/>
  <w15:docId w15:val="{12785F06-6157-4F1B-9FB1-79E18913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87B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qFormat/>
    <w:rsid w:val="00F7087B"/>
    <w:pPr>
      <w:widowControl/>
      <w:autoSpaceDE/>
      <w:autoSpaceDN/>
      <w:adjustRightInd/>
    </w:pPr>
    <w:rPr>
      <w:rFonts w:ascii="Verdana" w:hAnsi="Verdana"/>
      <w:sz w:val="20"/>
    </w:rPr>
  </w:style>
  <w:style w:type="character" w:customStyle="1" w:styleId="BodyTextChar">
    <w:name w:val="Body Text Char"/>
    <w:basedOn w:val="DefaultParagraphFont"/>
    <w:link w:val="BodyText"/>
    <w:rsid w:val="00F7087B"/>
    <w:rPr>
      <w:rFonts w:ascii="Verdana" w:eastAsia="Times New Roman" w:hAnsi="Verdana" w:cs="Times New Roman"/>
      <w:sz w:val="20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B37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eca.alabama.gov/" TargetMode="External"/><Relationship Id="rId13" Type="http://schemas.openxmlformats.org/officeDocument/2006/relationships/image" Target="cid:image003.jpg@01D3C67B.DC4C47A0" TargetMode="External"/><Relationship Id="rId3" Type="http://schemas.openxmlformats.org/officeDocument/2006/relationships/styles" Target="styles.xml"/><Relationship Id="rId7" Type="http://schemas.openxmlformats.org/officeDocument/2006/relationships/hyperlink" Target="mailto:Shabbir.olia@adeca.alabama.gov" TargetMode="Externa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://www.adeca.alabama.gov/" TargetMode="External"/><Relationship Id="rId11" Type="http://schemas.openxmlformats.org/officeDocument/2006/relationships/hyperlink" Target="mailto:teresa.nobles@adeca.alabama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rent.williams@adeca.alabam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eca.alabama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F50E3F8B8C44D9EA5BD2549956CF2" ma:contentTypeVersion="12" ma:contentTypeDescription="Create a new document." ma:contentTypeScope="" ma:versionID="f2691c27c4d3d8d86a57287bda33e3e4">
  <xsd:schema xmlns:xsd="http://www.w3.org/2001/XMLSchema" xmlns:xs="http://www.w3.org/2001/XMLSchema" xmlns:p="http://schemas.microsoft.com/office/2006/metadata/properties" xmlns:ns2="ead14a2b-0901-4851-9135-e440dd1a60d2" xmlns:ns3="bc761791-33a0-47b7-8145-9d3c2515a3a0" targetNamespace="http://schemas.microsoft.com/office/2006/metadata/properties" ma:root="true" ma:fieldsID="8e6ae30fa684a8f4a4319245b74a7f16" ns2:_="" ns3:_="">
    <xsd:import namespace="ead14a2b-0901-4851-9135-e440dd1a60d2"/>
    <xsd:import namespace="bc761791-33a0-47b7-8145-9d3c2515a3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14a2b-0901-4851-9135-e440dd1a6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5dbdce9-60e9-41e5-8608-85a453d288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761791-33a0-47b7-8145-9d3c2515a3a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8985699-f427-45a7-93a3-105b7de166ff}" ma:internalName="TaxCatchAll" ma:showField="CatchAllData" ma:web="bc761791-33a0-47b7-8145-9d3c2515a3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84866E-D7B8-46EE-AB36-3A924EEE68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d14a2b-0901-4851-9135-e440dd1a60d2"/>
    <ds:schemaRef ds:uri="bc761791-33a0-47b7-8145-9d3c2515a3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6EBC59-B90E-403E-A619-EA83E36AD1DB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bedd5d6f-bcfc-46d4-918d-7fb210e57897}" enabled="0" method="" siteId="{bedd5d6f-bcfc-46d4-918d-7fb210e57897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Rasmussen, Kathleen</dc:creator>
  <cp:keywords/>
  <dc:description/>
  <cp:lastModifiedBy>Williams, Trent</cp:lastModifiedBy>
  <cp:revision>2</cp:revision>
  <cp:lastPrinted>2022-07-22T17:02:00Z</cp:lastPrinted>
  <dcterms:created xsi:type="dcterms:W3CDTF">2022-09-08T13:53:00Z</dcterms:created>
  <dcterms:modified xsi:type="dcterms:W3CDTF">2022-09-08T13:53:00Z</dcterms:modified>
</cp:coreProperties>
</file>