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14A5F" w14:textId="77777777" w:rsidR="00C1528E" w:rsidRPr="007F4497" w:rsidRDefault="00C1528E" w:rsidP="00C1528E">
      <w:pPr>
        <w:spacing w:line="240" w:lineRule="auto"/>
        <w:jc w:val="center"/>
        <w:rPr>
          <w:rFonts w:ascii="Times New Roman" w:hAnsi="Times New Roman" w:cs="Times New Roman"/>
          <w:b/>
          <w:bCs/>
          <w:sz w:val="24"/>
          <w:szCs w:val="24"/>
        </w:rPr>
      </w:pPr>
      <w:r w:rsidRPr="007F4497">
        <w:rPr>
          <w:rFonts w:ascii="Times New Roman" w:hAnsi="Times New Roman" w:cs="Times New Roman"/>
          <w:b/>
          <w:bCs/>
          <w:sz w:val="24"/>
          <w:szCs w:val="24"/>
        </w:rPr>
        <w:t>ADECA CED Division</w:t>
      </w:r>
    </w:p>
    <w:p w14:paraId="5BBF2981" w14:textId="77777777" w:rsidR="00C1528E" w:rsidRPr="007F4497" w:rsidRDefault="00C1528E" w:rsidP="00C1528E">
      <w:pPr>
        <w:spacing w:line="240" w:lineRule="auto"/>
        <w:jc w:val="center"/>
        <w:rPr>
          <w:rFonts w:ascii="Times New Roman" w:hAnsi="Times New Roman" w:cs="Times New Roman"/>
          <w:b/>
          <w:bCs/>
          <w:sz w:val="24"/>
          <w:szCs w:val="24"/>
        </w:rPr>
      </w:pPr>
      <w:r w:rsidRPr="007F4497">
        <w:rPr>
          <w:rFonts w:ascii="Times New Roman" w:hAnsi="Times New Roman" w:cs="Times New Roman"/>
          <w:b/>
          <w:bCs/>
          <w:sz w:val="24"/>
          <w:szCs w:val="24"/>
        </w:rPr>
        <w:t>CDBG-DR Grant Program for Hurricanes Sally and Zeta</w:t>
      </w:r>
    </w:p>
    <w:p w14:paraId="4FA8119B" w14:textId="77777777" w:rsidR="00C1528E" w:rsidRPr="007F4497" w:rsidRDefault="00C1528E" w:rsidP="00C1528E">
      <w:pPr>
        <w:spacing w:line="240" w:lineRule="auto"/>
        <w:jc w:val="center"/>
        <w:rPr>
          <w:rFonts w:ascii="Times New Roman" w:eastAsia="Garamond" w:hAnsi="Times New Roman" w:cs="Times New Roman"/>
          <w:b/>
          <w:bCs/>
          <w:spacing w:val="-3"/>
          <w:position w:val="1"/>
          <w:sz w:val="24"/>
          <w:szCs w:val="24"/>
        </w:rPr>
      </w:pPr>
      <w:r w:rsidRPr="007F4497">
        <w:rPr>
          <w:rFonts w:ascii="Times New Roman" w:eastAsia="Garamond" w:hAnsi="Times New Roman" w:cs="Times New Roman"/>
          <w:b/>
          <w:bCs/>
          <w:spacing w:val="-3"/>
          <w:position w:val="1"/>
          <w:sz w:val="24"/>
          <w:szCs w:val="24"/>
        </w:rPr>
        <w:t>Procurement Policy</w:t>
      </w:r>
    </w:p>
    <w:p w14:paraId="7DB835AE" w14:textId="77777777" w:rsidR="00C1528E" w:rsidRPr="007F4497" w:rsidRDefault="00C1528E" w:rsidP="00C1528E">
      <w:pPr>
        <w:spacing w:line="240" w:lineRule="auto"/>
        <w:rPr>
          <w:rFonts w:ascii="Times New Roman" w:hAnsi="Times New Roman" w:cs="Times New Roman"/>
          <w:b/>
          <w:bCs/>
          <w:sz w:val="24"/>
          <w:szCs w:val="24"/>
        </w:rPr>
      </w:pPr>
    </w:p>
    <w:p w14:paraId="1EF05444" w14:textId="77777777" w:rsidR="00C1528E" w:rsidRPr="007F4497" w:rsidRDefault="00C1528E" w:rsidP="00C1528E">
      <w:pPr>
        <w:spacing w:line="240" w:lineRule="auto"/>
        <w:rPr>
          <w:rFonts w:ascii="Times New Roman" w:hAnsi="Times New Roman" w:cs="Times New Roman"/>
          <w:b/>
          <w:bCs/>
          <w:sz w:val="24"/>
          <w:szCs w:val="24"/>
        </w:rPr>
      </w:pPr>
      <w:r w:rsidRPr="007F4497">
        <w:rPr>
          <w:rFonts w:ascii="Times New Roman" w:hAnsi="Times New Roman" w:cs="Times New Roman"/>
          <w:b/>
          <w:bCs/>
          <w:sz w:val="24"/>
          <w:szCs w:val="24"/>
        </w:rPr>
        <w:t>Proficient Procurement Processes for CDBG-DR Grant for Hurricanes Sally and Zeta</w:t>
      </w:r>
    </w:p>
    <w:p w14:paraId="04DD7884" w14:textId="77777777" w:rsidR="00C1528E" w:rsidRPr="007F4497" w:rsidRDefault="00C1528E" w:rsidP="00C1528E">
      <w:pPr>
        <w:ind w:firstLine="720"/>
        <w:rPr>
          <w:rFonts w:ascii="Times New Roman" w:hAnsi="Times New Roman" w:cs="Times New Roman"/>
          <w:sz w:val="24"/>
          <w:szCs w:val="24"/>
        </w:rPr>
      </w:pPr>
      <w:r w:rsidRPr="007F4497">
        <w:rPr>
          <w:rFonts w:ascii="Times New Roman" w:eastAsia="Garamond" w:hAnsi="Times New Roman" w:cs="Times New Roman"/>
          <w:spacing w:val="-3"/>
          <w:position w:val="1"/>
          <w:sz w:val="24"/>
          <w:szCs w:val="24"/>
        </w:rPr>
        <w:t xml:space="preserve">Pursuant to the U. S. Department of Housing and Urban Development’s </w:t>
      </w:r>
      <w:r w:rsidRPr="007F4497">
        <w:rPr>
          <w:rFonts w:ascii="Times New Roman" w:hAnsi="Times New Roman" w:cs="Times New Roman"/>
          <w:sz w:val="24"/>
          <w:szCs w:val="24"/>
        </w:rPr>
        <w:t xml:space="preserve">Federal Register Notice of Grant Funds to Address Major Disasters Occurring in 2020 and 2021 (Hurricanes Sally and Zeta in the State of Alabama) published on February 3, 2022 in Volume 87, Number 23 on pages 6364-6392 at Section IV.B. “Procurement,” HUD has stated requirements pertaining to procurement for purposes of administering this grant.  This information is at the links </w:t>
      </w:r>
      <w:hyperlink r:id="rId7" w:history="1">
        <w:r w:rsidRPr="007F4497">
          <w:rPr>
            <w:rStyle w:val="Hyperlink"/>
            <w:rFonts w:ascii="Times New Roman" w:hAnsi="Times New Roman" w:cs="Times New Roman"/>
            <w:sz w:val="24"/>
            <w:szCs w:val="24"/>
          </w:rPr>
          <w:t>https://www.govinfo.gov/content/pkg/FR-2022-02-03/pdf/2022-02209.pdf</w:t>
        </w:r>
      </w:hyperlink>
      <w:r w:rsidRPr="007F4497">
        <w:rPr>
          <w:rFonts w:ascii="Times New Roman" w:hAnsi="Times New Roman" w:cs="Times New Roman"/>
          <w:sz w:val="24"/>
          <w:szCs w:val="24"/>
        </w:rPr>
        <w:t xml:space="preserve">  and </w:t>
      </w:r>
      <w:hyperlink r:id="rId8" w:history="1">
        <w:r w:rsidRPr="007F4497">
          <w:rPr>
            <w:rStyle w:val="Hyperlink"/>
            <w:rFonts w:ascii="Times New Roman" w:hAnsi="Times New Roman" w:cs="Times New Roman"/>
            <w:sz w:val="24"/>
            <w:szCs w:val="24"/>
          </w:rPr>
          <w:t>2022-02209.pdf (govinfo.gov)</w:t>
        </w:r>
      </w:hyperlink>
      <w:r w:rsidRPr="007F4497">
        <w:rPr>
          <w:rFonts w:ascii="Times New Roman" w:hAnsi="Times New Roman" w:cs="Times New Roman"/>
          <w:sz w:val="24"/>
          <w:szCs w:val="24"/>
        </w:rPr>
        <w:t>.  These requirements are stated as follows:</w:t>
      </w:r>
    </w:p>
    <w:p w14:paraId="3F652231" w14:textId="77777777" w:rsidR="00C1528E" w:rsidRPr="00CB6318" w:rsidRDefault="00C1528E" w:rsidP="00C1528E">
      <w:pPr>
        <w:rPr>
          <w:rFonts w:ascii="Times New Roman" w:hAnsi="Times New Roman" w:cs="Times New Roman"/>
          <w:sz w:val="24"/>
          <w:szCs w:val="24"/>
        </w:rPr>
      </w:pPr>
    </w:p>
    <w:p w14:paraId="25DD7B28" w14:textId="77777777" w:rsidR="00C1528E" w:rsidRPr="0049213F" w:rsidRDefault="00C1528E" w:rsidP="00C1528E">
      <w:pPr>
        <w:ind w:firstLine="720"/>
        <w:rPr>
          <w:rFonts w:ascii="Times New Roman" w:hAnsi="Times New Roman" w:cs="Times New Roman"/>
          <w:sz w:val="24"/>
          <w:szCs w:val="24"/>
        </w:rPr>
      </w:pPr>
      <w:r w:rsidRPr="0049213F">
        <w:rPr>
          <w:rFonts w:ascii="Times New Roman" w:hAnsi="Times New Roman" w:cs="Times New Roman"/>
          <w:sz w:val="24"/>
          <w:szCs w:val="24"/>
        </w:rPr>
        <w:tab/>
      </w:r>
      <w:r w:rsidRPr="0049213F">
        <w:rPr>
          <w:rFonts w:ascii="Times New Roman" w:hAnsi="Times New Roman" w:cs="Times New Roman"/>
          <w:b/>
          <w:bCs/>
          <w:sz w:val="24"/>
          <w:szCs w:val="24"/>
        </w:rPr>
        <w:t>Federal Register, February 3, 2022, Volume 87, No. 23</w:t>
      </w:r>
    </w:p>
    <w:tbl>
      <w:tblPr>
        <w:tblStyle w:val="TableGrid"/>
        <w:tblW w:w="0" w:type="auto"/>
        <w:tblLook w:val="04A0" w:firstRow="1" w:lastRow="0" w:firstColumn="1" w:lastColumn="0" w:noHBand="0" w:noVBand="1"/>
      </w:tblPr>
      <w:tblGrid>
        <w:gridCol w:w="9350"/>
      </w:tblGrid>
      <w:tr w:rsidR="00C1528E" w:rsidRPr="0049213F" w14:paraId="5A4B2C7B" w14:textId="77777777" w:rsidTr="002B55BD">
        <w:tc>
          <w:tcPr>
            <w:tcW w:w="9350" w:type="dxa"/>
          </w:tcPr>
          <w:p w14:paraId="3CCA80B4" w14:textId="77777777" w:rsidR="00C1528E" w:rsidRPr="0049213F" w:rsidRDefault="00C1528E" w:rsidP="002B55BD">
            <w:pPr>
              <w:rPr>
                <w:rFonts w:ascii="Times New Roman" w:hAnsi="Times New Roman" w:cs="Times New Roman"/>
                <w:b/>
                <w:bCs/>
                <w:sz w:val="24"/>
                <w:szCs w:val="24"/>
              </w:rPr>
            </w:pPr>
            <w:r w:rsidRPr="0049213F">
              <w:rPr>
                <w:rFonts w:ascii="Times New Roman" w:hAnsi="Times New Roman" w:cs="Times New Roman"/>
                <w:b/>
                <w:bCs/>
                <w:sz w:val="24"/>
                <w:szCs w:val="24"/>
              </w:rPr>
              <w:t>Federal Register, February 3, 2022, Volume 87, No. 23, page 6388:</w:t>
            </w:r>
          </w:p>
          <w:p w14:paraId="3FB844B2" w14:textId="77777777" w:rsidR="00C1528E" w:rsidRPr="0049213F" w:rsidRDefault="00C1528E" w:rsidP="002B55BD">
            <w:pPr>
              <w:rPr>
                <w:rFonts w:ascii="Times New Roman" w:hAnsi="Times New Roman" w:cs="Times New Roman"/>
                <w:sz w:val="24"/>
                <w:szCs w:val="24"/>
              </w:rPr>
            </w:pPr>
          </w:p>
          <w:p w14:paraId="1B302932" w14:textId="77777777" w:rsidR="00C1528E" w:rsidRPr="0049213F" w:rsidRDefault="00C1528E" w:rsidP="002B55BD">
            <w:pPr>
              <w:rPr>
                <w:rFonts w:ascii="Times New Roman" w:hAnsi="Times New Roman" w:cs="Times New Roman"/>
                <w:iCs/>
                <w:sz w:val="24"/>
                <w:szCs w:val="24"/>
              </w:rPr>
            </w:pPr>
            <w:r w:rsidRPr="0049213F">
              <w:rPr>
                <w:rFonts w:ascii="Times New Roman" w:hAnsi="Times New Roman" w:cs="Times New Roman"/>
                <w:i/>
                <w:sz w:val="24"/>
                <w:szCs w:val="24"/>
              </w:rPr>
              <w:t>IV.B. Procurement</w:t>
            </w:r>
          </w:p>
          <w:p w14:paraId="21A93669" w14:textId="77777777" w:rsidR="00C1528E" w:rsidRPr="0049213F" w:rsidRDefault="00C1528E" w:rsidP="002B55BD">
            <w:pPr>
              <w:rPr>
                <w:rFonts w:ascii="Times New Roman" w:hAnsi="Times New Roman" w:cs="Times New Roman"/>
                <w:iCs/>
                <w:sz w:val="24"/>
                <w:szCs w:val="24"/>
              </w:rPr>
            </w:pPr>
          </w:p>
          <w:p w14:paraId="73992C6A" w14:textId="77777777" w:rsidR="00C1528E" w:rsidRPr="0049213F" w:rsidRDefault="00C1528E" w:rsidP="002B55BD">
            <w:pPr>
              <w:ind w:firstLine="720"/>
              <w:rPr>
                <w:rFonts w:ascii="Times New Roman" w:hAnsi="Times New Roman" w:cs="Times New Roman"/>
                <w:sz w:val="24"/>
                <w:szCs w:val="24"/>
              </w:rPr>
            </w:pPr>
            <w:r w:rsidRPr="0049213F">
              <w:rPr>
                <w:rFonts w:ascii="Times New Roman" w:hAnsi="Times New Roman" w:cs="Times New Roman"/>
                <w:sz w:val="24"/>
                <w:szCs w:val="24"/>
              </w:rPr>
              <w:t>For a grantee to have proficient procurement processes, a grantee must: Indicate the procurement standards that apply to its use of CDBG–DR funds; indicate the procurement standards for subrecipients or local governments as applicable; comply with the standards it certified to HUD that it follows (and update the certification submissions when substantial changes are made); post the required documentation to the official website as described below; and include periods of performance and date of completion in all CDBG–DR contracts.</w:t>
            </w:r>
          </w:p>
          <w:p w14:paraId="5649C948" w14:textId="77777777" w:rsidR="00C1528E" w:rsidRPr="0049213F" w:rsidRDefault="00C1528E" w:rsidP="002B55BD">
            <w:pPr>
              <w:ind w:firstLine="720"/>
              <w:rPr>
                <w:rFonts w:ascii="Times New Roman" w:hAnsi="Times New Roman" w:cs="Times New Roman"/>
                <w:sz w:val="24"/>
                <w:szCs w:val="24"/>
              </w:rPr>
            </w:pPr>
            <w:r w:rsidRPr="0049213F">
              <w:rPr>
                <w:rFonts w:ascii="Times New Roman" w:hAnsi="Times New Roman" w:cs="Times New Roman"/>
                <w:sz w:val="24"/>
                <w:szCs w:val="24"/>
              </w:rPr>
              <w:t>State grantees must comply with the procurement requirements at 24 CFR 570.489(g) and the following alternative requirements: The grantee must evaluate the cost or price of the product or service being procured. State grantees shall establish requirements for procurement processes for local governments and subrecipients based on full and open competition consistent with the requirements of 24 CFR 570.489(g), and shall require a local government or subrecipient to evaluate the cost or price of the product or service being procured with CDBG–DR funds. Additionally, if the state agency designated as the administering agency chooses to provide funding to another state agency, the administering agency must specify in its procurement processes whether the agency implementing the CDBG–DR activity must follow the procurement processes that the administering agency is subject to, or whether the agency must follow the same processes to which other local governments and subrecipients are subject, or its own procurement processes.</w:t>
            </w:r>
          </w:p>
          <w:p w14:paraId="67BBA2D9" w14:textId="77777777" w:rsidR="00C1528E" w:rsidRPr="0049213F" w:rsidRDefault="00C1528E" w:rsidP="002B55BD">
            <w:pPr>
              <w:ind w:firstLine="720"/>
              <w:rPr>
                <w:rFonts w:ascii="Times New Roman" w:hAnsi="Times New Roman" w:cs="Times New Roman"/>
                <w:sz w:val="24"/>
                <w:szCs w:val="24"/>
              </w:rPr>
            </w:pPr>
            <w:r w:rsidRPr="0049213F">
              <w:rPr>
                <w:rFonts w:ascii="Times New Roman" w:hAnsi="Times New Roman" w:cs="Times New Roman"/>
                <w:sz w:val="24"/>
                <w:szCs w:val="24"/>
              </w:rPr>
              <w:t>A grantee shall administer CDBG–DR grant funds in accordance with all applicable laws and regulations. As an alternative requirement, grantees may not delegate, by contract, or otherwise, the responsibility for administering such grant funds.</w:t>
            </w:r>
          </w:p>
          <w:p w14:paraId="24635AEA" w14:textId="77777777" w:rsidR="00C1528E" w:rsidRPr="0049213F" w:rsidRDefault="00C1528E" w:rsidP="002B55BD">
            <w:pPr>
              <w:ind w:firstLine="720"/>
              <w:rPr>
                <w:rFonts w:ascii="Times New Roman" w:hAnsi="Times New Roman" w:cs="Times New Roman"/>
                <w:sz w:val="24"/>
                <w:szCs w:val="24"/>
              </w:rPr>
            </w:pPr>
            <w:r w:rsidRPr="0049213F">
              <w:rPr>
                <w:rFonts w:ascii="Times New Roman" w:hAnsi="Times New Roman" w:cs="Times New Roman"/>
                <w:sz w:val="24"/>
                <w:szCs w:val="24"/>
              </w:rPr>
              <w:t>HUD is establishing an additional alternative requirement for all contracts with contractors used to provide goods and services, as follows:</w:t>
            </w:r>
          </w:p>
          <w:p w14:paraId="12A3950F" w14:textId="77777777" w:rsidR="00C1528E" w:rsidRPr="0049213F" w:rsidRDefault="00C1528E" w:rsidP="002B55BD">
            <w:pPr>
              <w:ind w:firstLine="720"/>
              <w:rPr>
                <w:rFonts w:ascii="Times New Roman" w:hAnsi="Times New Roman" w:cs="Times New Roman"/>
                <w:sz w:val="24"/>
                <w:szCs w:val="24"/>
              </w:rPr>
            </w:pPr>
            <w:r w:rsidRPr="0049213F">
              <w:rPr>
                <w:rFonts w:ascii="Times New Roman" w:hAnsi="Times New Roman" w:cs="Times New Roman"/>
                <w:sz w:val="24"/>
                <w:szCs w:val="24"/>
              </w:rPr>
              <w:lastRenderedPageBreak/>
              <w:tab/>
              <w:t>1.  The grantee (or procuring entity) is required to clearly state the period of performance or date of completion in all contracts;</w:t>
            </w:r>
          </w:p>
          <w:p w14:paraId="289A0FF5" w14:textId="77777777" w:rsidR="00C1528E" w:rsidRPr="0049213F" w:rsidRDefault="00C1528E" w:rsidP="002B55BD">
            <w:pPr>
              <w:ind w:firstLine="720"/>
              <w:rPr>
                <w:rFonts w:ascii="Times New Roman" w:hAnsi="Times New Roman" w:cs="Times New Roman"/>
                <w:sz w:val="24"/>
                <w:szCs w:val="24"/>
              </w:rPr>
            </w:pPr>
            <w:r w:rsidRPr="0049213F">
              <w:rPr>
                <w:rFonts w:ascii="Times New Roman" w:hAnsi="Times New Roman" w:cs="Times New Roman"/>
                <w:sz w:val="24"/>
                <w:szCs w:val="24"/>
              </w:rPr>
              <w:tab/>
              <w:t>2.  The grantee (or procuring entity) must incorporate performance requirements and liquidated damages into each procured contract. Contracts that describe work performed by general management consulting services need not adhere to the requirement on liquidated damages but must incorporate performance requirements; and</w:t>
            </w:r>
          </w:p>
          <w:p w14:paraId="3962E3A0" w14:textId="77777777" w:rsidR="00C1528E" w:rsidRPr="0049213F" w:rsidRDefault="00C1528E" w:rsidP="002B55BD">
            <w:pPr>
              <w:ind w:firstLine="720"/>
              <w:rPr>
                <w:rFonts w:ascii="Times New Roman" w:hAnsi="Times New Roman" w:cs="Times New Roman"/>
                <w:sz w:val="24"/>
                <w:szCs w:val="24"/>
              </w:rPr>
            </w:pPr>
            <w:r w:rsidRPr="0049213F">
              <w:rPr>
                <w:rFonts w:ascii="Times New Roman" w:hAnsi="Times New Roman" w:cs="Times New Roman"/>
                <w:sz w:val="24"/>
                <w:szCs w:val="24"/>
              </w:rPr>
              <w:tab/>
              <w:t>3.  The grantee (or procuring entity) may contract for administrative support, in compliance with 2 CFR 200.459, but may not delegate or contract to any other party any inherently governmental responsibilities related to oversight of the grant, including policy development, fair housing and civil rights compliance, and financial management.</w:t>
            </w:r>
          </w:p>
          <w:p w14:paraId="21C33EC1" w14:textId="77777777" w:rsidR="00C1528E" w:rsidRPr="0049213F" w:rsidRDefault="00C1528E" w:rsidP="002B55BD">
            <w:pPr>
              <w:rPr>
                <w:rFonts w:ascii="Times New Roman" w:hAnsi="Times New Roman" w:cs="Times New Roman"/>
                <w:sz w:val="24"/>
                <w:szCs w:val="24"/>
              </w:rPr>
            </w:pPr>
          </w:p>
        </w:tc>
      </w:tr>
    </w:tbl>
    <w:p w14:paraId="10F657A2" w14:textId="77777777" w:rsidR="00C1528E" w:rsidRPr="0049213F" w:rsidRDefault="00C1528E" w:rsidP="00C1528E">
      <w:pPr>
        <w:spacing w:line="240" w:lineRule="auto"/>
        <w:rPr>
          <w:rFonts w:ascii="Times New Roman" w:hAnsi="Times New Roman" w:cs="Times New Roman"/>
          <w:sz w:val="24"/>
          <w:szCs w:val="24"/>
        </w:rPr>
      </w:pPr>
    </w:p>
    <w:p w14:paraId="558C995F" w14:textId="77777777" w:rsidR="00C1528E" w:rsidRPr="007F4497" w:rsidRDefault="00C1528E" w:rsidP="00C1528E">
      <w:pPr>
        <w:ind w:firstLine="720"/>
        <w:rPr>
          <w:rFonts w:ascii="Times New Roman" w:hAnsi="Times New Roman" w:cs="Times New Roman"/>
          <w:sz w:val="24"/>
          <w:szCs w:val="24"/>
        </w:rPr>
      </w:pPr>
      <w:r w:rsidRPr="007F4497">
        <w:rPr>
          <w:rFonts w:ascii="Times New Roman" w:hAnsi="Times New Roman" w:cs="Times New Roman"/>
          <w:sz w:val="24"/>
          <w:szCs w:val="24"/>
        </w:rPr>
        <w:t xml:space="preserve">In compliance with </w:t>
      </w:r>
      <w:r w:rsidRPr="007F4497">
        <w:rPr>
          <w:rFonts w:ascii="Times New Roman" w:hAnsi="Times New Roman" w:cs="Times New Roman"/>
          <w:i/>
          <w:iCs/>
          <w:sz w:val="24"/>
          <w:szCs w:val="24"/>
        </w:rPr>
        <w:t>Section IV.B. Procurement</w:t>
      </w:r>
      <w:r w:rsidRPr="007F4497">
        <w:rPr>
          <w:rFonts w:ascii="Times New Roman" w:hAnsi="Times New Roman" w:cs="Times New Roman"/>
          <w:sz w:val="24"/>
          <w:szCs w:val="24"/>
        </w:rPr>
        <w:t xml:space="preserve"> stated above, ADECA, as the grantee of CDBG-DR Grant Funds for Hurricanes Sally and Zeta, herein below:</w:t>
      </w:r>
    </w:p>
    <w:p w14:paraId="0DE4C235" w14:textId="77777777" w:rsidR="00C1528E" w:rsidRPr="007F4497" w:rsidRDefault="00C1528E" w:rsidP="00C1528E">
      <w:pPr>
        <w:ind w:firstLine="720"/>
        <w:rPr>
          <w:rFonts w:ascii="Times New Roman" w:hAnsi="Times New Roman" w:cs="Times New Roman"/>
          <w:sz w:val="24"/>
          <w:szCs w:val="24"/>
        </w:rPr>
      </w:pPr>
      <w:r w:rsidRPr="007F4497">
        <w:rPr>
          <w:rFonts w:ascii="Times New Roman" w:hAnsi="Times New Roman" w:cs="Times New Roman"/>
          <w:sz w:val="24"/>
          <w:szCs w:val="24"/>
        </w:rPr>
        <w:t>●</w:t>
      </w:r>
      <w:r w:rsidRPr="007F4497">
        <w:rPr>
          <w:rFonts w:ascii="Times New Roman" w:hAnsi="Times New Roman" w:cs="Times New Roman"/>
          <w:sz w:val="24"/>
          <w:szCs w:val="24"/>
        </w:rPr>
        <w:tab/>
        <w:t>indicates the procurement standards that apply to ADECA’s use of these CDBG–DR funds,</w:t>
      </w:r>
    </w:p>
    <w:p w14:paraId="1BFB25ED" w14:textId="77777777" w:rsidR="00C1528E" w:rsidRPr="007F4497" w:rsidRDefault="00C1528E" w:rsidP="00C1528E">
      <w:pPr>
        <w:ind w:firstLine="720"/>
        <w:rPr>
          <w:rFonts w:ascii="Times New Roman" w:hAnsi="Times New Roman" w:cs="Times New Roman"/>
          <w:sz w:val="24"/>
          <w:szCs w:val="24"/>
        </w:rPr>
      </w:pPr>
      <w:r w:rsidRPr="007F4497">
        <w:rPr>
          <w:rFonts w:ascii="Times New Roman" w:hAnsi="Times New Roman" w:cs="Times New Roman"/>
          <w:sz w:val="24"/>
          <w:szCs w:val="24"/>
        </w:rPr>
        <w:t>●</w:t>
      </w:r>
      <w:r w:rsidRPr="007F4497">
        <w:rPr>
          <w:rFonts w:ascii="Times New Roman" w:hAnsi="Times New Roman" w:cs="Times New Roman"/>
          <w:sz w:val="24"/>
          <w:szCs w:val="24"/>
        </w:rPr>
        <w:tab/>
        <w:t>indicates the procurement standards for subrecipients or local governments as applicable;</w:t>
      </w:r>
    </w:p>
    <w:p w14:paraId="0CEAB132" w14:textId="77777777" w:rsidR="00C1528E" w:rsidRPr="007F4497" w:rsidRDefault="00C1528E" w:rsidP="00C1528E">
      <w:pPr>
        <w:ind w:firstLine="720"/>
        <w:rPr>
          <w:rFonts w:ascii="Times New Roman" w:hAnsi="Times New Roman" w:cs="Times New Roman"/>
          <w:sz w:val="24"/>
          <w:szCs w:val="24"/>
        </w:rPr>
      </w:pPr>
      <w:r w:rsidRPr="007F4497">
        <w:rPr>
          <w:rFonts w:ascii="Times New Roman" w:hAnsi="Times New Roman" w:cs="Times New Roman"/>
          <w:sz w:val="24"/>
          <w:szCs w:val="24"/>
        </w:rPr>
        <w:t>●</w:t>
      </w:r>
      <w:r w:rsidRPr="007F4497">
        <w:rPr>
          <w:rFonts w:ascii="Times New Roman" w:hAnsi="Times New Roman" w:cs="Times New Roman"/>
          <w:sz w:val="24"/>
          <w:szCs w:val="24"/>
        </w:rPr>
        <w:tab/>
        <w:t>indicates that ADECA will comply with the standards ADECA certified to HUD that ADECA follows,</w:t>
      </w:r>
    </w:p>
    <w:p w14:paraId="229C7234" w14:textId="77777777" w:rsidR="00C1528E" w:rsidRPr="007F4497" w:rsidRDefault="00C1528E" w:rsidP="00C1528E">
      <w:pPr>
        <w:ind w:firstLine="720"/>
        <w:rPr>
          <w:rFonts w:ascii="Times New Roman" w:hAnsi="Times New Roman" w:cs="Times New Roman"/>
          <w:sz w:val="24"/>
          <w:szCs w:val="24"/>
        </w:rPr>
      </w:pPr>
      <w:r w:rsidRPr="007F4497">
        <w:rPr>
          <w:rFonts w:ascii="Times New Roman" w:hAnsi="Times New Roman" w:cs="Times New Roman"/>
          <w:sz w:val="24"/>
          <w:szCs w:val="24"/>
        </w:rPr>
        <w:t>●</w:t>
      </w:r>
      <w:r w:rsidRPr="007F4497">
        <w:rPr>
          <w:rFonts w:ascii="Times New Roman" w:hAnsi="Times New Roman" w:cs="Times New Roman"/>
          <w:sz w:val="24"/>
          <w:szCs w:val="24"/>
        </w:rPr>
        <w:tab/>
        <w:t>indicates that ADECA will update the certification submissions when substantial changes are made,</w:t>
      </w:r>
    </w:p>
    <w:p w14:paraId="66D600B7" w14:textId="77777777" w:rsidR="00C1528E" w:rsidRPr="007F4497" w:rsidRDefault="00C1528E" w:rsidP="00C1528E">
      <w:pPr>
        <w:ind w:firstLine="720"/>
        <w:rPr>
          <w:rFonts w:ascii="Times New Roman" w:hAnsi="Times New Roman" w:cs="Times New Roman"/>
          <w:sz w:val="24"/>
          <w:szCs w:val="24"/>
        </w:rPr>
      </w:pPr>
      <w:r w:rsidRPr="007F4497">
        <w:rPr>
          <w:rFonts w:ascii="Times New Roman" w:hAnsi="Times New Roman" w:cs="Times New Roman"/>
          <w:sz w:val="24"/>
          <w:szCs w:val="24"/>
        </w:rPr>
        <w:t>●</w:t>
      </w:r>
      <w:r w:rsidRPr="007F4497">
        <w:rPr>
          <w:rFonts w:ascii="Times New Roman" w:hAnsi="Times New Roman" w:cs="Times New Roman"/>
          <w:sz w:val="24"/>
          <w:szCs w:val="24"/>
        </w:rPr>
        <w:tab/>
        <w:t>indicates that ADECA will post the required documentation to the official website as described below,</w:t>
      </w:r>
    </w:p>
    <w:p w14:paraId="3AE665CA" w14:textId="77777777" w:rsidR="00C1528E" w:rsidRPr="007F4497" w:rsidRDefault="00C1528E" w:rsidP="00C1528E">
      <w:pPr>
        <w:ind w:firstLine="720"/>
        <w:rPr>
          <w:rFonts w:ascii="Times New Roman" w:hAnsi="Times New Roman" w:cs="Times New Roman"/>
          <w:sz w:val="24"/>
          <w:szCs w:val="24"/>
        </w:rPr>
      </w:pPr>
      <w:r w:rsidRPr="007F4497">
        <w:rPr>
          <w:rFonts w:ascii="Times New Roman" w:hAnsi="Times New Roman" w:cs="Times New Roman"/>
          <w:sz w:val="24"/>
          <w:szCs w:val="24"/>
        </w:rPr>
        <w:t>●</w:t>
      </w:r>
      <w:r w:rsidRPr="007F4497">
        <w:rPr>
          <w:rFonts w:ascii="Times New Roman" w:hAnsi="Times New Roman" w:cs="Times New Roman"/>
          <w:sz w:val="24"/>
          <w:szCs w:val="24"/>
        </w:rPr>
        <w:tab/>
        <w:t>indicates that ADECA will include periods of performance and date of completion in all CDBG–DR contracts, and</w:t>
      </w:r>
    </w:p>
    <w:p w14:paraId="33DBD325" w14:textId="77777777" w:rsidR="00C1528E" w:rsidRPr="007F4497" w:rsidRDefault="00C1528E" w:rsidP="00C1528E">
      <w:pPr>
        <w:ind w:firstLine="720"/>
        <w:rPr>
          <w:rFonts w:ascii="Times New Roman" w:hAnsi="Times New Roman" w:cs="Times New Roman"/>
          <w:sz w:val="24"/>
          <w:szCs w:val="24"/>
        </w:rPr>
      </w:pPr>
      <w:r w:rsidRPr="007F4497">
        <w:rPr>
          <w:rFonts w:ascii="Times New Roman" w:hAnsi="Times New Roman" w:cs="Times New Roman"/>
          <w:sz w:val="24"/>
          <w:szCs w:val="24"/>
        </w:rPr>
        <w:t>●</w:t>
      </w:r>
      <w:r w:rsidRPr="007F4497">
        <w:rPr>
          <w:rFonts w:ascii="Times New Roman" w:hAnsi="Times New Roman" w:cs="Times New Roman"/>
          <w:sz w:val="24"/>
          <w:szCs w:val="24"/>
        </w:rPr>
        <w:tab/>
        <w:t>indicates that ADECA will comply with 24 CFR §570.489(g) and HUD’s alternative requirements.</w:t>
      </w:r>
    </w:p>
    <w:p w14:paraId="13400757" w14:textId="77777777" w:rsidR="00C1528E" w:rsidRPr="007F4497" w:rsidRDefault="00C1528E" w:rsidP="00C1528E">
      <w:pPr>
        <w:spacing w:line="240" w:lineRule="auto"/>
        <w:rPr>
          <w:rFonts w:ascii="Times New Roman" w:eastAsia="Garamond" w:hAnsi="Times New Roman" w:cs="Times New Roman"/>
          <w:b/>
          <w:bCs/>
          <w:spacing w:val="-3"/>
          <w:position w:val="1"/>
          <w:sz w:val="24"/>
          <w:szCs w:val="24"/>
        </w:rPr>
      </w:pPr>
    </w:p>
    <w:p w14:paraId="1A66405E" w14:textId="77777777" w:rsidR="00C1528E" w:rsidRPr="007F4497" w:rsidRDefault="00C1528E" w:rsidP="00C1528E">
      <w:pPr>
        <w:spacing w:line="240" w:lineRule="auto"/>
        <w:rPr>
          <w:rFonts w:ascii="Times New Roman" w:hAnsi="Times New Roman" w:cs="Times New Roman"/>
          <w:b/>
          <w:bCs/>
          <w:sz w:val="24"/>
          <w:szCs w:val="24"/>
        </w:rPr>
      </w:pPr>
      <w:r w:rsidRPr="007F4497">
        <w:rPr>
          <w:rFonts w:ascii="Times New Roman" w:eastAsia="Garamond" w:hAnsi="Times New Roman" w:cs="Times New Roman"/>
          <w:b/>
          <w:bCs/>
          <w:spacing w:val="-3"/>
          <w:position w:val="1"/>
          <w:sz w:val="24"/>
          <w:szCs w:val="24"/>
        </w:rPr>
        <w:t xml:space="preserve">Adoption of </w:t>
      </w:r>
      <w:r w:rsidRPr="007F4497">
        <w:rPr>
          <w:rFonts w:ascii="Times New Roman" w:hAnsi="Times New Roman" w:cs="Times New Roman"/>
          <w:b/>
          <w:bCs/>
          <w:sz w:val="24"/>
          <w:szCs w:val="24"/>
        </w:rPr>
        <w:t>2 CFR §200.317-327 Procurement Standards as Applicable to ADECA’s Use of CDBG-DR Funds</w:t>
      </w:r>
    </w:p>
    <w:p w14:paraId="5FC00C9F" w14:textId="77777777" w:rsidR="00C1528E" w:rsidRPr="007F4497" w:rsidRDefault="00C1528E" w:rsidP="00C1528E">
      <w:pPr>
        <w:spacing w:line="240" w:lineRule="auto"/>
        <w:ind w:firstLine="720"/>
        <w:rPr>
          <w:rFonts w:ascii="Times New Roman" w:hAnsi="Times New Roman" w:cs="Times New Roman"/>
          <w:sz w:val="24"/>
          <w:szCs w:val="24"/>
        </w:rPr>
      </w:pPr>
      <w:r w:rsidRPr="007F4497">
        <w:rPr>
          <w:rFonts w:ascii="Times New Roman" w:hAnsi="Times New Roman" w:cs="Times New Roman"/>
          <w:sz w:val="24"/>
          <w:szCs w:val="24"/>
        </w:rPr>
        <w:t xml:space="preserve">Pursuant to Section IV.B. “Procurement” of the </w:t>
      </w:r>
      <w:r w:rsidRPr="007F4497">
        <w:rPr>
          <w:rFonts w:ascii="Times New Roman" w:hAnsi="Times New Roman" w:cs="Times New Roman"/>
          <w:bCs/>
          <w:sz w:val="24"/>
          <w:szCs w:val="24"/>
        </w:rPr>
        <w:t xml:space="preserve">Federal Register Notice [also at </w:t>
      </w:r>
      <w:r w:rsidRPr="007F4497">
        <w:rPr>
          <w:rFonts w:ascii="Times New Roman" w:hAnsi="Times New Roman" w:cs="Times New Roman"/>
          <w:sz w:val="24"/>
          <w:szCs w:val="24"/>
        </w:rPr>
        <w:t>Section III.A.1.a.(2)(a)(i) of the Federal Register Notice]</w:t>
      </w:r>
      <w:r w:rsidRPr="007F4497">
        <w:rPr>
          <w:rFonts w:ascii="Times New Roman" w:hAnsi="Times New Roman" w:cs="Times New Roman"/>
          <w:bCs/>
          <w:sz w:val="24"/>
          <w:szCs w:val="24"/>
        </w:rPr>
        <w:t xml:space="preserve">, </w:t>
      </w:r>
      <w:r w:rsidRPr="007F4497">
        <w:rPr>
          <w:rFonts w:ascii="Times New Roman" w:hAnsi="Times New Roman" w:cs="Times New Roman"/>
          <w:sz w:val="24"/>
          <w:szCs w:val="24"/>
        </w:rPr>
        <w:t xml:space="preserve">ADECA hereby adopts the procurement standards published in the </w:t>
      </w:r>
      <w:r w:rsidRPr="007F4497">
        <w:rPr>
          <w:rFonts w:ascii="Times New Roman" w:hAnsi="Times New Roman" w:cs="Times New Roman"/>
          <w:i/>
          <w:iCs/>
          <w:sz w:val="24"/>
          <w:szCs w:val="24"/>
        </w:rPr>
        <w:t>Code of Federal Regulations</w:t>
      </w:r>
      <w:r w:rsidRPr="007F4497">
        <w:rPr>
          <w:rFonts w:ascii="Times New Roman" w:hAnsi="Times New Roman" w:cs="Times New Roman"/>
          <w:sz w:val="24"/>
          <w:szCs w:val="24"/>
        </w:rPr>
        <w:t xml:space="preserve"> at 2 CFR §200.317 through 2 CFR §200.327, as the procurement policy for administering the CDBG-DR Grant Program for Hurricanes Sally and Zeta.  ADECA hereby shows that, as the grantee for the CDBG-DR Grant Program for Hurricanes Sally and Zeta, ADECA has adopted these procurement standards that uphold the principles of full and open competition and will evaluate the cost or price of products or services.  Thus, ADECA's procurement processes comply with other procurement </w:t>
      </w:r>
      <w:r w:rsidRPr="007F4497">
        <w:rPr>
          <w:rFonts w:ascii="Times New Roman" w:hAnsi="Times New Roman" w:cs="Times New Roman"/>
          <w:sz w:val="24"/>
          <w:szCs w:val="24"/>
        </w:rPr>
        <w:lastRenderedPageBreak/>
        <w:t>requirements described in the Federal Register Notice at Section IV.B. “Procurement” (stated herein above).</w:t>
      </w:r>
    </w:p>
    <w:p w14:paraId="65B10B9F" w14:textId="77777777" w:rsidR="00C1528E" w:rsidRPr="007F4497" w:rsidRDefault="00C1528E" w:rsidP="00C1528E">
      <w:pPr>
        <w:spacing w:line="240" w:lineRule="auto"/>
        <w:rPr>
          <w:rFonts w:ascii="Times New Roman" w:hAnsi="Times New Roman" w:cs="Times New Roman"/>
          <w:sz w:val="24"/>
          <w:szCs w:val="24"/>
        </w:rPr>
      </w:pPr>
    </w:p>
    <w:p w14:paraId="5417C720" w14:textId="77777777" w:rsidR="00C1528E" w:rsidRPr="007F4497" w:rsidRDefault="00C1528E" w:rsidP="00C1528E">
      <w:pPr>
        <w:rPr>
          <w:rFonts w:ascii="Times New Roman" w:hAnsi="Times New Roman" w:cs="Times New Roman"/>
          <w:b/>
          <w:bCs/>
          <w:sz w:val="24"/>
          <w:szCs w:val="24"/>
        </w:rPr>
      </w:pPr>
      <w:r w:rsidRPr="007F4497">
        <w:rPr>
          <w:rFonts w:ascii="Times New Roman" w:eastAsia="Garamond" w:hAnsi="Times New Roman" w:cs="Times New Roman"/>
          <w:b/>
          <w:bCs/>
          <w:spacing w:val="-3"/>
          <w:position w:val="1"/>
          <w:sz w:val="24"/>
          <w:szCs w:val="24"/>
        </w:rPr>
        <w:t xml:space="preserve">Adoption of </w:t>
      </w:r>
      <w:r w:rsidRPr="007F4497">
        <w:rPr>
          <w:rFonts w:ascii="Times New Roman" w:hAnsi="Times New Roman" w:cs="Times New Roman"/>
          <w:b/>
          <w:bCs/>
          <w:sz w:val="24"/>
          <w:szCs w:val="24"/>
        </w:rPr>
        <w:t>2 CFR §200.317-327 Procurement Standards as Applicable to ADECA’s Subrecipients or Local Governments</w:t>
      </w:r>
    </w:p>
    <w:p w14:paraId="2F3EF3D6" w14:textId="77777777" w:rsidR="00C1528E" w:rsidRPr="007F4497" w:rsidRDefault="00C1528E" w:rsidP="00C1528E">
      <w:pPr>
        <w:ind w:firstLine="720"/>
        <w:rPr>
          <w:rFonts w:ascii="Times New Roman" w:hAnsi="Times New Roman" w:cs="Times New Roman"/>
          <w:sz w:val="24"/>
          <w:szCs w:val="24"/>
        </w:rPr>
      </w:pPr>
      <w:r w:rsidRPr="007F4497">
        <w:rPr>
          <w:rFonts w:ascii="Times New Roman" w:hAnsi="Times New Roman" w:cs="Times New Roman"/>
          <w:sz w:val="24"/>
          <w:szCs w:val="24"/>
        </w:rPr>
        <w:t xml:space="preserve">The ADECA CED Division hereby adopts the procurement standards published in the </w:t>
      </w:r>
      <w:r w:rsidRPr="007F4497">
        <w:rPr>
          <w:rFonts w:ascii="Times New Roman" w:hAnsi="Times New Roman" w:cs="Times New Roman"/>
          <w:i/>
          <w:iCs/>
          <w:sz w:val="24"/>
          <w:szCs w:val="24"/>
        </w:rPr>
        <w:t>Code of Federal Regulations</w:t>
      </w:r>
      <w:r w:rsidRPr="007F4497">
        <w:rPr>
          <w:rFonts w:ascii="Times New Roman" w:hAnsi="Times New Roman" w:cs="Times New Roman"/>
          <w:sz w:val="24"/>
          <w:szCs w:val="24"/>
        </w:rPr>
        <w:t xml:space="preserve"> at 2 CFR §200.317 through 2 CFR §200.327 as the procurement standards that will be applicable to ADECA’s subrecipients and/or units of local government who are recipients of CDBG-DR Grant Program funds for Hurricanes Sally and Zeta.  ADECA has adopted these procurement standards so that the subrecipients / local governments will uphold the principles of full and open competition at the subrecipient / local government level, and so that the subrecipients / local governments will evaluate the cost or price of products or services at the local level.</w:t>
      </w:r>
    </w:p>
    <w:p w14:paraId="1D1D3116" w14:textId="77777777" w:rsidR="00C1528E" w:rsidRPr="007F4497" w:rsidRDefault="00C1528E" w:rsidP="00C1528E">
      <w:pPr>
        <w:ind w:firstLine="720"/>
        <w:rPr>
          <w:rFonts w:ascii="Times New Roman" w:hAnsi="Times New Roman" w:cs="Times New Roman"/>
          <w:sz w:val="24"/>
          <w:szCs w:val="24"/>
        </w:rPr>
      </w:pPr>
      <w:r w:rsidRPr="007F4497">
        <w:rPr>
          <w:rFonts w:ascii="Times New Roman" w:hAnsi="Times New Roman" w:cs="Times New Roman"/>
          <w:sz w:val="24"/>
          <w:szCs w:val="24"/>
        </w:rPr>
        <w:t xml:space="preserve">These CFR sections are posted online at the links </w:t>
      </w:r>
      <w:hyperlink r:id="rId9" w:history="1">
        <w:r w:rsidRPr="007F4497">
          <w:rPr>
            <w:rStyle w:val="Hyperlink"/>
            <w:rFonts w:ascii="Times New Roman" w:hAnsi="Times New Roman" w:cs="Times New Roman"/>
            <w:sz w:val="24"/>
            <w:szCs w:val="24"/>
          </w:rPr>
          <w:t>https://www.ecfr.gov/current/title-2/subtitle-A/chapter-II/part-200/subpart-D/subject-group-ECFR45ddd4419ad436d/section-200.317</w:t>
        </w:r>
      </w:hyperlink>
      <w:r w:rsidRPr="007F4497">
        <w:rPr>
          <w:rFonts w:ascii="Times New Roman" w:hAnsi="Times New Roman" w:cs="Times New Roman"/>
          <w:sz w:val="24"/>
          <w:szCs w:val="24"/>
        </w:rPr>
        <w:t xml:space="preserve"> through </w:t>
      </w:r>
      <w:hyperlink r:id="rId10" w:history="1">
        <w:r w:rsidRPr="007F4497">
          <w:rPr>
            <w:rStyle w:val="Hyperlink"/>
            <w:rFonts w:ascii="Times New Roman" w:hAnsi="Times New Roman" w:cs="Times New Roman"/>
            <w:sz w:val="24"/>
            <w:szCs w:val="24"/>
          </w:rPr>
          <w:t>https://www.ecfr.gov/current/title-2/subtitle-A/chapter-II/part-200/subpart-D/subject-group-ECFR45ddd4419ad436d/section-200.327</w:t>
        </w:r>
      </w:hyperlink>
      <w:r w:rsidRPr="007F4497">
        <w:rPr>
          <w:rFonts w:ascii="Times New Roman" w:hAnsi="Times New Roman" w:cs="Times New Roman"/>
          <w:sz w:val="24"/>
          <w:szCs w:val="24"/>
        </w:rPr>
        <w:t>.  These CFR sections state as follows:</w:t>
      </w:r>
    </w:p>
    <w:p w14:paraId="03F0D264" w14:textId="77777777" w:rsidR="00C1528E" w:rsidRPr="0049213F" w:rsidRDefault="00C1528E" w:rsidP="00C1528E">
      <w:pPr>
        <w:rPr>
          <w:rFonts w:ascii="Times New Roman" w:hAnsi="Times New Roman" w:cs="Times New Roman"/>
          <w:sz w:val="24"/>
          <w:szCs w:val="24"/>
        </w:rPr>
      </w:pPr>
    </w:p>
    <w:p w14:paraId="48C3FF0C" w14:textId="77777777" w:rsidR="00C1528E" w:rsidRPr="0049213F" w:rsidRDefault="00C1528E" w:rsidP="00C1528E">
      <w:pPr>
        <w:ind w:firstLine="720"/>
        <w:rPr>
          <w:rFonts w:ascii="Times New Roman" w:hAnsi="Times New Roman" w:cs="Times New Roman"/>
          <w:b/>
          <w:sz w:val="24"/>
          <w:szCs w:val="24"/>
        </w:rPr>
      </w:pPr>
      <w:r w:rsidRPr="0049213F">
        <w:rPr>
          <w:rFonts w:ascii="Times New Roman" w:hAnsi="Times New Roman" w:cs="Times New Roman"/>
          <w:sz w:val="24"/>
          <w:szCs w:val="24"/>
        </w:rPr>
        <w:tab/>
      </w:r>
      <w:r w:rsidRPr="0049213F">
        <w:rPr>
          <w:rFonts w:ascii="Times New Roman" w:hAnsi="Times New Roman" w:cs="Times New Roman"/>
          <w:b/>
          <w:sz w:val="24"/>
          <w:szCs w:val="24"/>
        </w:rPr>
        <w:t>2 CFR §200.317 through 2 CFR §200.327</w:t>
      </w:r>
    </w:p>
    <w:tbl>
      <w:tblPr>
        <w:tblStyle w:val="TableGrid"/>
        <w:tblW w:w="0" w:type="auto"/>
        <w:tblLook w:val="04A0" w:firstRow="1" w:lastRow="0" w:firstColumn="1" w:lastColumn="0" w:noHBand="0" w:noVBand="1"/>
      </w:tblPr>
      <w:tblGrid>
        <w:gridCol w:w="9350"/>
      </w:tblGrid>
      <w:tr w:rsidR="00C1528E" w:rsidRPr="0049213F" w14:paraId="59288BEB" w14:textId="77777777" w:rsidTr="002B55BD">
        <w:tc>
          <w:tcPr>
            <w:tcW w:w="9350" w:type="dxa"/>
          </w:tcPr>
          <w:p w14:paraId="221C5C75" w14:textId="77777777" w:rsidR="00C1528E" w:rsidRPr="0049213F" w:rsidRDefault="00C1528E" w:rsidP="002B55BD">
            <w:pPr>
              <w:spacing w:before="100" w:beforeAutospacing="1" w:after="100" w:afterAutospacing="1"/>
              <w:outlineLvl w:val="1"/>
              <w:rPr>
                <w:rFonts w:ascii="Times New Roman" w:eastAsia="Times New Roman" w:hAnsi="Times New Roman" w:cs="Times New Roman"/>
                <w:b/>
                <w:bCs/>
                <w:sz w:val="24"/>
                <w:szCs w:val="24"/>
                <w:u w:val="single"/>
              </w:rPr>
            </w:pPr>
            <w:r w:rsidRPr="0049213F">
              <w:rPr>
                <w:rFonts w:ascii="Times New Roman" w:eastAsia="Times New Roman" w:hAnsi="Times New Roman" w:cs="Times New Roman"/>
                <w:b/>
                <w:bCs/>
                <w:sz w:val="24"/>
                <w:szCs w:val="24"/>
                <w:u w:val="single"/>
              </w:rPr>
              <w:t>2 CFR §</w:t>
            </w:r>
            <w:hyperlink r:id="rId11" w:history="1">
              <w:r w:rsidRPr="0049213F">
                <w:rPr>
                  <w:rFonts w:ascii="Times New Roman" w:eastAsia="Times New Roman" w:hAnsi="Times New Roman" w:cs="Times New Roman"/>
                  <w:b/>
                  <w:bCs/>
                  <w:sz w:val="24"/>
                  <w:szCs w:val="24"/>
                  <w:u w:val="single"/>
                </w:rPr>
                <w:t>200.317 Procurements by states.</w:t>
              </w:r>
            </w:hyperlink>
          </w:p>
          <w:p w14:paraId="3513B9F7" w14:textId="77777777" w:rsidR="00C1528E" w:rsidRPr="0049213F" w:rsidRDefault="00C1528E" w:rsidP="002B55BD">
            <w:pPr>
              <w:pStyle w:val="NormalWeb"/>
            </w:pPr>
            <w:r w:rsidRPr="0049213F">
              <w:t xml:space="preserve">When procuring property and services under a Federal award, a State must follow the same policies and procedures it uses for procurements from its non-Federal funds. The State will comply with </w:t>
            </w:r>
            <w:hyperlink r:id="rId12" w:history="1">
              <w:r w:rsidRPr="0049213F">
                <w:rPr>
                  <w:rStyle w:val="Hyperlink"/>
                  <w:rFonts w:eastAsiaTheme="majorEastAsia"/>
                  <w:color w:val="auto"/>
                </w:rPr>
                <w:t>§§ 200.321</w:t>
              </w:r>
            </w:hyperlink>
            <w:r w:rsidRPr="0049213F">
              <w:t xml:space="preserve">, </w:t>
            </w:r>
            <w:hyperlink r:id="rId13" w:history="1">
              <w:r w:rsidRPr="0049213F">
                <w:rPr>
                  <w:rStyle w:val="Hyperlink"/>
                  <w:rFonts w:eastAsiaTheme="majorEastAsia"/>
                  <w:color w:val="auto"/>
                </w:rPr>
                <w:t>200.322</w:t>
              </w:r>
            </w:hyperlink>
            <w:r w:rsidRPr="0049213F">
              <w:t xml:space="preserve">, and </w:t>
            </w:r>
            <w:hyperlink r:id="rId14" w:history="1">
              <w:r w:rsidRPr="0049213F">
                <w:rPr>
                  <w:rStyle w:val="Hyperlink"/>
                  <w:rFonts w:eastAsiaTheme="majorEastAsia"/>
                  <w:color w:val="auto"/>
                </w:rPr>
                <w:t>200.323</w:t>
              </w:r>
            </w:hyperlink>
            <w:r w:rsidRPr="0049213F">
              <w:t xml:space="preserve"> and ensure that every purchase order or other contract includes any clauses required by </w:t>
            </w:r>
            <w:hyperlink r:id="rId15" w:history="1">
              <w:r w:rsidRPr="0049213F">
                <w:rPr>
                  <w:rStyle w:val="Hyperlink"/>
                  <w:rFonts w:eastAsiaTheme="majorEastAsia"/>
                  <w:color w:val="auto"/>
                </w:rPr>
                <w:t>§ 200.327</w:t>
              </w:r>
            </w:hyperlink>
            <w:r w:rsidRPr="0049213F">
              <w:t xml:space="preserve">. All other non-Federal entities, including subrecipients of a State, must follow the procurement standards in </w:t>
            </w:r>
            <w:hyperlink r:id="rId16" w:history="1">
              <w:r w:rsidRPr="0049213F">
                <w:rPr>
                  <w:rStyle w:val="Hyperlink"/>
                  <w:rFonts w:eastAsiaTheme="majorEastAsia"/>
                  <w:color w:val="auto"/>
                </w:rPr>
                <w:t>§§ 200.318</w:t>
              </w:r>
            </w:hyperlink>
            <w:r w:rsidRPr="0049213F">
              <w:t xml:space="preserve"> through </w:t>
            </w:r>
            <w:hyperlink r:id="rId17" w:history="1">
              <w:r w:rsidRPr="0049213F">
                <w:rPr>
                  <w:rStyle w:val="Hyperlink"/>
                  <w:rFonts w:eastAsiaTheme="majorEastAsia"/>
                  <w:color w:val="auto"/>
                </w:rPr>
                <w:t>200.327</w:t>
              </w:r>
            </w:hyperlink>
            <w:r w:rsidRPr="0049213F">
              <w:t>.</w:t>
            </w:r>
          </w:p>
          <w:p w14:paraId="50D1FAD1" w14:textId="77777777" w:rsidR="00C1528E" w:rsidRPr="0049213F" w:rsidRDefault="00C1528E" w:rsidP="002B55BD">
            <w:pPr>
              <w:spacing w:before="100" w:beforeAutospacing="1" w:after="100" w:afterAutospacing="1"/>
              <w:outlineLvl w:val="1"/>
              <w:rPr>
                <w:rFonts w:ascii="Times New Roman" w:eastAsia="Times New Roman" w:hAnsi="Times New Roman" w:cs="Times New Roman"/>
                <w:b/>
                <w:bCs/>
                <w:sz w:val="24"/>
                <w:szCs w:val="24"/>
                <w:u w:val="single"/>
              </w:rPr>
            </w:pPr>
            <w:r w:rsidRPr="0049213F">
              <w:rPr>
                <w:rFonts w:ascii="Times New Roman" w:eastAsia="Times New Roman" w:hAnsi="Times New Roman" w:cs="Times New Roman"/>
                <w:b/>
                <w:bCs/>
                <w:sz w:val="24"/>
                <w:szCs w:val="24"/>
                <w:u w:val="single"/>
              </w:rPr>
              <w:t>2 CFR §</w:t>
            </w:r>
            <w:hyperlink r:id="rId18" w:history="1">
              <w:r w:rsidRPr="0049213F">
                <w:rPr>
                  <w:rFonts w:ascii="Times New Roman" w:eastAsia="Times New Roman" w:hAnsi="Times New Roman" w:cs="Times New Roman"/>
                  <w:b/>
                  <w:bCs/>
                  <w:sz w:val="24"/>
                  <w:szCs w:val="24"/>
                  <w:u w:val="single"/>
                </w:rPr>
                <w:t>200.318 General procurement standards.</w:t>
              </w:r>
            </w:hyperlink>
          </w:p>
          <w:p w14:paraId="229005B6" w14:textId="77777777" w:rsidR="00C1528E" w:rsidRPr="0049213F" w:rsidRDefault="00C1528E" w:rsidP="002B55BD">
            <w:pPr>
              <w:spacing w:before="100" w:beforeAutospacing="1" w:after="100" w:afterAutospacing="1"/>
              <w:ind w:left="180"/>
              <w:rPr>
                <w:rFonts w:ascii="Times New Roman" w:eastAsia="Times New Roman" w:hAnsi="Times New Roman" w:cs="Times New Roman"/>
                <w:sz w:val="24"/>
                <w:szCs w:val="24"/>
              </w:rPr>
            </w:pPr>
            <w:r w:rsidRPr="0049213F">
              <w:rPr>
                <w:rFonts w:ascii="Times New Roman" w:eastAsia="Times New Roman" w:hAnsi="Times New Roman" w:cs="Times New Roman"/>
                <w:sz w:val="24"/>
                <w:szCs w:val="24"/>
              </w:rPr>
              <w:t xml:space="preserve">(a) The non-Federal entity must have and use documented procurement procedures, consistent with State, local, and tribal laws and regulations and the standards of this section, for the acquisition of property or services required under a Federal award or subaward. The non-Federal entity's documented procurement procedures must conform to the procurement standards identified in </w:t>
            </w:r>
            <w:hyperlink r:id="rId19" w:history="1">
              <w:r w:rsidRPr="0049213F">
                <w:rPr>
                  <w:rFonts w:ascii="Times New Roman" w:eastAsia="Times New Roman" w:hAnsi="Times New Roman" w:cs="Times New Roman"/>
                  <w:sz w:val="24"/>
                  <w:szCs w:val="24"/>
                  <w:u w:val="single"/>
                </w:rPr>
                <w:t>§§ 200.317</w:t>
              </w:r>
            </w:hyperlink>
            <w:r w:rsidRPr="0049213F">
              <w:rPr>
                <w:rFonts w:ascii="Times New Roman" w:eastAsia="Times New Roman" w:hAnsi="Times New Roman" w:cs="Times New Roman"/>
                <w:sz w:val="24"/>
                <w:szCs w:val="24"/>
              </w:rPr>
              <w:t xml:space="preserve"> through </w:t>
            </w:r>
            <w:hyperlink r:id="rId20" w:history="1">
              <w:r w:rsidRPr="0049213F">
                <w:rPr>
                  <w:rFonts w:ascii="Times New Roman" w:eastAsia="Times New Roman" w:hAnsi="Times New Roman" w:cs="Times New Roman"/>
                  <w:sz w:val="24"/>
                  <w:szCs w:val="24"/>
                  <w:u w:val="single"/>
                </w:rPr>
                <w:t>200.327</w:t>
              </w:r>
            </w:hyperlink>
            <w:r w:rsidRPr="0049213F">
              <w:rPr>
                <w:rFonts w:ascii="Times New Roman" w:eastAsia="Times New Roman" w:hAnsi="Times New Roman" w:cs="Times New Roman"/>
                <w:sz w:val="24"/>
                <w:szCs w:val="24"/>
              </w:rPr>
              <w:t xml:space="preserve">. </w:t>
            </w:r>
          </w:p>
          <w:p w14:paraId="0A37CC2C" w14:textId="77777777" w:rsidR="00C1528E" w:rsidRPr="0049213F" w:rsidRDefault="00C1528E" w:rsidP="002B55BD">
            <w:pPr>
              <w:spacing w:before="100" w:beforeAutospacing="1" w:after="100" w:afterAutospacing="1"/>
              <w:ind w:left="180"/>
              <w:rPr>
                <w:rFonts w:ascii="Times New Roman" w:eastAsia="Times New Roman" w:hAnsi="Times New Roman" w:cs="Times New Roman"/>
                <w:sz w:val="24"/>
                <w:szCs w:val="24"/>
              </w:rPr>
            </w:pPr>
            <w:r w:rsidRPr="0049213F">
              <w:rPr>
                <w:rFonts w:ascii="Times New Roman" w:eastAsia="Times New Roman" w:hAnsi="Times New Roman" w:cs="Times New Roman"/>
                <w:sz w:val="24"/>
                <w:szCs w:val="24"/>
              </w:rPr>
              <w:t xml:space="preserve">(b) Non-Federal entities must maintain oversight to ensure that contractors perform in accordance with the terms, conditions, and specifications of their contracts or purchase orders. </w:t>
            </w:r>
          </w:p>
          <w:p w14:paraId="19A0582D" w14:textId="77777777" w:rsidR="00C1528E" w:rsidRPr="0049213F" w:rsidRDefault="00C1528E" w:rsidP="002B55BD">
            <w:pPr>
              <w:spacing w:before="100" w:beforeAutospacing="1" w:after="100" w:afterAutospacing="1"/>
              <w:ind w:left="180"/>
              <w:rPr>
                <w:rFonts w:ascii="Times New Roman" w:eastAsia="Times New Roman" w:hAnsi="Times New Roman" w:cs="Times New Roman"/>
                <w:sz w:val="24"/>
                <w:szCs w:val="24"/>
              </w:rPr>
            </w:pPr>
            <w:r w:rsidRPr="0049213F">
              <w:rPr>
                <w:rFonts w:ascii="Times New Roman" w:eastAsia="Times New Roman" w:hAnsi="Times New Roman" w:cs="Times New Roman"/>
                <w:sz w:val="24"/>
                <w:szCs w:val="24"/>
              </w:rPr>
              <w:lastRenderedPageBreak/>
              <w:t xml:space="preserve">(c) </w:t>
            </w:r>
          </w:p>
          <w:p w14:paraId="376385EC" w14:textId="77777777" w:rsidR="00C1528E" w:rsidRPr="0049213F" w:rsidRDefault="00C1528E" w:rsidP="002B55BD">
            <w:pPr>
              <w:spacing w:before="100" w:beforeAutospacing="1" w:after="100" w:afterAutospacing="1"/>
              <w:ind w:left="360"/>
              <w:rPr>
                <w:rFonts w:ascii="Times New Roman" w:eastAsia="Times New Roman" w:hAnsi="Times New Roman" w:cs="Times New Roman"/>
                <w:sz w:val="24"/>
                <w:szCs w:val="24"/>
              </w:rPr>
            </w:pPr>
            <w:r w:rsidRPr="0049213F">
              <w:rPr>
                <w:rFonts w:ascii="Times New Roman" w:eastAsia="Times New Roman" w:hAnsi="Times New Roman" w:cs="Times New Roman"/>
                <w:sz w:val="24"/>
                <w:szCs w:val="24"/>
              </w:rPr>
              <w:t xml:space="preserve">(1) The non-Federal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 </w:t>
            </w:r>
          </w:p>
          <w:p w14:paraId="001584D5" w14:textId="77777777" w:rsidR="00C1528E" w:rsidRPr="0049213F" w:rsidRDefault="00C1528E" w:rsidP="002B55BD">
            <w:pPr>
              <w:spacing w:before="100" w:beforeAutospacing="1" w:after="100" w:afterAutospacing="1"/>
              <w:ind w:left="360"/>
              <w:rPr>
                <w:rFonts w:ascii="Times New Roman" w:eastAsia="Times New Roman" w:hAnsi="Times New Roman" w:cs="Times New Roman"/>
                <w:sz w:val="24"/>
                <w:szCs w:val="24"/>
              </w:rPr>
            </w:pPr>
            <w:r w:rsidRPr="0049213F">
              <w:rPr>
                <w:rFonts w:ascii="Times New Roman" w:eastAsia="Times New Roman" w:hAnsi="Times New Roman" w:cs="Times New Roman"/>
                <w:sz w:val="24"/>
                <w:szCs w:val="24"/>
              </w:rPr>
              <w:t xml:space="preserve">(2)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appears to be unable to be impartial in conducting a procurement action involving a related organization. </w:t>
            </w:r>
          </w:p>
          <w:p w14:paraId="5495878A" w14:textId="77777777" w:rsidR="00C1528E" w:rsidRPr="0049213F" w:rsidRDefault="00C1528E" w:rsidP="002B55BD">
            <w:pPr>
              <w:spacing w:before="100" w:beforeAutospacing="1" w:after="100" w:afterAutospacing="1"/>
              <w:ind w:left="180"/>
              <w:rPr>
                <w:rFonts w:ascii="Times New Roman" w:eastAsia="Times New Roman" w:hAnsi="Times New Roman" w:cs="Times New Roman"/>
                <w:sz w:val="24"/>
                <w:szCs w:val="24"/>
              </w:rPr>
            </w:pPr>
            <w:r w:rsidRPr="0049213F">
              <w:rPr>
                <w:rFonts w:ascii="Times New Roman" w:eastAsia="Times New Roman" w:hAnsi="Times New Roman" w:cs="Times New Roman"/>
                <w:sz w:val="24"/>
                <w:szCs w:val="24"/>
              </w:rPr>
              <w:t xml:space="preserve">(d) The non-Federal entity's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 </w:t>
            </w:r>
          </w:p>
          <w:p w14:paraId="077DA0C4" w14:textId="77777777" w:rsidR="00C1528E" w:rsidRPr="0049213F" w:rsidRDefault="00C1528E" w:rsidP="002B55BD">
            <w:pPr>
              <w:spacing w:before="100" w:beforeAutospacing="1" w:after="100" w:afterAutospacing="1"/>
              <w:ind w:left="180"/>
              <w:rPr>
                <w:rFonts w:ascii="Times New Roman" w:eastAsia="Times New Roman" w:hAnsi="Times New Roman" w:cs="Times New Roman"/>
                <w:sz w:val="24"/>
                <w:szCs w:val="24"/>
              </w:rPr>
            </w:pPr>
            <w:r w:rsidRPr="0049213F">
              <w:rPr>
                <w:rFonts w:ascii="Times New Roman" w:eastAsia="Times New Roman" w:hAnsi="Times New Roman" w:cs="Times New Roman"/>
                <w:sz w:val="24"/>
                <w:szCs w:val="24"/>
              </w:rPr>
              <w:t xml:space="preserve">(e) To foster greater economy and efficiency, and in accordance with efforts to promote cost-effective use of shared services across the Federal Government, the non-Federal entity is encouraged to enter into state and local intergovernmental agreements or inter-entity agreements where appropriate for procurement or use of common or shared goods and services. Competition requirements will be met with documented procurement actions using strategic sourcing, shared services, and other similar procurement arrangements. </w:t>
            </w:r>
          </w:p>
          <w:p w14:paraId="798D21F7" w14:textId="77777777" w:rsidR="00C1528E" w:rsidRPr="0049213F" w:rsidRDefault="00C1528E" w:rsidP="002B55BD">
            <w:pPr>
              <w:spacing w:before="100" w:beforeAutospacing="1" w:after="100" w:afterAutospacing="1"/>
              <w:ind w:left="180"/>
              <w:rPr>
                <w:rFonts w:ascii="Times New Roman" w:eastAsia="Times New Roman" w:hAnsi="Times New Roman" w:cs="Times New Roman"/>
                <w:sz w:val="24"/>
                <w:szCs w:val="24"/>
              </w:rPr>
            </w:pPr>
            <w:r w:rsidRPr="0049213F">
              <w:rPr>
                <w:rFonts w:ascii="Times New Roman" w:eastAsia="Times New Roman" w:hAnsi="Times New Roman" w:cs="Times New Roman"/>
                <w:sz w:val="24"/>
                <w:szCs w:val="24"/>
              </w:rPr>
              <w:t xml:space="preserve">(f) The non-Federal entity is encouraged to use Federal excess and surplus property in lieu of purchasing new equipment and property whenever such use is feasible and reduces project costs. </w:t>
            </w:r>
          </w:p>
          <w:p w14:paraId="365D0BB9" w14:textId="77777777" w:rsidR="00C1528E" w:rsidRPr="0049213F" w:rsidRDefault="00C1528E" w:rsidP="002B55BD">
            <w:pPr>
              <w:spacing w:before="100" w:beforeAutospacing="1" w:after="100" w:afterAutospacing="1"/>
              <w:ind w:left="180"/>
              <w:rPr>
                <w:rFonts w:ascii="Times New Roman" w:eastAsia="Times New Roman" w:hAnsi="Times New Roman" w:cs="Times New Roman"/>
                <w:sz w:val="24"/>
                <w:szCs w:val="24"/>
              </w:rPr>
            </w:pPr>
            <w:r w:rsidRPr="0049213F">
              <w:rPr>
                <w:rFonts w:ascii="Times New Roman" w:eastAsia="Times New Roman" w:hAnsi="Times New Roman" w:cs="Times New Roman"/>
                <w:sz w:val="24"/>
                <w:szCs w:val="24"/>
              </w:rPr>
              <w:t xml:space="preserve">(g) The non-Federal entity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 </w:t>
            </w:r>
          </w:p>
          <w:p w14:paraId="2A978FF3" w14:textId="77777777" w:rsidR="00C1528E" w:rsidRPr="0049213F" w:rsidRDefault="00C1528E" w:rsidP="002B55BD">
            <w:pPr>
              <w:spacing w:before="100" w:beforeAutospacing="1" w:after="100" w:afterAutospacing="1"/>
              <w:ind w:left="180"/>
              <w:rPr>
                <w:rFonts w:ascii="Times New Roman" w:eastAsia="Times New Roman" w:hAnsi="Times New Roman" w:cs="Times New Roman"/>
                <w:sz w:val="24"/>
                <w:szCs w:val="24"/>
              </w:rPr>
            </w:pPr>
            <w:r w:rsidRPr="0049213F">
              <w:rPr>
                <w:rFonts w:ascii="Times New Roman" w:eastAsia="Times New Roman" w:hAnsi="Times New Roman" w:cs="Times New Roman"/>
                <w:sz w:val="24"/>
                <w:szCs w:val="24"/>
              </w:rPr>
              <w:lastRenderedPageBreak/>
              <w:t xml:space="preserve">(h) The non-Federal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See also </w:t>
            </w:r>
            <w:hyperlink r:id="rId21" w:history="1">
              <w:r w:rsidRPr="0049213F">
                <w:rPr>
                  <w:rFonts w:ascii="Times New Roman" w:eastAsia="Times New Roman" w:hAnsi="Times New Roman" w:cs="Times New Roman"/>
                  <w:sz w:val="24"/>
                  <w:szCs w:val="24"/>
                  <w:u w:val="single"/>
                </w:rPr>
                <w:t>§ 200.214</w:t>
              </w:r>
            </w:hyperlink>
            <w:r w:rsidRPr="0049213F">
              <w:rPr>
                <w:rFonts w:ascii="Times New Roman" w:eastAsia="Times New Roman" w:hAnsi="Times New Roman" w:cs="Times New Roman"/>
                <w:sz w:val="24"/>
                <w:szCs w:val="24"/>
              </w:rPr>
              <w:t xml:space="preserve">. </w:t>
            </w:r>
          </w:p>
          <w:p w14:paraId="137A2BA8" w14:textId="77777777" w:rsidR="00C1528E" w:rsidRPr="0049213F" w:rsidRDefault="00C1528E" w:rsidP="002B55BD">
            <w:pPr>
              <w:spacing w:before="100" w:beforeAutospacing="1" w:after="100" w:afterAutospacing="1"/>
              <w:ind w:left="180"/>
              <w:rPr>
                <w:rFonts w:ascii="Times New Roman" w:eastAsia="Times New Roman" w:hAnsi="Times New Roman" w:cs="Times New Roman"/>
                <w:sz w:val="24"/>
                <w:szCs w:val="24"/>
              </w:rPr>
            </w:pPr>
            <w:r w:rsidRPr="0049213F">
              <w:rPr>
                <w:rFonts w:ascii="Times New Roman" w:eastAsia="Times New Roman" w:hAnsi="Times New Roman" w:cs="Times New Roman"/>
                <w:sz w:val="24"/>
                <w:szCs w:val="24"/>
              </w:rPr>
              <w:t xml:space="preserve">(i) The non-Federal entity must maintain records sufficient to detail the history of procurement. These records will include, but are not necessarily limited to, the following: Rationale for the method of procurement, selection of contract type, contractor selection or rejection, and the basis for the contract price. </w:t>
            </w:r>
          </w:p>
          <w:p w14:paraId="50E97F5B" w14:textId="77777777" w:rsidR="00C1528E" w:rsidRPr="0049213F" w:rsidRDefault="00C1528E" w:rsidP="002B55BD">
            <w:pPr>
              <w:spacing w:before="100" w:beforeAutospacing="1" w:after="100" w:afterAutospacing="1"/>
              <w:ind w:left="180"/>
              <w:rPr>
                <w:rFonts w:ascii="Times New Roman" w:eastAsia="Times New Roman" w:hAnsi="Times New Roman" w:cs="Times New Roman"/>
                <w:sz w:val="24"/>
                <w:szCs w:val="24"/>
              </w:rPr>
            </w:pPr>
            <w:r w:rsidRPr="0049213F">
              <w:rPr>
                <w:rFonts w:ascii="Times New Roman" w:eastAsia="Times New Roman" w:hAnsi="Times New Roman" w:cs="Times New Roman"/>
                <w:sz w:val="24"/>
                <w:szCs w:val="24"/>
              </w:rPr>
              <w:t xml:space="preserve">(j) </w:t>
            </w:r>
          </w:p>
          <w:p w14:paraId="28C7B029" w14:textId="77777777" w:rsidR="00C1528E" w:rsidRPr="0049213F" w:rsidRDefault="00C1528E" w:rsidP="002B55BD">
            <w:pPr>
              <w:spacing w:before="100" w:beforeAutospacing="1" w:after="100" w:afterAutospacing="1"/>
              <w:ind w:left="360"/>
              <w:rPr>
                <w:rFonts w:ascii="Times New Roman" w:eastAsia="Times New Roman" w:hAnsi="Times New Roman" w:cs="Times New Roman"/>
                <w:sz w:val="24"/>
                <w:szCs w:val="24"/>
              </w:rPr>
            </w:pPr>
            <w:r w:rsidRPr="0049213F">
              <w:rPr>
                <w:rFonts w:ascii="Times New Roman" w:eastAsia="Times New Roman" w:hAnsi="Times New Roman" w:cs="Times New Roman"/>
                <w:sz w:val="24"/>
                <w:szCs w:val="24"/>
              </w:rPr>
              <w:t xml:space="preserve">(1) The non-Federal entity may use a time-and-materials type contract only after a determination that no other contract is suitable and if the contract includes a ceiling price that the contractor exceeds at its own risk. Time-and-materials type contract means a contract whose cost to a non-Federal entity is the sum of: </w:t>
            </w:r>
          </w:p>
          <w:p w14:paraId="0FBDD02B" w14:textId="77777777" w:rsidR="00C1528E" w:rsidRPr="0049213F" w:rsidRDefault="00C1528E" w:rsidP="002B55BD">
            <w:pPr>
              <w:spacing w:before="100" w:beforeAutospacing="1" w:after="100" w:afterAutospacing="1"/>
              <w:ind w:left="540"/>
              <w:rPr>
                <w:rFonts w:ascii="Times New Roman" w:eastAsia="Times New Roman" w:hAnsi="Times New Roman" w:cs="Times New Roman"/>
                <w:sz w:val="24"/>
                <w:szCs w:val="24"/>
              </w:rPr>
            </w:pPr>
            <w:r w:rsidRPr="0049213F">
              <w:rPr>
                <w:rFonts w:ascii="Times New Roman" w:eastAsia="Times New Roman" w:hAnsi="Times New Roman" w:cs="Times New Roman"/>
                <w:sz w:val="24"/>
                <w:szCs w:val="24"/>
              </w:rPr>
              <w:t xml:space="preserve">(i) The actual cost of materials; and </w:t>
            </w:r>
          </w:p>
          <w:p w14:paraId="7FE7A8BB" w14:textId="77777777" w:rsidR="00C1528E" w:rsidRPr="0049213F" w:rsidRDefault="00C1528E" w:rsidP="002B55BD">
            <w:pPr>
              <w:spacing w:before="100" w:beforeAutospacing="1" w:after="100" w:afterAutospacing="1"/>
              <w:ind w:left="540"/>
              <w:rPr>
                <w:rFonts w:ascii="Times New Roman" w:eastAsia="Times New Roman" w:hAnsi="Times New Roman" w:cs="Times New Roman"/>
                <w:sz w:val="24"/>
                <w:szCs w:val="24"/>
              </w:rPr>
            </w:pPr>
            <w:r w:rsidRPr="0049213F">
              <w:rPr>
                <w:rFonts w:ascii="Times New Roman" w:eastAsia="Times New Roman" w:hAnsi="Times New Roman" w:cs="Times New Roman"/>
                <w:sz w:val="24"/>
                <w:szCs w:val="24"/>
              </w:rPr>
              <w:t xml:space="preserve">(ii) Direct labor hours charged at fixed hourly rates that reflect wages, general and administrative expenses, and profit. </w:t>
            </w:r>
          </w:p>
          <w:p w14:paraId="75410717" w14:textId="77777777" w:rsidR="00C1528E" w:rsidRPr="0049213F" w:rsidRDefault="00C1528E" w:rsidP="002B55BD">
            <w:pPr>
              <w:spacing w:before="100" w:beforeAutospacing="1" w:after="100" w:afterAutospacing="1"/>
              <w:ind w:left="360"/>
              <w:rPr>
                <w:rFonts w:ascii="Times New Roman" w:eastAsia="Times New Roman" w:hAnsi="Times New Roman" w:cs="Times New Roman"/>
                <w:sz w:val="24"/>
                <w:szCs w:val="24"/>
              </w:rPr>
            </w:pPr>
            <w:r w:rsidRPr="0049213F">
              <w:rPr>
                <w:rFonts w:ascii="Times New Roman" w:eastAsia="Times New Roman" w:hAnsi="Times New Roman" w:cs="Times New Roman"/>
                <w:sz w:val="24"/>
                <w:szCs w:val="24"/>
              </w:rPr>
              <w:t xml:space="preserve">(2) Since this formula generates an open-ended contract price, a time-and-materials contract provides no positive profit incentive to the contractor for cost control or labor efficiency. Therefore, each contract must set a ceiling price that the contractor exceeds at its own risk. Further, the non-Federal entity awarding such a contract must assert a high degree of oversight in order to obtain reasonable assurance that the contractor is using efficient methods and effective cost controls. </w:t>
            </w:r>
          </w:p>
          <w:p w14:paraId="5AB9F29E" w14:textId="77777777" w:rsidR="00C1528E" w:rsidRPr="0049213F" w:rsidRDefault="00C1528E" w:rsidP="002B55BD">
            <w:pPr>
              <w:spacing w:before="100" w:beforeAutospacing="1" w:after="100" w:afterAutospacing="1"/>
              <w:ind w:left="180"/>
              <w:rPr>
                <w:rFonts w:ascii="Times New Roman" w:eastAsia="Times New Roman" w:hAnsi="Times New Roman" w:cs="Times New Roman"/>
                <w:sz w:val="24"/>
                <w:szCs w:val="24"/>
              </w:rPr>
            </w:pPr>
            <w:r w:rsidRPr="0049213F">
              <w:rPr>
                <w:rFonts w:ascii="Times New Roman" w:eastAsia="Times New Roman" w:hAnsi="Times New Roman" w:cs="Times New Roman"/>
                <w:sz w:val="24"/>
                <w:szCs w:val="24"/>
              </w:rPr>
              <w:t xml:space="preserve">(k) 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 </w:t>
            </w:r>
          </w:p>
          <w:p w14:paraId="2A9D7B94" w14:textId="77777777" w:rsidR="00C1528E" w:rsidRPr="0049213F" w:rsidRDefault="00C1528E" w:rsidP="002B55BD">
            <w:pPr>
              <w:pStyle w:val="Heading2"/>
              <w:outlineLvl w:val="1"/>
              <w:rPr>
                <w:rFonts w:ascii="Times New Roman" w:hAnsi="Times New Roman" w:cs="Times New Roman"/>
                <w:b/>
                <w:bCs/>
                <w:color w:val="auto"/>
                <w:sz w:val="24"/>
                <w:szCs w:val="24"/>
                <w:u w:val="single"/>
              </w:rPr>
            </w:pPr>
            <w:r w:rsidRPr="0049213F">
              <w:rPr>
                <w:rFonts w:ascii="Times New Roman" w:hAnsi="Times New Roman" w:cs="Times New Roman"/>
                <w:b/>
                <w:bCs/>
                <w:color w:val="auto"/>
                <w:sz w:val="24"/>
                <w:szCs w:val="24"/>
                <w:u w:val="single"/>
              </w:rPr>
              <w:t xml:space="preserve">2 CFR </w:t>
            </w:r>
            <w:hyperlink r:id="rId22" w:history="1">
              <w:r w:rsidRPr="0049213F">
                <w:rPr>
                  <w:rStyle w:val="Hyperlink"/>
                  <w:rFonts w:ascii="Times New Roman" w:hAnsi="Times New Roman" w:cs="Times New Roman"/>
                  <w:b/>
                  <w:color w:val="auto"/>
                  <w:sz w:val="24"/>
                  <w:szCs w:val="24"/>
                </w:rPr>
                <w:t>§ 200.319 Competition.</w:t>
              </w:r>
            </w:hyperlink>
          </w:p>
          <w:p w14:paraId="769AB0FB" w14:textId="77777777" w:rsidR="00C1528E" w:rsidRPr="0049213F" w:rsidRDefault="00C1528E" w:rsidP="002B55BD">
            <w:pPr>
              <w:pStyle w:val="indent-1"/>
              <w:ind w:left="180"/>
            </w:pPr>
            <w:r w:rsidRPr="0049213F">
              <w:rPr>
                <w:rStyle w:val="paren"/>
              </w:rPr>
              <w:t>(</w:t>
            </w:r>
            <w:r w:rsidRPr="0049213F">
              <w:rPr>
                <w:rStyle w:val="paragraph-hierarchy"/>
              </w:rPr>
              <w:t>a</w:t>
            </w:r>
            <w:r w:rsidRPr="0049213F">
              <w:rPr>
                <w:rStyle w:val="paren"/>
              </w:rPr>
              <w:t>)</w:t>
            </w:r>
            <w:r w:rsidRPr="0049213F">
              <w:t xml:space="preserve"> All procurement transactions for the acquisition of property or services required under a Federal award must be conducted in a manner providing full and open competition consistent with the standards of this section and </w:t>
            </w:r>
            <w:hyperlink r:id="rId23" w:history="1">
              <w:r w:rsidRPr="0049213F">
                <w:rPr>
                  <w:rStyle w:val="Hyperlink"/>
                </w:rPr>
                <w:t>§ 200.320</w:t>
              </w:r>
            </w:hyperlink>
            <w:r w:rsidRPr="0049213F">
              <w:t xml:space="preserve">. </w:t>
            </w:r>
          </w:p>
          <w:p w14:paraId="278493AF" w14:textId="77777777" w:rsidR="00C1528E" w:rsidRPr="0049213F" w:rsidRDefault="00C1528E" w:rsidP="002B55BD">
            <w:pPr>
              <w:pStyle w:val="indent-1"/>
              <w:ind w:left="180"/>
            </w:pPr>
            <w:r w:rsidRPr="0049213F">
              <w:rPr>
                <w:rStyle w:val="paren"/>
              </w:rPr>
              <w:lastRenderedPageBreak/>
              <w:t>(</w:t>
            </w:r>
            <w:r w:rsidRPr="0049213F">
              <w:rPr>
                <w:rStyle w:val="paragraph-hierarchy"/>
              </w:rPr>
              <w:t>b</w:t>
            </w:r>
            <w:r w:rsidRPr="0049213F">
              <w:rPr>
                <w:rStyle w:val="paren"/>
              </w:rPr>
              <w:t>)</w:t>
            </w:r>
            <w:r w:rsidRPr="0049213F">
              <w:t xml:space="preserve">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 </w:t>
            </w:r>
          </w:p>
          <w:p w14:paraId="242255DA" w14:textId="77777777" w:rsidR="00C1528E" w:rsidRPr="0049213F" w:rsidRDefault="00C1528E" w:rsidP="002B55BD">
            <w:pPr>
              <w:pStyle w:val="indent-2"/>
              <w:ind w:left="360"/>
            </w:pPr>
            <w:r w:rsidRPr="0049213F">
              <w:rPr>
                <w:rStyle w:val="paren"/>
              </w:rPr>
              <w:t>(</w:t>
            </w:r>
            <w:r w:rsidRPr="0049213F">
              <w:rPr>
                <w:rStyle w:val="paragraph-hierarchy"/>
              </w:rPr>
              <w:t>1</w:t>
            </w:r>
            <w:r w:rsidRPr="0049213F">
              <w:rPr>
                <w:rStyle w:val="paren"/>
              </w:rPr>
              <w:t>)</w:t>
            </w:r>
            <w:r w:rsidRPr="0049213F">
              <w:t xml:space="preserve"> Placing unreasonable requirements on firms in order for them to qualify to do business; </w:t>
            </w:r>
          </w:p>
          <w:p w14:paraId="5444454A" w14:textId="77777777" w:rsidR="00C1528E" w:rsidRPr="0049213F" w:rsidRDefault="00C1528E" w:rsidP="002B55BD">
            <w:pPr>
              <w:pStyle w:val="indent-2"/>
              <w:ind w:left="360"/>
            </w:pPr>
            <w:r w:rsidRPr="0049213F">
              <w:rPr>
                <w:rStyle w:val="paren"/>
              </w:rPr>
              <w:t>(</w:t>
            </w:r>
            <w:r w:rsidRPr="0049213F">
              <w:rPr>
                <w:rStyle w:val="paragraph-hierarchy"/>
              </w:rPr>
              <w:t>2</w:t>
            </w:r>
            <w:r w:rsidRPr="0049213F">
              <w:rPr>
                <w:rStyle w:val="paren"/>
              </w:rPr>
              <w:t>)</w:t>
            </w:r>
            <w:r w:rsidRPr="0049213F">
              <w:t xml:space="preserve"> Requiring unnecessary experience and excessive bonding; </w:t>
            </w:r>
          </w:p>
          <w:p w14:paraId="5A231175" w14:textId="77777777" w:rsidR="00C1528E" w:rsidRPr="0049213F" w:rsidRDefault="00C1528E" w:rsidP="002B55BD">
            <w:pPr>
              <w:pStyle w:val="indent-2"/>
              <w:ind w:left="360"/>
            </w:pPr>
            <w:r w:rsidRPr="0049213F">
              <w:rPr>
                <w:rStyle w:val="paren"/>
              </w:rPr>
              <w:t>(</w:t>
            </w:r>
            <w:r w:rsidRPr="0049213F">
              <w:rPr>
                <w:rStyle w:val="paragraph-hierarchy"/>
              </w:rPr>
              <w:t>3</w:t>
            </w:r>
            <w:r w:rsidRPr="0049213F">
              <w:rPr>
                <w:rStyle w:val="paren"/>
              </w:rPr>
              <w:t>)</w:t>
            </w:r>
            <w:r w:rsidRPr="0049213F">
              <w:t xml:space="preserve"> Noncompetitive pricing practices between firms or between affiliated companies; </w:t>
            </w:r>
          </w:p>
          <w:p w14:paraId="0E618CB9" w14:textId="77777777" w:rsidR="00C1528E" w:rsidRPr="0049213F" w:rsidRDefault="00C1528E" w:rsidP="002B55BD">
            <w:pPr>
              <w:pStyle w:val="indent-2"/>
              <w:ind w:left="360"/>
            </w:pPr>
            <w:r w:rsidRPr="0049213F">
              <w:rPr>
                <w:rStyle w:val="paren"/>
              </w:rPr>
              <w:t>(</w:t>
            </w:r>
            <w:r w:rsidRPr="0049213F">
              <w:rPr>
                <w:rStyle w:val="paragraph-hierarchy"/>
              </w:rPr>
              <w:t>4</w:t>
            </w:r>
            <w:r w:rsidRPr="0049213F">
              <w:rPr>
                <w:rStyle w:val="paren"/>
              </w:rPr>
              <w:t>)</w:t>
            </w:r>
            <w:r w:rsidRPr="0049213F">
              <w:t xml:space="preserve"> Noncompetitive contracts to consultants that are on retainer contracts; </w:t>
            </w:r>
          </w:p>
          <w:p w14:paraId="4F60592B" w14:textId="77777777" w:rsidR="00C1528E" w:rsidRPr="0049213F" w:rsidRDefault="00C1528E" w:rsidP="002B55BD">
            <w:pPr>
              <w:pStyle w:val="indent-2"/>
              <w:ind w:left="360"/>
            </w:pPr>
            <w:r w:rsidRPr="0049213F">
              <w:rPr>
                <w:rStyle w:val="paren"/>
              </w:rPr>
              <w:t>(</w:t>
            </w:r>
            <w:r w:rsidRPr="0049213F">
              <w:rPr>
                <w:rStyle w:val="paragraph-hierarchy"/>
              </w:rPr>
              <w:t>5</w:t>
            </w:r>
            <w:r w:rsidRPr="0049213F">
              <w:rPr>
                <w:rStyle w:val="paren"/>
              </w:rPr>
              <w:t>)</w:t>
            </w:r>
            <w:r w:rsidRPr="0049213F">
              <w:t xml:space="preserve"> Organizational conflicts of interest; </w:t>
            </w:r>
          </w:p>
          <w:p w14:paraId="3E4996CB" w14:textId="77777777" w:rsidR="00C1528E" w:rsidRPr="0049213F" w:rsidRDefault="00C1528E" w:rsidP="002B55BD">
            <w:pPr>
              <w:pStyle w:val="indent-2"/>
              <w:ind w:left="360"/>
            </w:pPr>
            <w:r w:rsidRPr="0049213F">
              <w:rPr>
                <w:rStyle w:val="paren"/>
              </w:rPr>
              <w:t>(</w:t>
            </w:r>
            <w:r w:rsidRPr="0049213F">
              <w:rPr>
                <w:rStyle w:val="paragraph-hierarchy"/>
              </w:rPr>
              <w:t>6</w:t>
            </w:r>
            <w:r w:rsidRPr="0049213F">
              <w:rPr>
                <w:rStyle w:val="paren"/>
              </w:rPr>
              <w:t>)</w:t>
            </w:r>
            <w:r w:rsidRPr="0049213F">
              <w:t xml:space="preserve"> Specifying only a “brand name” product instead of allowing “an equal” product to be offered and describing the performance or other relevant requirements of the procurement; and </w:t>
            </w:r>
          </w:p>
          <w:p w14:paraId="282AD139" w14:textId="77777777" w:rsidR="00C1528E" w:rsidRPr="0049213F" w:rsidRDefault="00C1528E" w:rsidP="002B55BD">
            <w:pPr>
              <w:pStyle w:val="indent-2"/>
              <w:ind w:left="360"/>
            </w:pPr>
            <w:r w:rsidRPr="0049213F">
              <w:rPr>
                <w:rStyle w:val="paren"/>
              </w:rPr>
              <w:t>(</w:t>
            </w:r>
            <w:r w:rsidRPr="0049213F">
              <w:rPr>
                <w:rStyle w:val="paragraph-hierarchy"/>
              </w:rPr>
              <w:t>7</w:t>
            </w:r>
            <w:r w:rsidRPr="0049213F">
              <w:rPr>
                <w:rStyle w:val="paren"/>
              </w:rPr>
              <w:t>)</w:t>
            </w:r>
            <w:r w:rsidRPr="0049213F">
              <w:t xml:space="preserve"> Any arbitrary action in the procurement process. </w:t>
            </w:r>
          </w:p>
          <w:p w14:paraId="0DA94BA1" w14:textId="77777777" w:rsidR="00C1528E" w:rsidRPr="0049213F" w:rsidRDefault="00C1528E" w:rsidP="002B55BD">
            <w:pPr>
              <w:pStyle w:val="indent-1"/>
              <w:ind w:left="180"/>
            </w:pPr>
            <w:r w:rsidRPr="0049213F">
              <w:rPr>
                <w:rStyle w:val="paren"/>
              </w:rPr>
              <w:t>(</w:t>
            </w:r>
            <w:r w:rsidRPr="0049213F">
              <w:rPr>
                <w:rStyle w:val="paragraph-hierarchy"/>
              </w:rPr>
              <w:t>c</w:t>
            </w:r>
            <w:r w:rsidRPr="0049213F">
              <w:rPr>
                <w:rStyle w:val="paren"/>
              </w:rPr>
              <w:t>)</w:t>
            </w:r>
            <w:r w:rsidRPr="0049213F">
              <w:t xml:space="preserve"> The non-Federal entity must conduct procurements in a manner that prohibits the use of statutorily or administratively imposed state, local, or tribal geographical preferences in the evaluation of bids or proposals, except in those cases where applicable Federal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 </w:t>
            </w:r>
          </w:p>
          <w:p w14:paraId="32C723C0" w14:textId="77777777" w:rsidR="00C1528E" w:rsidRPr="0049213F" w:rsidRDefault="00C1528E" w:rsidP="002B55BD">
            <w:pPr>
              <w:pStyle w:val="indent-1"/>
              <w:ind w:left="180"/>
            </w:pPr>
            <w:r w:rsidRPr="0049213F">
              <w:rPr>
                <w:rStyle w:val="paren"/>
              </w:rPr>
              <w:t>(</w:t>
            </w:r>
            <w:r w:rsidRPr="0049213F">
              <w:rPr>
                <w:rStyle w:val="paragraph-hierarchy"/>
              </w:rPr>
              <w:t>d</w:t>
            </w:r>
            <w:r w:rsidRPr="0049213F">
              <w:rPr>
                <w:rStyle w:val="paren"/>
              </w:rPr>
              <w:t>)</w:t>
            </w:r>
            <w:r w:rsidRPr="0049213F">
              <w:t xml:space="preserve"> The non-Federal entity must have written procedures for procurement transactions. These procedures must ensure that all solicitations: </w:t>
            </w:r>
          </w:p>
          <w:p w14:paraId="1CB34270" w14:textId="77777777" w:rsidR="00C1528E" w:rsidRPr="0049213F" w:rsidRDefault="00C1528E" w:rsidP="002B55BD">
            <w:pPr>
              <w:pStyle w:val="indent-2"/>
              <w:ind w:left="360"/>
            </w:pPr>
            <w:r w:rsidRPr="0049213F">
              <w:rPr>
                <w:rStyle w:val="paren"/>
              </w:rPr>
              <w:t>(</w:t>
            </w:r>
            <w:r w:rsidRPr="0049213F">
              <w:rPr>
                <w:rStyle w:val="paragraph-hierarchy"/>
              </w:rPr>
              <w:t>1</w:t>
            </w:r>
            <w:r w:rsidRPr="0049213F">
              <w:rPr>
                <w:rStyle w:val="paren"/>
              </w:rPr>
              <w:t>)</w:t>
            </w:r>
            <w:r w:rsidRPr="0049213F">
              <w:t xml:space="preserve">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 and </w:t>
            </w:r>
          </w:p>
          <w:p w14:paraId="24087351" w14:textId="77777777" w:rsidR="00C1528E" w:rsidRPr="0049213F" w:rsidRDefault="00C1528E" w:rsidP="002B55BD">
            <w:pPr>
              <w:pStyle w:val="indent-2"/>
              <w:ind w:left="360"/>
            </w:pPr>
            <w:r w:rsidRPr="0049213F">
              <w:rPr>
                <w:rStyle w:val="paren"/>
              </w:rPr>
              <w:lastRenderedPageBreak/>
              <w:t>(</w:t>
            </w:r>
            <w:r w:rsidRPr="0049213F">
              <w:rPr>
                <w:rStyle w:val="paragraph-hierarchy"/>
              </w:rPr>
              <w:t>2</w:t>
            </w:r>
            <w:r w:rsidRPr="0049213F">
              <w:rPr>
                <w:rStyle w:val="paren"/>
              </w:rPr>
              <w:t>)</w:t>
            </w:r>
            <w:r w:rsidRPr="0049213F">
              <w:t xml:space="preserve"> Identify all requirements which the offerors must fulfill and all other factors to be used in evaluating bids or proposals. </w:t>
            </w:r>
          </w:p>
          <w:p w14:paraId="733CBFD7" w14:textId="77777777" w:rsidR="00C1528E" w:rsidRPr="0049213F" w:rsidRDefault="00C1528E" w:rsidP="002B55BD">
            <w:pPr>
              <w:pStyle w:val="indent-1"/>
              <w:ind w:left="180"/>
            </w:pPr>
            <w:r w:rsidRPr="0049213F">
              <w:rPr>
                <w:rStyle w:val="paren"/>
              </w:rPr>
              <w:t>(</w:t>
            </w:r>
            <w:r w:rsidRPr="0049213F">
              <w:rPr>
                <w:rStyle w:val="paragraph-hierarchy"/>
              </w:rPr>
              <w:t>e</w:t>
            </w:r>
            <w:r w:rsidRPr="0049213F">
              <w:rPr>
                <w:rStyle w:val="paren"/>
              </w:rPr>
              <w:t>)</w:t>
            </w:r>
            <w:r w:rsidRPr="0049213F">
              <w:t xml:space="preserve"> The non-Federal entity must ensure that all prequalified lists of persons, firms, or products which are used in acquiring goods and services are current and include enough qualified sources to ensure maximum open and free competition. Also, the non-Federal entity must not preclude potential bidders from qualifying during the solicitation period. </w:t>
            </w:r>
          </w:p>
          <w:p w14:paraId="7C989E00" w14:textId="77777777" w:rsidR="00C1528E" w:rsidRPr="0049213F" w:rsidRDefault="00C1528E" w:rsidP="002B55BD">
            <w:pPr>
              <w:pStyle w:val="indent-1"/>
              <w:ind w:left="180"/>
            </w:pPr>
            <w:r w:rsidRPr="0049213F">
              <w:rPr>
                <w:rStyle w:val="paren"/>
              </w:rPr>
              <w:t>(</w:t>
            </w:r>
            <w:r w:rsidRPr="0049213F">
              <w:rPr>
                <w:rStyle w:val="paragraph-hierarchy"/>
              </w:rPr>
              <w:t>f</w:t>
            </w:r>
            <w:r w:rsidRPr="0049213F">
              <w:rPr>
                <w:rStyle w:val="paren"/>
              </w:rPr>
              <w:t>)</w:t>
            </w:r>
            <w:r w:rsidRPr="0049213F">
              <w:t xml:space="preserve"> Noncompetitive procurements can only be awarded in accordance with </w:t>
            </w:r>
            <w:hyperlink r:id="rId24" w:anchor="p-200.320(c)" w:history="1">
              <w:r w:rsidRPr="0049213F">
                <w:rPr>
                  <w:rStyle w:val="Hyperlink"/>
                </w:rPr>
                <w:t>§ 200.320(c)</w:t>
              </w:r>
            </w:hyperlink>
            <w:r w:rsidRPr="0049213F">
              <w:t xml:space="preserve">. </w:t>
            </w:r>
          </w:p>
          <w:p w14:paraId="05F272CB" w14:textId="77777777" w:rsidR="00C1528E" w:rsidRPr="0049213F" w:rsidRDefault="00C1528E" w:rsidP="002B55BD">
            <w:pPr>
              <w:pStyle w:val="Heading2"/>
              <w:outlineLvl w:val="1"/>
              <w:rPr>
                <w:rFonts w:ascii="Times New Roman" w:hAnsi="Times New Roman" w:cs="Times New Roman"/>
                <w:b/>
                <w:bCs/>
                <w:color w:val="auto"/>
                <w:sz w:val="24"/>
                <w:szCs w:val="24"/>
                <w:u w:val="single"/>
              </w:rPr>
            </w:pPr>
            <w:r w:rsidRPr="0049213F">
              <w:rPr>
                <w:rFonts w:ascii="Times New Roman" w:hAnsi="Times New Roman" w:cs="Times New Roman"/>
                <w:b/>
                <w:bCs/>
                <w:color w:val="auto"/>
                <w:sz w:val="24"/>
                <w:szCs w:val="24"/>
                <w:u w:val="single"/>
              </w:rPr>
              <w:t xml:space="preserve">2 CFR </w:t>
            </w:r>
            <w:hyperlink r:id="rId25" w:history="1">
              <w:r w:rsidRPr="0049213F">
                <w:rPr>
                  <w:rStyle w:val="Hyperlink"/>
                  <w:rFonts w:ascii="Times New Roman" w:hAnsi="Times New Roman" w:cs="Times New Roman"/>
                  <w:b/>
                  <w:color w:val="auto"/>
                  <w:sz w:val="24"/>
                  <w:szCs w:val="24"/>
                </w:rPr>
                <w:t>§ 200.320 Methods of procurement to be followed.</w:t>
              </w:r>
            </w:hyperlink>
          </w:p>
          <w:p w14:paraId="412A94E9" w14:textId="77777777" w:rsidR="00C1528E" w:rsidRPr="0049213F" w:rsidRDefault="00C1528E" w:rsidP="002B55BD">
            <w:pPr>
              <w:pStyle w:val="NormalWeb"/>
            </w:pPr>
            <w:r w:rsidRPr="0049213F">
              <w:t xml:space="preserve">The non-Federal entity must have and use documented procurement procedures, consistent with the standards of this section and </w:t>
            </w:r>
            <w:hyperlink r:id="rId26" w:history="1">
              <w:r w:rsidRPr="0049213F">
                <w:rPr>
                  <w:rStyle w:val="Hyperlink"/>
                </w:rPr>
                <w:t>§§ 200.317</w:t>
              </w:r>
            </w:hyperlink>
            <w:r w:rsidRPr="0049213F">
              <w:t xml:space="preserve">, </w:t>
            </w:r>
            <w:hyperlink r:id="rId27" w:history="1">
              <w:r w:rsidRPr="0049213F">
                <w:rPr>
                  <w:rStyle w:val="Hyperlink"/>
                </w:rPr>
                <w:t>200.318</w:t>
              </w:r>
            </w:hyperlink>
            <w:r w:rsidRPr="0049213F">
              <w:t xml:space="preserve">, and </w:t>
            </w:r>
            <w:hyperlink r:id="rId28" w:history="1">
              <w:r w:rsidRPr="0049213F">
                <w:rPr>
                  <w:rStyle w:val="Hyperlink"/>
                </w:rPr>
                <w:t>200.319</w:t>
              </w:r>
            </w:hyperlink>
            <w:r w:rsidRPr="0049213F">
              <w:t xml:space="preserve"> for any of the following methods of procurement used for the acquisition of property or services required under a Federal award or sub-award. </w:t>
            </w:r>
          </w:p>
          <w:p w14:paraId="199F8D35" w14:textId="77777777" w:rsidR="00C1528E" w:rsidRPr="0049213F" w:rsidRDefault="00C1528E" w:rsidP="002B55BD">
            <w:pPr>
              <w:pStyle w:val="indent-1"/>
              <w:ind w:left="180"/>
            </w:pPr>
            <w:r w:rsidRPr="0049213F">
              <w:rPr>
                <w:rStyle w:val="paren"/>
              </w:rPr>
              <w:t>(</w:t>
            </w:r>
            <w:r w:rsidRPr="0049213F">
              <w:rPr>
                <w:rStyle w:val="paragraph-hierarchy"/>
              </w:rPr>
              <w:t>a</w:t>
            </w:r>
            <w:r w:rsidRPr="0049213F">
              <w:rPr>
                <w:rStyle w:val="paren"/>
              </w:rPr>
              <w:t>)</w:t>
            </w:r>
            <w:r w:rsidRPr="0049213F">
              <w:t xml:space="preserve"> </w:t>
            </w:r>
            <w:r w:rsidRPr="0049213F">
              <w:rPr>
                <w:rStyle w:val="Emphasis"/>
                <w:b/>
                <w:bCs/>
              </w:rPr>
              <w:t>Informal procurement methods.</w:t>
            </w:r>
            <w:r w:rsidRPr="0049213F">
              <w:t xml:space="preserve"> When the value of the procurement for property or services under a Federal award does not exceed the </w:t>
            </w:r>
            <w:r w:rsidRPr="0049213F">
              <w:rPr>
                <w:rStyle w:val="Emphasis"/>
              </w:rPr>
              <w:t>simplified acquisition threshold (SAT),</w:t>
            </w:r>
            <w:r w:rsidRPr="0049213F">
              <w:t xml:space="preserve"> as defined in </w:t>
            </w:r>
            <w:hyperlink r:id="rId29" w:history="1">
              <w:r w:rsidRPr="0049213F">
                <w:rPr>
                  <w:rStyle w:val="Hyperlink"/>
                </w:rPr>
                <w:t>§ 200.1</w:t>
              </w:r>
            </w:hyperlink>
            <w:r w:rsidRPr="0049213F">
              <w:t xml:space="preserve">, or a lower threshold established by a non-Federal entity, formal procurement methods are not required. The non-Federal entity may use informal procurement methods to expedite the completion of its transactions and minimize the associated administrative burden and cost. The informal methods used for procurement of property or services at or below the SAT include: </w:t>
            </w:r>
          </w:p>
          <w:p w14:paraId="18F8E693" w14:textId="77777777" w:rsidR="00C1528E" w:rsidRPr="0049213F" w:rsidRDefault="00C1528E" w:rsidP="002B55BD">
            <w:pPr>
              <w:pStyle w:val="indent-2"/>
              <w:ind w:left="360"/>
            </w:pPr>
            <w:r w:rsidRPr="0049213F">
              <w:rPr>
                <w:rStyle w:val="paren"/>
              </w:rPr>
              <w:t>(</w:t>
            </w:r>
            <w:r w:rsidRPr="0049213F">
              <w:rPr>
                <w:rStyle w:val="paragraph-hierarchy"/>
              </w:rPr>
              <w:t>1</w:t>
            </w:r>
            <w:r w:rsidRPr="0049213F">
              <w:rPr>
                <w:rStyle w:val="paren"/>
              </w:rPr>
              <w:t>)</w:t>
            </w:r>
            <w:r w:rsidRPr="0049213F">
              <w:t xml:space="preserve"> </w:t>
            </w:r>
            <w:r w:rsidRPr="0049213F">
              <w:rPr>
                <w:rStyle w:val="Emphasis"/>
                <w:b/>
                <w:bCs/>
              </w:rPr>
              <w:t>Micro-purchases</w:t>
            </w:r>
            <w:r w:rsidRPr="0049213F">
              <w:t xml:space="preserve"> - </w:t>
            </w:r>
          </w:p>
          <w:p w14:paraId="1FB25159" w14:textId="77777777" w:rsidR="00C1528E" w:rsidRPr="0049213F" w:rsidRDefault="00C1528E" w:rsidP="002B55BD">
            <w:pPr>
              <w:pStyle w:val="indent-3"/>
              <w:ind w:left="540"/>
            </w:pPr>
            <w:r w:rsidRPr="0049213F">
              <w:rPr>
                <w:rStyle w:val="paren"/>
              </w:rPr>
              <w:t>(</w:t>
            </w:r>
            <w:r w:rsidRPr="0049213F">
              <w:rPr>
                <w:rStyle w:val="paragraph-hierarchy"/>
              </w:rPr>
              <w:t>i</w:t>
            </w:r>
            <w:r w:rsidRPr="0049213F">
              <w:rPr>
                <w:rStyle w:val="paren"/>
              </w:rPr>
              <w:t>)</w:t>
            </w:r>
            <w:r w:rsidRPr="0049213F">
              <w:t xml:space="preserve"> </w:t>
            </w:r>
            <w:r w:rsidRPr="0049213F">
              <w:rPr>
                <w:rStyle w:val="Emphasis"/>
                <w:b/>
                <w:bCs/>
              </w:rPr>
              <w:t>Distribution.</w:t>
            </w:r>
            <w:r w:rsidRPr="0049213F">
              <w:t xml:space="preserve"> The acquisition of supplies or services, the aggregate dollar amount of which does not exceed the micro-purchase threshold (See the definition of </w:t>
            </w:r>
            <w:r w:rsidRPr="0049213F">
              <w:rPr>
                <w:rStyle w:val="Emphasis"/>
              </w:rPr>
              <w:t>micro-purchase</w:t>
            </w:r>
            <w:r w:rsidRPr="0049213F">
              <w:t xml:space="preserve"> in </w:t>
            </w:r>
            <w:hyperlink r:id="rId30" w:history="1">
              <w:r w:rsidRPr="0049213F">
                <w:rPr>
                  <w:rStyle w:val="Hyperlink"/>
                </w:rPr>
                <w:t>§ 200.1</w:t>
              </w:r>
            </w:hyperlink>
            <w:r w:rsidRPr="0049213F">
              <w:t xml:space="preserve">). To the maximum extent practicable, the non-Federal entity should distribute micro-purchases equitably among qualified suppliers. </w:t>
            </w:r>
          </w:p>
          <w:p w14:paraId="16E782CD" w14:textId="77777777" w:rsidR="00C1528E" w:rsidRPr="0049213F" w:rsidRDefault="00C1528E" w:rsidP="002B55BD">
            <w:pPr>
              <w:pStyle w:val="indent-3"/>
              <w:ind w:left="540"/>
            </w:pPr>
            <w:r w:rsidRPr="0049213F">
              <w:rPr>
                <w:rStyle w:val="paren"/>
              </w:rPr>
              <w:t>(</w:t>
            </w:r>
            <w:r w:rsidRPr="0049213F">
              <w:rPr>
                <w:rStyle w:val="paragraph-hierarchy"/>
              </w:rPr>
              <w:t>ii</w:t>
            </w:r>
            <w:r w:rsidRPr="0049213F">
              <w:rPr>
                <w:rStyle w:val="paren"/>
              </w:rPr>
              <w:t>)</w:t>
            </w:r>
            <w:r w:rsidRPr="0049213F">
              <w:t xml:space="preserve"> </w:t>
            </w:r>
            <w:r w:rsidRPr="0049213F">
              <w:rPr>
                <w:rStyle w:val="Emphasis"/>
                <w:b/>
                <w:bCs/>
              </w:rPr>
              <w:t>Micro-purchase awards.</w:t>
            </w:r>
            <w:r w:rsidRPr="0049213F">
              <w:t xml:space="preserve"> Micro-purchases may be awarded without soliciting competitive price or rate quotations if the non-Federal entity considers the price to be reasonable based on research, experience, purchase history or other information and documents it files accordingly. Purchase cards can be used for micro-purchases if procedures are documented and approved by the non-Federal entity. </w:t>
            </w:r>
          </w:p>
          <w:p w14:paraId="4A91A02E" w14:textId="77777777" w:rsidR="00C1528E" w:rsidRPr="0049213F" w:rsidRDefault="00C1528E" w:rsidP="002B55BD">
            <w:pPr>
              <w:pStyle w:val="indent-3"/>
              <w:ind w:left="540"/>
            </w:pPr>
            <w:r w:rsidRPr="0049213F">
              <w:rPr>
                <w:rStyle w:val="paren"/>
              </w:rPr>
              <w:t>(</w:t>
            </w:r>
            <w:r w:rsidRPr="0049213F">
              <w:rPr>
                <w:rStyle w:val="paragraph-hierarchy"/>
              </w:rPr>
              <w:t>iii</w:t>
            </w:r>
            <w:r w:rsidRPr="0049213F">
              <w:rPr>
                <w:rStyle w:val="paren"/>
              </w:rPr>
              <w:t>)</w:t>
            </w:r>
            <w:r w:rsidRPr="0049213F">
              <w:t xml:space="preserve"> </w:t>
            </w:r>
            <w:r w:rsidRPr="0049213F">
              <w:rPr>
                <w:rStyle w:val="Emphasis"/>
                <w:b/>
                <w:bCs/>
              </w:rPr>
              <w:t>Micro-purchase thresholds.</w:t>
            </w:r>
            <w:r w:rsidRPr="0049213F">
              <w:t xml:space="preserve"> The non-Federal entity is responsible for determining and documenting an appropriate micro-purchase threshold based on internal controls, an evaluation of risk, and its documented procurement procedures. The micro-purchase threshold used by the non-Federal entity must be authorized or not prohibited under State, local, or tribal laws or regulations. Non-Federal entities may establish a threshold higher than the Federal threshold established in the Federal Acquisition Regulations (FAR) in accordance with </w:t>
            </w:r>
            <w:hyperlink r:id="rId31" w:anchor="p-200.320(a)(1)(iv)" w:history="1">
              <w:r w:rsidRPr="0049213F">
                <w:rPr>
                  <w:rStyle w:val="Hyperlink"/>
                </w:rPr>
                <w:t>paragraphs (a)(1)(iv)</w:t>
              </w:r>
            </w:hyperlink>
            <w:r w:rsidRPr="0049213F">
              <w:t xml:space="preserve"> and </w:t>
            </w:r>
            <w:hyperlink r:id="rId32" w:anchor="p-200.320(a)(1)(v)" w:history="1">
              <w:r w:rsidRPr="0049213F">
                <w:rPr>
                  <w:rStyle w:val="Hyperlink"/>
                </w:rPr>
                <w:t>(v)</w:t>
              </w:r>
            </w:hyperlink>
            <w:r w:rsidRPr="0049213F">
              <w:t xml:space="preserve"> of this section. </w:t>
            </w:r>
          </w:p>
          <w:p w14:paraId="4FBAD6E8" w14:textId="77777777" w:rsidR="00C1528E" w:rsidRPr="0049213F" w:rsidRDefault="00C1528E" w:rsidP="002B55BD">
            <w:pPr>
              <w:pStyle w:val="indent-3"/>
              <w:ind w:left="540"/>
            </w:pPr>
            <w:r w:rsidRPr="0049213F">
              <w:rPr>
                <w:rStyle w:val="paren"/>
              </w:rPr>
              <w:lastRenderedPageBreak/>
              <w:t>(</w:t>
            </w:r>
            <w:r w:rsidRPr="0049213F">
              <w:rPr>
                <w:rStyle w:val="paragraph-hierarchy"/>
              </w:rPr>
              <w:t>iv</w:t>
            </w:r>
            <w:r w:rsidRPr="0049213F">
              <w:rPr>
                <w:rStyle w:val="paren"/>
              </w:rPr>
              <w:t>)</w:t>
            </w:r>
            <w:r w:rsidRPr="0049213F">
              <w:t xml:space="preserve"> </w:t>
            </w:r>
            <w:r w:rsidRPr="0049213F">
              <w:rPr>
                <w:rStyle w:val="Emphasis"/>
                <w:b/>
                <w:bCs/>
              </w:rPr>
              <w:t>Non-Federal entity increase to the micro-purchase threshold up to $50,000.</w:t>
            </w:r>
            <w:r w:rsidRPr="0049213F">
              <w:t xml:space="preserve"> Non-Federal entities may establish a threshold higher than the micro-purchase threshold identified in the FAR in accordance with the requirements of this section. The non-Federal entity may self-certify a threshold up to $50,000 on an annual basis and must maintain documentation to be made available to the Federal awarding agency and auditors in accordance with </w:t>
            </w:r>
            <w:hyperlink r:id="rId33" w:history="1">
              <w:r w:rsidRPr="0049213F">
                <w:rPr>
                  <w:rStyle w:val="Hyperlink"/>
                </w:rPr>
                <w:t>§ 200.334</w:t>
              </w:r>
            </w:hyperlink>
            <w:r w:rsidRPr="0049213F">
              <w:t xml:space="preserve">. The self-certification must include a justification, clear identification of the threshold, and supporting documentation of any of the following: </w:t>
            </w:r>
          </w:p>
          <w:p w14:paraId="4DD36616" w14:textId="77777777" w:rsidR="00C1528E" w:rsidRPr="0049213F" w:rsidRDefault="00C1528E" w:rsidP="002B55BD">
            <w:pPr>
              <w:pStyle w:val="indent-4"/>
              <w:ind w:left="720"/>
            </w:pPr>
            <w:r w:rsidRPr="0049213F">
              <w:rPr>
                <w:rStyle w:val="paren"/>
              </w:rPr>
              <w:t>(</w:t>
            </w:r>
            <w:r w:rsidRPr="0049213F">
              <w:rPr>
                <w:rStyle w:val="paragraph-hierarchy"/>
              </w:rPr>
              <w:t>A</w:t>
            </w:r>
            <w:r w:rsidRPr="0049213F">
              <w:rPr>
                <w:rStyle w:val="paren"/>
              </w:rPr>
              <w:t>)</w:t>
            </w:r>
            <w:r w:rsidRPr="0049213F">
              <w:t xml:space="preserve"> A qualification as a low-risk auditee, in accordance with the criteria in </w:t>
            </w:r>
            <w:hyperlink r:id="rId34" w:history="1">
              <w:r w:rsidRPr="0049213F">
                <w:rPr>
                  <w:rStyle w:val="Hyperlink"/>
                </w:rPr>
                <w:t>§ 200.520</w:t>
              </w:r>
            </w:hyperlink>
            <w:r w:rsidRPr="0049213F">
              <w:t xml:space="preserve"> for the most recent audit; </w:t>
            </w:r>
          </w:p>
          <w:p w14:paraId="420031BC" w14:textId="77777777" w:rsidR="00C1528E" w:rsidRPr="0049213F" w:rsidRDefault="00C1528E" w:rsidP="002B55BD">
            <w:pPr>
              <w:pStyle w:val="indent-4"/>
              <w:ind w:left="720"/>
            </w:pPr>
            <w:r w:rsidRPr="0049213F">
              <w:rPr>
                <w:rStyle w:val="paren"/>
              </w:rPr>
              <w:t>(</w:t>
            </w:r>
            <w:r w:rsidRPr="0049213F">
              <w:rPr>
                <w:rStyle w:val="paragraph-hierarchy"/>
              </w:rPr>
              <w:t>B</w:t>
            </w:r>
            <w:r w:rsidRPr="0049213F">
              <w:rPr>
                <w:rStyle w:val="paren"/>
              </w:rPr>
              <w:t>)</w:t>
            </w:r>
            <w:r w:rsidRPr="0049213F">
              <w:t xml:space="preserve"> An annual internal institutional risk assessment to identify, mitigate, and manage financial risks; or, </w:t>
            </w:r>
          </w:p>
          <w:p w14:paraId="1C80C7AD" w14:textId="77777777" w:rsidR="00C1528E" w:rsidRPr="0049213F" w:rsidRDefault="00C1528E" w:rsidP="002B55BD">
            <w:pPr>
              <w:pStyle w:val="indent-4"/>
              <w:ind w:left="720"/>
            </w:pPr>
            <w:r w:rsidRPr="0049213F">
              <w:rPr>
                <w:rStyle w:val="paren"/>
              </w:rPr>
              <w:t>(</w:t>
            </w:r>
            <w:r w:rsidRPr="0049213F">
              <w:rPr>
                <w:rStyle w:val="paragraph-hierarchy"/>
              </w:rPr>
              <w:t>C</w:t>
            </w:r>
            <w:r w:rsidRPr="0049213F">
              <w:rPr>
                <w:rStyle w:val="paren"/>
              </w:rPr>
              <w:t>)</w:t>
            </w:r>
            <w:r w:rsidRPr="0049213F">
              <w:t xml:space="preserve"> For public institutions, a higher threshold consistent with State law. </w:t>
            </w:r>
          </w:p>
          <w:p w14:paraId="1378EB2D" w14:textId="77777777" w:rsidR="00C1528E" w:rsidRPr="0049213F" w:rsidRDefault="00C1528E" w:rsidP="002B55BD">
            <w:pPr>
              <w:pStyle w:val="indent-3"/>
              <w:ind w:left="540"/>
            </w:pPr>
            <w:r w:rsidRPr="0049213F">
              <w:rPr>
                <w:rStyle w:val="paren"/>
              </w:rPr>
              <w:t>(</w:t>
            </w:r>
            <w:r w:rsidRPr="0049213F">
              <w:rPr>
                <w:rStyle w:val="paragraph-hierarchy"/>
              </w:rPr>
              <w:t>v</w:t>
            </w:r>
            <w:r w:rsidRPr="0049213F">
              <w:rPr>
                <w:rStyle w:val="paren"/>
              </w:rPr>
              <w:t>)</w:t>
            </w:r>
            <w:r w:rsidRPr="0049213F">
              <w:t xml:space="preserve"> </w:t>
            </w:r>
            <w:r w:rsidRPr="0049213F">
              <w:rPr>
                <w:rStyle w:val="Emphasis"/>
                <w:b/>
                <w:bCs/>
              </w:rPr>
              <w:t>Non-Federal entity increase to the micro-purchase threshold over $50,000.</w:t>
            </w:r>
            <w:r w:rsidRPr="0049213F">
              <w:t xml:space="preserve"> Micro-purchase thresholds higher than $50,000 must be approved by the cognizant agency for indirect costs. The non-federal entity must submit a request with the requirements included in </w:t>
            </w:r>
            <w:hyperlink r:id="rId35" w:anchor="p-200.320(a)(1)(iv)" w:history="1">
              <w:r w:rsidRPr="0049213F">
                <w:rPr>
                  <w:rStyle w:val="Hyperlink"/>
                </w:rPr>
                <w:t>paragraph (a)(1)(iv)</w:t>
              </w:r>
            </w:hyperlink>
            <w:r w:rsidRPr="0049213F">
              <w:t xml:space="preserve"> of this section. The increased threshold is valid until there is a change in status in which the justification was approved. </w:t>
            </w:r>
          </w:p>
          <w:p w14:paraId="20E2E116" w14:textId="77777777" w:rsidR="00C1528E" w:rsidRPr="0049213F" w:rsidRDefault="00C1528E" w:rsidP="002B55BD">
            <w:pPr>
              <w:pStyle w:val="indent-2"/>
              <w:ind w:left="360"/>
            </w:pPr>
            <w:r w:rsidRPr="0049213F">
              <w:rPr>
                <w:rStyle w:val="paren"/>
              </w:rPr>
              <w:t>(</w:t>
            </w:r>
            <w:r w:rsidRPr="0049213F">
              <w:rPr>
                <w:rStyle w:val="paragraph-hierarchy"/>
              </w:rPr>
              <w:t>2</w:t>
            </w:r>
            <w:r w:rsidRPr="0049213F">
              <w:rPr>
                <w:rStyle w:val="paren"/>
              </w:rPr>
              <w:t>)</w:t>
            </w:r>
            <w:r w:rsidRPr="0049213F">
              <w:t xml:space="preserve"> </w:t>
            </w:r>
            <w:r w:rsidRPr="0049213F">
              <w:rPr>
                <w:rStyle w:val="Emphasis"/>
                <w:b/>
                <w:bCs/>
              </w:rPr>
              <w:t>Small purchases</w:t>
            </w:r>
            <w:r w:rsidRPr="0049213F">
              <w:t xml:space="preserve"> - </w:t>
            </w:r>
          </w:p>
          <w:p w14:paraId="3AE1C443" w14:textId="77777777" w:rsidR="00C1528E" w:rsidRPr="0049213F" w:rsidRDefault="00C1528E" w:rsidP="002B55BD">
            <w:pPr>
              <w:pStyle w:val="indent-3"/>
              <w:ind w:left="540"/>
            </w:pPr>
            <w:r w:rsidRPr="0049213F">
              <w:rPr>
                <w:rStyle w:val="paren"/>
              </w:rPr>
              <w:t>(</w:t>
            </w:r>
            <w:r w:rsidRPr="0049213F">
              <w:rPr>
                <w:rStyle w:val="paragraph-hierarchy"/>
              </w:rPr>
              <w:t>i</w:t>
            </w:r>
            <w:r w:rsidRPr="0049213F">
              <w:rPr>
                <w:rStyle w:val="paren"/>
              </w:rPr>
              <w:t>)</w:t>
            </w:r>
            <w:r w:rsidRPr="0049213F">
              <w:t xml:space="preserve"> </w:t>
            </w:r>
            <w:r w:rsidRPr="0049213F">
              <w:rPr>
                <w:rStyle w:val="Emphasis"/>
                <w:b/>
                <w:bCs/>
              </w:rPr>
              <w:t>Small purchase procedures.</w:t>
            </w:r>
            <w:r w:rsidRPr="0049213F">
              <w:t xml:space="preserve"> The acquisition of property or services, the aggregate dollar amount of which is higher than the micro-purchase threshold but does not exceed the simplified acquisition threshold. If small purchase procedures are used, price or rate quotations must be obtained from an adequate number of qualified sources as determined appropriate by the non-Federal entity. </w:t>
            </w:r>
          </w:p>
          <w:p w14:paraId="02330BD2" w14:textId="77777777" w:rsidR="00C1528E" w:rsidRPr="0049213F" w:rsidRDefault="00C1528E" w:rsidP="002B55BD">
            <w:pPr>
              <w:pStyle w:val="indent-3"/>
              <w:ind w:left="540"/>
            </w:pPr>
            <w:r w:rsidRPr="0049213F">
              <w:rPr>
                <w:rStyle w:val="paren"/>
              </w:rPr>
              <w:t>(</w:t>
            </w:r>
            <w:r w:rsidRPr="0049213F">
              <w:rPr>
                <w:rStyle w:val="paragraph-hierarchy"/>
              </w:rPr>
              <w:t>ii</w:t>
            </w:r>
            <w:r w:rsidRPr="0049213F">
              <w:rPr>
                <w:rStyle w:val="paren"/>
              </w:rPr>
              <w:t>)</w:t>
            </w:r>
            <w:r w:rsidRPr="0049213F">
              <w:t xml:space="preserve"> </w:t>
            </w:r>
            <w:r w:rsidRPr="0049213F">
              <w:rPr>
                <w:rStyle w:val="Emphasis"/>
                <w:b/>
                <w:bCs/>
              </w:rPr>
              <w:t>Simplified acquisition thresholds.</w:t>
            </w:r>
            <w:r w:rsidRPr="0049213F">
              <w:t xml:space="preserve"> The non-Federal entity is responsible for determining an appropriate simplified acquisition threshold based on internal controls, an evaluation of risk and its documented procurement procedures which must not exceed the threshold established in the FAR. When applicable, a lower simplified acquisition threshold used by the non-Federal entity must be authorized or not prohibited under State, local, or tribal laws or regulations. </w:t>
            </w:r>
          </w:p>
          <w:p w14:paraId="7B5923B8" w14:textId="77777777" w:rsidR="00C1528E" w:rsidRPr="0049213F" w:rsidRDefault="00C1528E" w:rsidP="002B55BD">
            <w:pPr>
              <w:pStyle w:val="indent-1"/>
              <w:ind w:left="180"/>
            </w:pPr>
            <w:r w:rsidRPr="0049213F">
              <w:rPr>
                <w:rStyle w:val="paren"/>
              </w:rPr>
              <w:t>(</w:t>
            </w:r>
            <w:r w:rsidRPr="0049213F">
              <w:rPr>
                <w:rStyle w:val="paragraph-hierarchy"/>
              </w:rPr>
              <w:t>b</w:t>
            </w:r>
            <w:r w:rsidRPr="0049213F">
              <w:rPr>
                <w:rStyle w:val="paren"/>
              </w:rPr>
              <w:t>)</w:t>
            </w:r>
            <w:r w:rsidRPr="0049213F">
              <w:t xml:space="preserve"> </w:t>
            </w:r>
            <w:r w:rsidRPr="0049213F">
              <w:rPr>
                <w:rStyle w:val="Emphasis"/>
                <w:b/>
                <w:bCs/>
              </w:rPr>
              <w:t>Formal procurement methods.</w:t>
            </w:r>
            <w:r w:rsidRPr="0049213F">
              <w:t xml:space="preserve"> When the value of the procurement for property or services under a Federal financial assistance award exceeds the SAT, or a lower threshold established by a non-Federal entity, formal procurement methods are required. Formal procurement methods require following documented procedures. Formal procurement methods also require public advertising unless a non-competitive procurement can be used in accordance with </w:t>
            </w:r>
            <w:hyperlink r:id="rId36" w:history="1">
              <w:r w:rsidRPr="0049213F">
                <w:rPr>
                  <w:rStyle w:val="Hyperlink"/>
                </w:rPr>
                <w:t>§ 200.319</w:t>
              </w:r>
            </w:hyperlink>
            <w:r w:rsidRPr="0049213F">
              <w:t xml:space="preserve"> or </w:t>
            </w:r>
            <w:hyperlink r:id="rId37" w:anchor="p-200.320(c)" w:history="1">
              <w:r w:rsidRPr="0049213F">
                <w:rPr>
                  <w:rStyle w:val="Hyperlink"/>
                </w:rPr>
                <w:t>paragraph (c)</w:t>
              </w:r>
            </w:hyperlink>
            <w:r w:rsidRPr="0049213F">
              <w:t xml:space="preserve"> of this section. The following formal methods of procurement are used for procurement of property or services above the simplified </w:t>
            </w:r>
            <w:r w:rsidRPr="0049213F">
              <w:lastRenderedPageBreak/>
              <w:t xml:space="preserve">acquisition threshold or a value below the simplified acquisition threshold the non-Federal entity determines to be appropriate: </w:t>
            </w:r>
          </w:p>
          <w:p w14:paraId="25BC3F09" w14:textId="77777777" w:rsidR="00C1528E" w:rsidRPr="0049213F" w:rsidRDefault="00C1528E" w:rsidP="002B55BD">
            <w:pPr>
              <w:pStyle w:val="indent-2"/>
              <w:ind w:left="360"/>
            </w:pPr>
            <w:r w:rsidRPr="0049213F">
              <w:rPr>
                <w:rStyle w:val="paren"/>
              </w:rPr>
              <w:t>(</w:t>
            </w:r>
            <w:r w:rsidRPr="0049213F">
              <w:rPr>
                <w:rStyle w:val="paragraph-hierarchy"/>
              </w:rPr>
              <w:t>1</w:t>
            </w:r>
            <w:r w:rsidRPr="0049213F">
              <w:rPr>
                <w:rStyle w:val="paren"/>
              </w:rPr>
              <w:t>)</w:t>
            </w:r>
            <w:r w:rsidRPr="0049213F">
              <w:t xml:space="preserve"> </w:t>
            </w:r>
            <w:r w:rsidRPr="0049213F">
              <w:rPr>
                <w:rStyle w:val="Emphasis"/>
                <w:b/>
                <w:bCs/>
              </w:rPr>
              <w:t>Sealed bids.</w:t>
            </w:r>
            <w:r w:rsidRPr="0049213F">
              <w:t xml:space="preserve"> A procurement method in which bids are publicly solicited and a firm fixed-price contract (lump sum or unit price) is awarded to the responsible bidder whose bid, conforming with all the material terms and conditions of the invitation for bids, is the lowest in price. The sealed bids method is the preferred method for procuring construction, if the conditions. </w:t>
            </w:r>
          </w:p>
          <w:p w14:paraId="41CB0A1F" w14:textId="77777777" w:rsidR="00C1528E" w:rsidRPr="0049213F" w:rsidRDefault="00C1528E" w:rsidP="002B55BD">
            <w:pPr>
              <w:pStyle w:val="indent-3"/>
              <w:ind w:left="540"/>
            </w:pPr>
            <w:r w:rsidRPr="0049213F">
              <w:rPr>
                <w:rStyle w:val="paren"/>
              </w:rPr>
              <w:t>(</w:t>
            </w:r>
            <w:r w:rsidRPr="0049213F">
              <w:rPr>
                <w:rStyle w:val="paragraph-hierarchy"/>
              </w:rPr>
              <w:t>i</w:t>
            </w:r>
            <w:r w:rsidRPr="0049213F">
              <w:rPr>
                <w:rStyle w:val="paren"/>
              </w:rPr>
              <w:t>)</w:t>
            </w:r>
            <w:r w:rsidRPr="0049213F">
              <w:t xml:space="preserve"> In order for sealed bidding to be feasible, the following conditions should be present: </w:t>
            </w:r>
          </w:p>
          <w:p w14:paraId="2550168A" w14:textId="77777777" w:rsidR="00C1528E" w:rsidRPr="0049213F" w:rsidRDefault="00C1528E" w:rsidP="002B55BD">
            <w:pPr>
              <w:pStyle w:val="indent-4"/>
              <w:ind w:left="720"/>
            </w:pPr>
            <w:r w:rsidRPr="0049213F">
              <w:rPr>
                <w:rStyle w:val="paren"/>
              </w:rPr>
              <w:t>(</w:t>
            </w:r>
            <w:r w:rsidRPr="0049213F">
              <w:rPr>
                <w:rStyle w:val="paragraph-hierarchy"/>
              </w:rPr>
              <w:t>A</w:t>
            </w:r>
            <w:r w:rsidRPr="0049213F">
              <w:rPr>
                <w:rStyle w:val="paren"/>
              </w:rPr>
              <w:t>)</w:t>
            </w:r>
            <w:r w:rsidRPr="0049213F">
              <w:t xml:space="preserve"> A complete, adequate, and realistic specification or purchase description is available; </w:t>
            </w:r>
          </w:p>
          <w:p w14:paraId="0C7D665B" w14:textId="77777777" w:rsidR="00C1528E" w:rsidRPr="0049213F" w:rsidRDefault="00C1528E" w:rsidP="002B55BD">
            <w:pPr>
              <w:pStyle w:val="indent-4"/>
              <w:ind w:left="720"/>
            </w:pPr>
            <w:r w:rsidRPr="0049213F">
              <w:rPr>
                <w:rStyle w:val="paren"/>
              </w:rPr>
              <w:t>(</w:t>
            </w:r>
            <w:r w:rsidRPr="0049213F">
              <w:rPr>
                <w:rStyle w:val="paragraph-hierarchy"/>
              </w:rPr>
              <w:t>B</w:t>
            </w:r>
            <w:r w:rsidRPr="0049213F">
              <w:rPr>
                <w:rStyle w:val="paren"/>
              </w:rPr>
              <w:t>)</w:t>
            </w:r>
            <w:r w:rsidRPr="0049213F">
              <w:t xml:space="preserve"> Two or more responsible bidders are willing and able to compete effectively for the business; and </w:t>
            </w:r>
          </w:p>
          <w:p w14:paraId="41CC69B4" w14:textId="77777777" w:rsidR="00C1528E" w:rsidRPr="0049213F" w:rsidRDefault="00C1528E" w:rsidP="002B55BD">
            <w:pPr>
              <w:pStyle w:val="indent-4"/>
              <w:ind w:left="720"/>
            </w:pPr>
            <w:r w:rsidRPr="0049213F">
              <w:rPr>
                <w:rStyle w:val="paren"/>
              </w:rPr>
              <w:t>(</w:t>
            </w:r>
            <w:r w:rsidRPr="0049213F">
              <w:rPr>
                <w:rStyle w:val="paragraph-hierarchy"/>
              </w:rPr>
              <w:t>C</w:t>
            </w:r>
            <w:r w:rsidRPr="0049213F">
              <w:rPr>
                <w:rStyle w:val="paren"/>
              </w:rPr>
              <w:t>)</w:t>
            </w:r>
            <w:r w:rsidRPr="0049213F">
              <w:t xml:space="preserve"> The procurement lends itself to a firm fixed price contract and the selection of the successful bidder can be made principally on the basis of price. </w:t>
            </w:r>
          </w:p>
          <w:p w14:paraId="5A000484" w14:textId="77777777" w:rsidR="00C1528E" w:rsidRPr="0049213F" w:rsidRDefault="00C1528E" w:rsidP="002B55BD">
            <w:pPr>
              <w:pStyle w:val="indent-3"/>
              <w:ind w:left="540"/>
            </w:pPr>
            <w:r w:rsidRPr="0049213F">
              <w:rPr>
                <w:rStyle w:val="paren"/>
              </w:rPr>
              <w:t>(</w:t>
            </w:r>
            <w:r w:rsidRPr="0049213F">
              <w:rPr>
                <w:rStyle w:val="paragraph-hierarchy"/>
              </w:rPr>
              <w:t>ii</w:t>
            </w:r>
            <w:r w:rsidRPr="0049213F">
              <w:rPr>
                <w:rStyle w:val="paren"/>
              </w:rPr>
              <w:t>)</w:t>
            </w:r>
            <w:r w:rsidRPr="0049213F">
              <w:t xml:space="preserve"> If sealed bids are used, the following requirements apply: </w:t>
            </w:r>
          </w:p>
          <w:p w14:paraId="4DBA2BE5" w14:textId="77777777" w:rsidR="00C1528E" w:rsidRPr="0049213F" w:rsidRDefault="00C1528E" w:rsidP="002B55BD">
            <w:pPr>
              <w:pStyle w:val="indent-4"/>
              <w:ind w:left="720"/>
            </w:pPr>
            <w:r w:rsidRPr="0049213F">
              <w:rPr>
                <w:rStyle w:val="paren"/>
              </w:rPr>
              <w:t>(</w:t>
            </w:r>
            <w:r w:rsidRPr="0049213F">
              <w:rPr>
                <w:rStyle w:val="paragraph-hierarchy"/>
              </w:rPr>
              <w:t>A</w:t>
            </w:r>
            <w:r w:rsidRPr="0049213F">
              <w:rPr>
                <w:rStyle w:val="paren"/>
              </w:rPr>
              <w:t>)</w:t>
            </w:r>
            <w:r w:rsidRPr="0049213F">
              <w:t xml:space="preserve"> Bids must be solicited from an adequate number of qualified sources, providing them sufficient response time prior to the date set for opening the bids, for local, and tribal governments, the invitation for bids must be publicly advertised; </w:t>
            </w:r>
          </w:p>
          <w:p w14:paraId="7A32D843" w14:textId="77777777" w:rsidR="00C1528E" w:rsidRPr="0049213F" w:rsidRDefault="00C1528E" w:rsidP="002B55BD">
            <w:pPr>
              <w:pStyle w:val="indent-4"/>
              <w:ind w:left="720"/>
            </w:pPr>
            <w:r w:rsidRPr="0049213F">
              <w:rPr>
                <w:rStyle w:val="paren"/>
              </w:rPr>
              <w:t>(</w:t>
            </w:r>
            <w:r w:rsidRPr="0049213F">
              <w:rPr>
                <w:rStyle w:val="paragraph-hierarchy"/>
              </w:rPr>
              <w:t>B</w:t>
            </w:r>
            <w:r w:rsidRPr="0049213F">
              <w:rPr>
                <w:rStyle w:val="paren"/>
              </w:rPr>
              <w:t>)</w:t>
            </w:r>
            <w:r w:rsidRPr="0049213F">
              <w:t xml:space="preserve"> The invitation for bids, which will include any specifications and pertinent attachments, must define the items or services in order for the bidder to properly respond; </w:t>
            </w:r>
          </w:p>
          <w:p w14:paraId="0B9F8E02" w14:textId="77777777" w:rsidR="00C1528E" w:rsidRPr="0049213F" w:rsidRDefault="00C1528E" w:rsidP="002B55BD">
            <w:pPr>
              <w:pStyle w:val="indent-4"/>
              <w:ind w:left="720"/>
            </w:pPr>
            <w:r w:rsidRPr="0049213F">
              <w:rPr>
                <w:rStyle w:val="paren"/>
              </w:rPr>
              <w:t>(</w:t>
            </w:r>
            <w:r w:rsidRPr="0049213F">
              <w:rPr>
                <w:rStyle w:val="paragraph-hierarchy"/>
              </w:rPr>
              <w:t>C</w:t>
            </w:r>
            <w:r w:rsidRPr="0049213F">
              <w:rPr>
                <w:rStyle w:val="paren"/>
              </w:rPr>
              <w:t>)</w:t>
            </w:r>
            <w:r w:rsidRPr="0049213F">
              <w:t xml:space="preserve"> All bids will be opened at the time and place prescribed in the invitation for bids, and for local and tribal governments, the bids must be opened publicly; </w:t>
            </w:r>
          </w:p>
          <w:p w14:paraId="0317AC63" w14:textId="77777777" w:rsidR="00C1528E" w:rsidRPr="0049213F" w:rsidRDefault="00C1528E" w:rsidP="002B55BD">
            <w:pPr>
              <w:pStyle w:val="indent-4"/>
              <w:ind w:left="720"/>
            </w:pPr>
            <w:r w:rsidRPr="0049213F">
              <w:rPr>
                <w:rStyle w:val="paren"/>
              </w:rPr>
              <w:t>(</w:t>
            </w:r>
            <w:r w:rsidRPr="0049213F">
              <w:rPr>
                <w:rStyle w:val="paragraph-hierarchy"/>
              </w:rPr>
              <w:t>D</w:t>
            </w:r>
            <w:r w:rsidRPr="0049213F">
              <w:rPr>
                <w:rStyle w:val="paren"/>
              </w:rPr>
              <w:t>)</w:t>
            </w:r>
            <w:r w:rsidRPr="0049213F">
              <w:t xml:space="preserve"> 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 </w:t>
            </w:r>
          </w:p>
          <w:p w14:paraId="3E3CF448" w14:textId="77777777" w:rsidR="00C1528E" w:rsidRPr="0049213F" w:rsidRDefault="00C1528E" w:rsidP="002B55BD">
            <w:pPr>
              <w:pStyle w:val="indent-4"/>
              <w:ind w:left="720"/>
            </w:pPr>
            <w:r w:rsidRPr="0049213F">
              <w:rPr>
                <w:rStyle w:val="paren"/>
              </w:rPr>
              <w:t>(</w:t>
            </w:r>
            <w:r w:rsidRPr="0049213F">
              <w:rPr>
                <w:rStyle w:val="paragraph-hierarchy"/>
              </w:rPr>
              <w:t>E</w:t>
            </w:r>
            <w:r w:rsidRPr="0049213F">
              <w:rPr>
                <w:rStyle w:val="paren"/>
              </w:rPr>
              <w:t>)</w:t>
            </w:r>
            <w:r w:rsidRPr="0049213F">
              <w:t xml:space="preserve"> Any or all bids may be rejected if there is a sound documented reason. </w:t>
            </w:r>
          </w:p>
          <w:p w14:paraId="43744F57" w14:textId="77777777" w:rsidR="00C1528E" w:rsidRPr="0049213F" w:rsidRDefault="00C1528E" w:rsidP="002B55BD">
            <w:pPr>
              <w:pStyle w:val="indent-2"/>
              <w:ind w:left="360"/>
            </w:pPr>
            <w:r w:rsidRPr="0049213F">
              <w:rPr>
                <w:rStyle w:val="paren"/>
              </w:rPr>
              <w:t>(</w:t>
            </w:r>
            <w:r w:rsidRPr="0049213F">
              <w:rPr>
                <w:rStyle w:val="paragraph-hierarchy"/>
              </w:rPr>
              <w:t>2</w:t>
            </w:r>
            <w:r w:rsidRPr="0049213F">
              <w:rPr>
                <w:rStyle w:val="paren"/>
              </w:rPr>
              <w:t>)</w:t>
            </w:r>
            <w:r w:rsidRPr="0049213F">
              <w:t xml:space="preserve"> </w:t>
            </w:r>
            <w:r w:rsidRPr="0049213F">
              <w:rPr>
                <w:rStyle w:val="Emphasis"/>
                <w:b/>
                <w:bCs/>
              </w:rPr>
              <w:t>Proposals.</w:t>
            </w:r>
            <w:r w:rsidRPr="0049213F">
              <w:t xml:space="preserve"> A procurement method in which either a fixed price or cost-reimbursement type contract is awarded. Proposals are generally used when conditions are not appropriate for the use of sealed bids. They are awarded in accordance with the following requirements: </w:t>
            </w:r>
          </w:p>
          <w:p w14:paraId="60149DA3" w14:textId="77777777" w:rsidR="00C1528E" w:rsidRPr="0049213F" w:rsidRDefault="00C1528E" w:rsidP="002B55BD">
            <w:pPr>
              <w:pStyle w:val="indent-3"/>
              <w:ind w:left="540"/>
            </w:pPr>
            <w:r w:rsidRPr="0049213F">
              <w:rPr>
                <w:rStyle w:val="paren"/>
              </w:rPr>
              <w:lastRenderedPageBreak/>
              <w:t>(</w:t>
            </w:r>
            <w:r w:rsidRPr="0049213F">
              <w:rPr>
                <w:rStyle w:val="paragraph-hierarchy"/>
              </w:rPr>
              <w:t>i</w:t>
            </w:r>
            <w:r w:rsidRPr="0049213F">
              <w:rPr>
                <w:rStyle w:val="paren"/>
              </w:rPr>
              <w:t>)</w:t>
            </w:r>
            <w:r w:rsidRPr="0049213F">
              <w:t xml:space="preserve"> Requests for proposals must be publicized and identify all evaluation factors and their relative importance. Proposals must be solicited from an adequate number of qualified offerors. Any response to publicized requests for proposals must be considered to the maximum extent practical;</w:t>
            </w:r>
          </w:p>
          <w:p w14:paraId="11F058AC" w14:textId="77777777" w:rsidR="00C1528E" w:rsidRPr="0049213F" w:rsidRDefault="00C1528E" w:rsidP="002B55BD">
            <w:pPr>
              <w:pStyle w:val="indent-3"/>
              <w:ind w:left="540"/>
            </w:pPr>
            <w:r w:rsidRPr="0049213F">
              <w:rPr>
                <w:rStyle w:val="paren"/>
              </w:rPr>
              <w:t>(</w:t>
            </w:r>
            <w:r w:rsidRPr="0049213F">
              <w:rPr>
                <w:rStyle w:val="paragraph-hierarchy"/>
              </w:rPr>
              <w:t>ii</w:t>
            </w:r>
            <w:r w:rsidRPr="0049213F">
              <w:rPr>
                <w:rStyle w:val="paren"/>
              </w:rPr>
              <w:t>)</w:t>
            </w:r>
            <w:r w:rsidRPr="0049213F">
              <w:t xml:space="preserve"> The non-Federal entity must have a written method for conducting technical evaluations of the proposals received and making selections; </w:t>
            </w:r>
          </w:p>
          <w:p w14:paraId="4C868BE3" w14:textId="77777777" w:rsidR="00C1528E" w:rsidRPr="0049213F" w:rsidRDefault="00C1528E" w:rsidP="002B55BD">
            <w:pPr>
              <w:pStyle w:val="indent-3"/>
              <w:ind w:left="540"/>
            </w:pPr>
            <w:r w:rsidRPr="0049213F">
              <w:rPr>
                <w:rStyle w:val="paren"/>
              </w:rPr>
              <w:t>(</w:t>
            </w:r>
            <w:r w:rsidRPr="0049213F">
              <w:rPr>
                <w:rStyle w:val="paragraph-hierarchy"/>
              </w:rPr>
              <w:t>iii</w:t>
            </w:r>
            <w:r w:rsidRPr="0049213F">
              <w:rPr>
                <w:rStyle w:val="paren"/>
              </w:rPr>
              <w:t>)</w:t>
            </w:r>
            <w:r w:rsidRPr="0049213F">
              <w:t xml:space="preserve"> Contracts must be awarded to the responsible offeror whose proposal is most advantageous to the non-Federal entity, with price and other factors considered; and </w:t>
            </w:r>
          </w:p>
          <w:p w14:paraId="60B14F4A" w14:textId="77777777" w:rsidR="00C1528E" w:rsidRPr="0049213F" w:rsidRDefault="00C1528E" w:rsidP="002B55BD">
            <w:pPr>
              <w:pStyle w:val="indent-3"/>
              <w:ind w:left="540"/>
            </w:pPr>
            <w:r w:rsidRPr="0049213F">
              <w:rPr>
                <w:rStyle w:val="paren"/>
              </w:rPr>
              <w:t>(</w:t>
            </w:r>
            <w:r w:rsidRPr="0049213F">
              <w:rPr>
                <w:rStyle w:val="paragraph-hierarchy"/>
              </w:rPr>
              <w:t>iv</w:t>
            </w:r>
            <w:r w:rsidRPr="0049213F">
              <w:rPr>
                <w:rStyle w:val="paren"/>
              </w:rPr>
              <w:t>)</w:t>
            </w:r>
            <w:r w:rsidRPr="0049213F">
              <w:t xml:space="preserve"> The non-Federal entity may use competitive proposal procedures for qualifications-based procurement of architectural/engineering (A/E) professional services whereby offeror's qualifications are evaluated and the most qualified offeror is selected, subject to negotiation of fair and reasonable compensation. The method, where price is not used as a selection factor, can only be used in procurement of A/E professional services. It cannot be used to purchase other types of services though A/E firms that are a potential source to perform the proposed effort. </w:t>
            </w:r>
          </w:p>
          <w:p w14:paraId="0D3BC332" w14:textId="77777777" w:rsidR="00C1528E" w:rsidRPr="0049213F" w:rsidRDefault="00C1528E" w:rsidP="002B55BD">
            <w:pPr>
              <w:pStyle w:val="indent-1"/>
              <w:ind w:left="180"/>
            </w:pPr>
            <w:r w:rsidRPr="0049213F">
              <w:rPr>
                <w:rStyle w:val="paren"/>
              </w:rPr>
              <w:t>(</w:t>
            </w:r>
            <w:r w:rsidRPr="0049213F">
              <w:rPr>
                <w:rStyle w:val="paragraph-hierarchy"/>
              </w:rPr>
              <w:t>c</w:t>
            </w:r>
            <w:r w:rsidRPr="0049213F">
              <w:rPr>
                <w:rStyle w:val="paren"/>
              </w:rPr>
              <w:t>)</w:t>
            </w:r>
            <w:r w:rsidRPr="0049213F">
              <w:t xml:space="preserve"> </w:t>
            </w:r>
            <w:r w:rsidRPr="0049213F">
              <w:rPr>
                <w:rStyle w:val="Emphasis"/>
                <w:b/>
                <w:bCs/>
              </w:rPr>
              <w:t>Noncompetitive procurement.</w:t>
            </w:r>
            <w:r w:rsidRPr="0049213F">
              <w:t xml:space="preserve"> There are specific circumstances in which noncompetitive procurement can be used. Noncompetitive procurement can only be awarded if one or more of the following circumstances apply: </w:t>
            </w:r>
          </w:p>
          <w:p w14:paraId="48BC0B90" w14:textId="77777777" w:rsidR="00C1528E" w:rsidRPr="0049213F" w:rsidRDefault="00C1528E" w:rsidP="002B55BD">
            <w:pPr>
              <w:pStyle w:val="indent-2"/>
              <w:ind w:left="360"/>
            </w:pPr>
            <w:r w:rsidRPr="0049213F">
              <w:rPr>
                <w:rStyle w:val="paren"/>
              </w:rPr>
              <w:t>(</w:t>
            </w:r>
            <w:r w:rsidRPr="0049213F">
              <w:rPr>
                <w:rStyle w:val="paragraph-hierarchy"/>
              </w:rPr>
              <w:t>1</w:t>
            </w:r>
            <w:r w:rsidRPr="0049213F">
              <w:rPr>
                <w:rStyle w:val="paren"/>
              </w:rPr>
              <w:t>)</w:t>
            </w:r>
            <w:r w:rsidRPr="0049213F">
              <w:t xml:space="preserve"> The acquisition of property or services, the aggregate dollar amount of which does not exceed the micro-purchase threshold (see </w:t>
            </w:r>
            <w:hyperlink r:id="rId38" w:anchor="p-200.320(a)(1)" w:history="1">
              <w:r w:rsidRPr="0049213F">
                <w:rPr>
                  <w:rStyle w:val="Hyperlink"/>
                </w:rPr>
                <w:t>paragraph (a)(1)</w:t>
              </w:r>
            </w:hyperlink>
            <w:r w:rsidRPr="0049213F">
              <w:t xml:space="preserve"> of this section); </w:t>
            </w:r>
          </w:p>
          <w:p w14:paraId="71146834" w14:textId="77777777" w:rsidR="00C1528E" w:rsidRPr="0049213F" w:rsidRDefault="00C1528E" w:rsidP="002B55BD">
            <w:pPr>
              <w:pStyle w:val="indent-2"/>
              <w:ind w:left="360"/>
            </w:pPr>
            <w:r w:rsidRPr="0049213F">
              <w:rPr>
                <w:rStyle w:val="paren"/>
              </w:rPr>
              <w:t>(</w:t>
            </w:r>
            <w:r w:rsidRPr="0049213F">
              <w:rPr>
                <w:rStyle w:val="paragraph-hierarchy"/>
              </w:rPr>
              <w:t>2</w:t>
            </w:r>
            <w:r w:rsidRPr="0049213F">
              <w:rPr>
                <w:rStyle w:val="paren"/>
              </w:rPr>
              <w:t>)</w:t>
            </w:r>
            <w:r w:rsidRPr="0049213F">
              <w:t xml:space="preserve"> The item is available only from a single source; </w:t>
            </w:r>
          </w:p>
          <w:p w14:paraId="36EE8B60" w14:textId="77777777" w:rsidR="00C1528E" w:rsidRPr="0049213F" w:rsidRDefault="00C1528E" w:rsidP="002B55BD">
            <w:pPr>
              <w:pStyle w:val="indent-2"/>
              <w:ind w:left="360"/>
            </w:pPr>
            <w:r w:rsidRPr="0049213F">
              <w:rPr>
                <w:rStyle w:val="paren"/>
              </w:rPr>
              <w:t>(</w:t>
            </w:r>
            <w:r w:rsidRPr="0049213F">
              <w:rPr>
                <w:rStyle w:val="paragraph-hierarchy"/>
              </w:rPr>
              <w:t>3</w:t>
            </w:r>
            <w:r w:rsidRPr="0049213F">
              <w:rPr>
                <w:rStyle w:val="paren"/>
              </w:rPr>
              <w:t>)</w:t>
            </w:r>
            <w:r w:rsidRPr="0049213F">
              <w:t xml:space="preserve"> The public exigency or emergency for the requirement will not permit a delay resulting from publicizing a competitive solicitation; </w:t>
            </w:r>
          </w:p>
          <w:p w14:paraId="7865BEB5" w14:textId="77777777" w:rsidR="00C1528E" w:rsidRPr="0049213F" w:rsidRDefault="00C1528E" w:rsidP="002B55BD">
            <w:pPr>
              <w:pStyle w:val="indent-2"/>
              <w:ind w:left="360"/>
            </w:pPr>
            <w:r w:rsidRPr="0049213F">
              <w:rPr>
                <w:rStyle w:val="paren"/>
              </w:rPr>
              <w:t>(</w:t>
            </w:r>
            <w:r w:rsidRPr="0049213F">
              <w:rPr>
                <w:rStyle w:val="paragraph-hierarchy"/>
              </w:rPr>
              <w:t>4</w:t>
            </w:r>
            <w:r w:rsidRPr="0049213F">
              <w:rPr>
                <w:rStyle w:val="paren"/>
              </w:rPr>
              <w:t>)</w:t>
            </w:r>
            <w:r w:rsidRPr="0049213F">
              <w:t xml:space="preserve"> The Federal awarding agency or pass-through entity expressly authorizes a noncompetitive procurement in response to a written request from the non-Federal entity; or </w:t>
            </w:r>
          </w:p>
          <w:p w14:paraId="725227FA" w14:textId="77777777" w:rsidR="00C1528E" w:rsidRPr="0049213F" w:rsidRDefault="00C1528E" w:rsidP="002B55BD">
            <w:pPr>
              <w:pStyle w:val="indent-2"/>
              <w:ind w:left="360"/>
            </w:pPr>
            <w:r w:rsidRPr="0049213F">
              <w:rPr>
                <w:rStyle w:val="paren"/>
              </w:rPr>
              <w:t>(</w:t>
            </w:r>
            <w:r w:rsidRPr="0049213F">
              <w:rPr>
                <w:rStyle w:val="paragraph-hierarchy"/>
              </w:rPr>
              <w:t>5</w:t>
            </w:r>
            <w:r w:rsidRPr="0049213F">
              <w:rPr>
                <w:rStyle w:val="paren"/>
              </w:rPr>
              <w:t>)</w:t>
            </w:r>
            <w:r w:rsidRPr="0049213F">
              <w:t xml:space="preserve"> After solicitation of a number of sources, competition is determined inadequate.</w:t>
            </w:r>
          </w:p>
          <w:p w14:paraId="54D49655" w14:textId="77777777" w:rsidR="00C1528E" w:rsidRPr="0049213F" w:rsidRDefault="00C1528E" w:rsidP="002B55BD">
            <w:pPr>
              <w:pStyle w:val="Heading2"/>
              <w:outlineLvl w:val="1"/>
              <w:rPr>
                <w:rFonts w:ascii="Times New Roman" w:hAnsi="Times New Roman" w:cs="Times New Roman"/>
                <w:b/>
                <w:bCs/>
                <w:color w:val="auto"/>
                <w:sz w:val="24"/>
                <w:szCs w:val="24"/>
                <w:u w:val="single"/>
              </w:rPr>
            </w:pPr>
            <w:r w:rsidRPr="0049213F">
              <w:rPr>
                <w:rFonts w:ascii="Times New Roman" w:hAnsi="Times New Roman" w:cs="Times New Roman"/>
                <w:b/>
                <w:bCs/>
                <w:color w:val="auto"/>
                <w:sz w:val="24"/>
                <w:szCs w:val="24"/>
                <w:u w:val="single"/>
              </w:rPr>
              <w:t xml:space="preserve">2 CFR </w:t>
            </w:r>
            <w:hyperlink r:id="rId39" w:history="1">
              <w:r w:rsidRPr="0049213F">
                <w:rPr>
                  <w:rStyle w:val="Hyperlink"/>
                  <w:rFonts w:ascii="Times New Roman" w:hAnsi="Times New Roman" w:cs="Times New Roman"/>
                  <w:b/>
                  <w:color w:val="auto"/>
                  <w:sz w:val="24"/>
                  <w:szCs w:val="24"/>
                </w:rPr>
                <w:t>§ 200.321 Contracting with small and minority businesses, women's business enterprises, and labor surplus area firms.</w:t>
              </w:r>
            </w:hyperlink>
          </w:p>
          <w:p w14:paraId="7A982619" w14:textId="77777777" w:rsidR="00C1528E" w:rsidRPr="0049213F" w:rsidRDefault="00C1528E" w:rsidP="002B55BD">
            <w:pPr>
              <w:pStyle w:val="indent-1"/>
              <w:ind w:left="180"/>
            </w:pPr>
            <w:r w:rsidRPr="0049213F">
              <w:rPr>
                <w:rStyle w:val="paren"/>
              </w:rPr>
              <w:t>(</w:t>
            </w:r>
            <w:r w:rsidRPr="0049213F">
              <w:rPr>
                <w:rStyle w:val="paragraph-hierarchy"/>
              </w:rPr>
              <w:t>a</w:t>
            </w:r>
            <w:r w:rsidRPr="0049213F">
              <w:rPr>
                <w:rStyle w:val="paren"/>
              </w:rPr>
              <w:t>)</w:t>
            </w:r>
            <w:r w:rsidRPr="0049213F">
              <w:t xml:space="preserve"> The non-Federal entity must take all necessary affirmative steps to assure that minority businesses, women's business enterprises, and labor surplus area firms are used when possible. </w:t>
            </w:r>
          </w:p>
          <w:p w14:paraId="39FA8A83" w14:textId="77777777" w:rsidR="00C1528E" w:rsidRPr="0049213F" w:rsidRDefault="00C1528E" w:rsidP="002B55BD">
            <w:pPr>
              <w:pStyle w:val="indent-1"/>
              <w:ind w:left="180"/>
            </w:pPr>
            <w:r w:rsidRPr="0049213F">
              <w:rPr>
                <w:rStyle w:val="paren"/>
              </w:rPr>
              <w:t>(</w:t>
            </w:r>
            <w:r w:rsidRPr="0049213F">
              <w:rPr>
                <w:rStyle w:val="paragraph-hierarchy"/>
              </w:rPr>
              <w:t>b</w:t>
            </w:r>
            <w:r w:rsidRPr="0049213F">
              <w:rPr>
                <w:rStyle w:val="paren"/>
              </w:rPr>
              <w:t>)</w:t>
            </w:r>
            <w:r w:rsidRPr="0049213F">
              <w:t xml:space="preserve"> Affirmative steps must include: </w:t>
            </w:r>
          </w:p>
          <w:p w14:paraId="5BA0A020" w14:textId="77777777" w:rsidR="00C1528E" w:rsidRPr="0049213F" w:rsidRDefault="00C1528E" w:rsidP="002B55BD">
            <w:pPr>
              <w:pStyle w:val="indent-2"/>
              <w:ind w:left="360"/>
            </w:pPr>
            <w:r w:rsidRPr="0049213F">
              <w:rPr>
                <w:rStyle w:val="paren"/>
              </w:rPr>
              <w:lastRenderedPageBreak/>
              <w:t>(</w:t>
            </w:r>
            <w:r w:rsidRPr="0049213F">
              <w:rPr>
                <w:rStyle w:val="paragraph-hierarchy"/>
              </w:rPr>
              <w:t>1</w:t>
            </w:r>
            <w:r w:rsidRPr="0049213F">
              <w:rPr>
                <w:rStyle w:val="paren"/>
              </w:rPr>
              <w:t>)</w:t>
            </w:r>
            <w:r w:rsidRPr="0049213F">
              <w:t xml:space="preserve"> Placing qualified small and minority businesses and women's business enterprises on solicitation lists; </w:t>
            </w:r>
          </w:p>
          <w:p w14:paraId="3C2BD1FA" w14:textId="77777777" w:rsidR="00C1528E" w:rsidRPr="0049213F" w:rsidRDefault="00C1528E" w:rsidP="002B55BD">
            <w:pPr>
              <w:pStyle w:val="indent-2"/>
              <w:ind w:left="360"/>
            </w:pPr>
            <w:r w:rsidRPr="0049213F">
              <w:rPr>
                <w:rStyle w:val="paren"/>
              </w:rPr>
              <w:t>(</w:t>
            </w:r>
            <w:r w:rsidRPr="0049213F">
              <w:rPr>
                <w:rStyle w:val="paragraph-hierarchy"/>
              </w:rPr>
              <w:t>2</w:t>
            </w:r>
            <w:r w:rsidRPr="0049213F">
              <w:rPr>
                <w:rStyle w:val="paren"/>
              </w:rPr>
              <w:t>)</w:t>
            </w:r>
            <w:r w:rsidRPr="0049213F">
              <w:t xml:space="preserve"> Assuring that small and minority businesses, and women's business enterprises are solicited whenever they are potential sources; </w:t>
            </w:r>
          </w:p>
          <w:p w14:paraId="7823424D" w14:textId="77777777" w:rsidR="00C1528E" w:rsidRPr="0049213F" w:rsidRDefault="00C1528E" w:rsidP="002B55BD">
            <w:pPr>
              <w:pStyle w:val="indent-2"/>
              <w:ind w:left="360"/>
            </w:pPr>
            <w:r w:rsidRPr="0049213F">
              <w:rPr>
                <w:rStyle w:val="paren"/>
              </w:rPr>
              <w:t>(</w:t>
            </w:r>
            <w:r w:rsidRPr="0049213F">
              <w:rPr>
                <w:rStyle w:val="paragraph-hierarchy"/>
              </w:rPr>
              <w:t>3</w:t>
            </w:r>
            <w:r w:rsidRPr="0049213F">
              <w:rPr>
                <w:rStyle w:val="paren"/>
              </w:rPr>
              <w:t>)</w:t>
            </w:r>
            <w:r w:rsidRPr="0049213F">
              <w:t xml:space="preserve"> Dividing total requirements, when economically feasible, into smaller tasks or quantities to permit maximum participation by small and minority businesses, and women's business enterprises; </w:t>
            </w:r>
          </w:p>
          <w:p w14:paraId="7BB3860B" w14:textId="77777777" w:rsidR="00C1528E" w:rsidRPr="0049213F" w:rsidRDefault="00C1528E" w:rsidP="002B55BD">
            <w:pPr>
              <w:pStyle w:val="indent-2"/>
              <w:ind w:left="360"/>
            </w:pPr>
            <w:r w:rsidRPr="0049213F">
              <w:rPr>
                <w:rStyle w:val="paren"/>
              </w:rPr>
              <w:t>(</w:t>
            </w:r>
            <w:r w:rsidRPr="0049213F">
              <w:rPr>
                <w:rStyle w:val="paragraph-hierarchy"/>
              </w:rPr>
              <w:t>4</w:t>
            </w:r>
            <w:r w:rsidRPr="0049213F">
              <w:rPr>
                <w:rStyle w:val="paren"/>
              </w:rPr>
              <w:t>)</w:t>
            </w:r>
            <w:r w:rsidRPr="0049213F">
              <w:t xml:space="preserve"> Establishing delivery schedules, where the requirement permits, which encourage participation by small and minority businesses, and women's business enterprises; </w:t>
            </w:r>
          </w:p>
          <w:p w14:paraId="312A60CA" w14:textId="77777777" w:rsidR="00C1528E" w:rsidRPr="0049213F" w:rsidRDefault="00C1528E" w:rsidP="002B55BD">
            <w:pPr>
              <w:pStyle w:val="indent-2"/>
              <w:ind w:left="360"/>
            </w:pPr>
            <w:r w:rsidRPr="0049213F">
              <w:rPr>
                <w:rStyle w:val="paren"/>
              </w:rPr>
              <w:t>(</w:t>
            </w:r>
            <w:r w:rsidRPr="0049213F">
              <w:rPr>
                <w:rStyle w:val="paragraph-hierarchy"/>
              </w:rPr>
              <w:t>5</w:t>
            </w:r>
            <w:r w:rsidRPr="0049213F">
              <w:rPr>
                <w:rStyle w:val="paren"/>
              </w:rPr>
              <w:t>)</w:t>
            </w:r>
            <w:r w:rsidRPr="0049213F">
              <w:t xml:space="preserve"> Using the services and assistance, as appropriate, of such organizations as the Small Business Administration and the Minority Business Development Agency of the Department of Commerce; and </w:t>
            </w:r>
          </w:p>
          <w:p w14:paraId="41CFE48C" w14:textId="77777777" w:rsidR="00C1528E" w:rsidRPr="0049213F" w:rsidRDefault="00C1528E" w:rsidP="002B55BD">
            <w:pPr>
              <w:pStyle w:val="indent-2"/>
              <w:ind w:left="360"/>
            </w:pPr>
            <w:r w:rsidRPr="0049213F">
              <w:rPr>
                <w:rStyle w:val="paren"/>
              </w:rPr>
              <w:t>(</w:t>
            </w:r>
            <w:r w:rsidRPr="0049213F">
              <w:rPr>
                <w:rStyle w:val="paragraph-hierarchy"/>
              </w:rPr>
              <w:t>6</w:t>
            </w:r>
            <w:r w:rsidRPr="0049213F">
              <w:rPr>
                <w:rStyle w:val="paren"/>
              </w:rPr>
              <w:t>)</w:t>
            </w:r>
            <w:r w:rsidRPr="0049213F">
              <w:t xml:space="preserve"> Requiring the prime contractor, if subcontracts are to be let, to take the affirmative steps listed in </w:t>
            </w:r>
            <w:hyperlink r:id="rId40" w:anchor="p-200.321(b)(1)" w:history="1">
              <w:r w:rsidRPr="0049213F">
                <w:rPr>
                  <w:rStyle w:val="Hyperlink"/>
                </w:rPr>
                <w:t>paragraphs (b)(1)</w:t>
              </w:r>
            </w:hyperlink>
            <w:r w:rsidRPr="0049213F">
              <w:t xml:space="preserve"> through </w:t>
            </w:r>
            <w:hyperlink r:id="rId41" w:anchor="p-200.321(b)(5)" w:history="1">
              <w:r w:rsidRPr="0049213F">
                <w:rPr>
                  <w:rStyle w:val="Hyperlink"/>
                </w:rPr>
                <w:t>(5)</w:t>
              </w:r>
            </w:hyperlink>
            <w:r w:rsidRPr="0049213F">
              <w:t xml:space="preserve"> of this section.</w:t>
            </w:r>
          </w:p>
          <w:p w14:paraId="5F7FAD6B" w14:textId="77777777" w:rsidR="00C1528E" w:rsidRPr="0049213F" w:rsidRDefault="00C1528E" w:rsidP="002B55BD">
            <w:pPr>
              <w:pStyle w:val="Heading2"/>
              <w:outlineLvl w:val="1"/>
              <w:rPr>
                <w:rFonts w:ascii="Times New Roman" w:hAnsi="Times New Roman" w:cs="Times New Roman"/>
                <w:b/>
                <w:bCs/>
                <w:color w:val="auto"/>
                <w:sz w:val="24"/>
                <w:szCs w:val="24"/>
                <w:u w:val="single"/>
              </w:rPr>
            </w:pPr>
            <w:r w:rsidRPr="0049213F">
              <w:rPr>
                <w:rFonts w:ascii="Times New Roman" w:hAnsi="Times New Roman" w:cs="Times New Roman"/>
                <w:b/>
                <w:bCs/>
                <w:color w:val="auto"/>
                <w:sz w:val="24"/>
                <w:szCs w:val="24"/>
                <w:u w:val="single"/>
              </w:rPr>
              <w:t xml:space="preserve">2 CFR </w:t>
            </w:r>
            <w:hyperlink r:id="rId42" w:history="1">
              <w:r w:rsidRPr="0049213F">
                <w:rPr>
                  <w:rStyle w:val="Hyperlink"/>
                  <w:rFonts w:ascii="Times New Roman" w:hAnsi="Times New Roman" w:cs="Times New Roman"/>
                  <w:b/>
                  <w:color w:val="auto"/>
                  <w:sz w:val="24"/>
                  <w:szCs w:val="24"/>
                </w:rPr>
                <w:t>§ 200.322 Domestic preferences for procurements.</w:t>
              </w:r>
            </w:hyperlink>
          </w:p>
          <w:p w14:paraId="402CC48D" w14:textId="77777777" w:rsidR="00C1528E" w:rsidRPr="0049213F" w:rsidRDefault="00C1528E" w:rsidP="002B55BD">
            <w:pPr>
              <w:pStyle w:val="indent-1"/>
              <w:ind w:left="180"/>
            </w:pPr>
            <w:r w:rsidRPr="0049213F">
              <w:rPr>
                <w:rStyle w:val="paren"/>
              </w:rPr>
              <w:t>(</w:t>
            </w:r>
            <w:r w:rsidRPr="0049213F">
              <w:rPr>
                <w:rStyle w:val="paragraph-hierarchy"/>
              </w:rPr>
              <w:t>a</w:t>
            </w:r>
            <w:r w:rsidRPr="0049213F">
              <w:rPr>
                <w:rStyle w:val="paren"/>
              </w:rPr>
              <w:t>)</w:t>
            </w:r>
            <w:r w:rsidRPr="0049213F">
              <w:t xml:space="preserve"> 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107D3788" w14:textId="77777777" w:rsidR="00C1528E" w:rsidRPr="0049213F" w:rsidRDefault="00C1528E" w:rsidP="002B55BD">
            <w:pPr>
              <w:pStyle w:val="indent-1"/>
              <w:ind w:left="180"/>
            </w:pPr>
            <w:r w:rsidRPr="0049213F">
              <w:rPr>
                <w:rStyle w:val="paren"/>
              </w:rPr>
              <w:t>(</w:t>
            </w:r>
            <w:r w:rsidRPr="0049213F">
              <w:rPr>
                <w:rStyle w:val="paragraph-hierarchy"/>
              </w:rPr>
              <w:t>b</w:t>
            </w:r>
            <w:r w:rsidRPr="0049213F">
              <w:rPr>
                <w:rStyle w:val="paren"/>
              </w:rPr>
              <w:t>)</w:t>
            </w:r>
            <w:r w:rsidRPr="0049213F">
              <w:t xml:space="preserve"> For purposes of this section: </w:t>
            </w:r>
          </w:p>
          <w:p w14:paraId="2EC81BDF" w14:textId="77777777" w:rsidR="00C1528E" w:rsidRPr="0049213F" w:rsidRDefault="00C1528E" w:rsidP="002B55BD">
            <w:pPr>
              <w:pStyle w:val="indent-2"/>
              <w:ind w:left="360"/>
            </w:pPr>
            <w:r w:rsidRPr="0049213F">
              <w:rPr>
                <w:rStyle w:val="paren"/>
              </w:rPr>
              <w:t>(</w:t>
            </w:r>
            <w:r w:rsidRPr="0049213F">
              <w:rPr>
                <w:rStyle w:val="paragraph-hierarchy"/>
              </w:rPr>
              <w:t>1</w:t>
            </w:r>
            <w:r w:rsidRPr="0049213F">
              <w:rPr>
                <w:rStyle w:val="paren"/>
              </w:rPr>
              <w:t>)</w:t>
            </w:r>
            <w:r w:rsidRPr="0049213F">
              <w:t xml:space="preserve"> “Produced in the United States” means, for iron and steel products, that all manufacturing processes, from the initial melting stage through the application of coatings, occurred in the United States. </w:t>
            </w:r>
          </w:p>
          <w:p w14:paraId="4DE20E15" w14:textId="77777777" w:rsidR="00C1528E" w:rsidRPr="0049213F" w:rsidRDefault="00C1528E" w:rsidP="002B55BD">
            <w:pPr>
              <w:pStyle w:val="indent-2"/>
              <w:ind w:left="360"/>
            </w:pPr>
            <w:r w:rsidRPr="0049213F">
              <w:rPr>
                <w:rStyle w:val="paren"/>
              </w:rPr>
              <w:t>(</w:t>
            </w:r>
            <w:r w:rsidRPr="0049213F">
              <w:rPr>
                <w:rStyle w:val="paragraph-hierarchy"/>
              </w:rPr>
              <w:t>2</w:t>
            </w:r>
            <w:r w:rsidRPr="0049213F">
              <w:rPr>
                <w:rStyle w:val="paren"/>
              </w:rPr>
              <w:t>)</w:t>
            </w:r>
            <w:r w:rsidRPr="0049213F">
              <w:t xml:space="preserve">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74430DD3" w14:textId="77777777" w:rsidR="00C1528E" w:rsidRPr="0049213F" w:rsidRDefault="00C1528E" w:rsidP="002B55BD">
            <w:pPr>
              <w:pStyle w:val="Heading2"/>
              <w:outlineLvl w:val="1"/>
              <w:rPr>
                <w:rFonts w:ascii="Times New Roman" w:hAnsi="Times New Roman" w:cs="Times New Roman"/>
                <w:b/>
                <w:bCs/>
                <w:color w:val="auto"/>
                <w:sz w:val="24"/>
                <w:szCs w:val="24"/>
                <w:u w:val="single"/>
              </w:rPr>
            </w:pPr>
            <w:r w:rsidRPr="0049213F">
              <w:rPr>
                <w:rFonts w:ascii="Times New Roman" w:hAnsi="Times New Roman" w:cs="Times New Roman"/>
                <w:b/>
                <w:bCs/>
                <w:color w:val="auto"/>
                <w:sz w:val="24"/>
                <w:szCs w:val="24"/>
                <w:u w:val="single"/>
              </w:rPr>
              <w:t xml:space="preserve">2 CFR </w:t>
            </w:r>
            <w:hyperlink r:id="rId43" w:history="1">
              <w:r w:rsidRPr="0049213F">
                <w:rPr>
                  <w:rStyle w:val="Hyperlink"/>
                  <w:rFonts w:ascii="Times New Roman" w:hAnsi="Times New Roman" w:cs="Times New Roman"/>
                  <w:b/>
                  <w:color w:val="auto"/>
                  <w:sz w:val="24"/>
                  <w:szCs w:val="24"/>
                </w:rPr>
                <w:t>§ 200.323 Procurement of recovered materials.</w:t>
              </w:r>
            </w:hyperlink>
          </w:p>
          <w:p w14:paraId="4B763B75" w14:textId="77777777" w:rsidR="00C1528E" w:rsidRPr="0049213F" w:rsidRDefault="00C1528E" w:rsidP="002B55BD">
            <w:pPr>
              <w:pStyle w:val="NormalWeb"/>
            </w:pPr>
            <w:r w:rsidRPr="0049213F">
              <w:t xml:space="preserve">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w:t>
            </w:r>
            <w:r w:rsidRPr="0049213F">
              <w:lastRenderedPageBreak/>
              <w:t xml:space="preserve">at </w:t>
            </w:r>
            <w:hyperlink r:id="rId44" w:history="1">
              <w:r w:rsidRPr="0049213F">
                <w:rPr>
                  <w:rStyle w:val="Hyperlink"/>
                </w:rPr>
                <w:t>40 CFR part 247</w:t>
              </w:r>
            </w:hyperlink>
            <w:r w:rsidRPr="0049213F">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11D3CF40" w14:textId="77777777" w:rsidR="00C1528E" w:rsidRPr="0049213F" w:rsidRDefault="00C1528E" w:rsidP="002B55BD">
            <w:pPr>
              <w:pStyle w:val="Heading2"/>
              <w:outlineLvl w:val="1"/>
              <w:rPr>
                <w:rFonts w:ascii="Times New Roman" w:hAnsi="Times New Roman" w:cs="Times New Roman"/>
                <w:b/>
                <w:bCs/>
                <w:color w:val="auto"/>
                <w:sz w:val="24"/>
                <w:szCs w:val="24"/>
                <w:u w:val="single"/>
              </w:rPr>
            </w:pPr>
            <w:r w:rsidRPr="0049213F">
              <w:rPr>
                <w:rFonts w:ascii="Times New Roman" w:hAnsi="Times New Roman" w:cs="Times New Roman"/>
                <w:b/>
                <w:bCs/>
                <w:color w:val="auto"/>
                <w:sz w:val="24"/>
                <w:szCs w:val="24"/>
                <w:u w:val="single"/>
              </w:rPr>
              <w:t xml:space="preserve">2 CFR </w:t>
            </w:r>
            <w:hyperlink r:id="rId45" w:history="1">
              <w:r w:rsidRPr="0049213F">
                <w:rPr>
                  <w:rStyle w:val="Hyperlink"/>
                  <w:rFonts w:ascii="Times New Roman" w:hAnsi="Times New Roman" w:cs="Times New Roman"/>
                  <w:b/>
                  <w:color w:val="auto"/>
                  <w:sz w:val="24"/>
                  <w:szCs w:val="24"/>
                </w:rPr>
                <w:t>§ 200.324 Contract cost and price.</w:t>
              </w:r>
            </w:hyperlink>
          </w:p>
          <w:p w14:paraId="05C27244" w14:textId="77777777" w:rsidR="00C1528E" w:rsidRPr="0049213F" w:rsidRDefault="00C1528E" w:rsidP="002B55BD">
            <w:pPr>
              <w:pStyle w:val="indent-1"/>
              <w:ind w:left="180"/>
            </w:pPr>
            <w:r w:rsidRPr="0049213F">
              <w:rPr>
                <w:rStyle w:val="paren"/>
              </w:rPr>
              <w:t>(</w:t>
            </w:r>
            <w:r w:rsidRPr="0049213F">
              <w:rPr>
                <w:rStyle w:val="paragraph-hierarchy"/>
              </w:rPr>
              <w:t>a</w:t>
            </w:r>
            <w:r w:rsidRPr="0049213F">
              <w:rPr>
                <w:rStyle w:val="paren"/>
              </w:rPr>
              <w:t>)</w:t>
            </w:r>
            <w:r w:rsidRPr="0049213F">
              <w:t xml:space="preserve"> The non-Federal entity must 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the non-Federal entity must make independent estimates before receiving bids or proposals. </w:t>
            </w:r>
          </w:p>
          <w:p w14:paraId="0FA64E08" w14:textId="77777777" w:rsidR="00C1528E" w:rsidRPr="0049213F" w:rsidRDefault="00C1528E" w:rsidP="002B55BD">
            <w:pPr>
              <w:pStyle w:val="indent-1"/>
              <w:ind w:left="180"/>
            </w:pPr>
            <w:r w:rsidRPr="0049213F">
              <w:rPr>
                <w:rStyle w:val="paren"/>
              </w:rPr>
              <w:t>(</w:t>
            </w:r>
            <w:r w:rsidRPr="0049213F">
              <w:rPr>
                <w:rStyle w:val="paragraph-hierarchy"/>
              </w:rPr>
              <w:t>b</w:t>
            </w:r>
            <w:r w:rsidRPr="0049213F">
              <w:rPr>
                <w:rStyle w:val="paren"/>
              </w:rPr>
              <w:t>)</w:t>
            </w:r>
            <w:r w:rsidRPr="0049213F">
              <w:t xml:space="preserve"> The non-Federal entity must 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 </w:t>
            </w:r>
          </w:p>
          <w:p w14:paraId="7A0C4CA3" w14:textId="77777777" w:rsidR="00C1528E" w:rsidRPr="0049213F" w:rsidRDefault="00C1528E" w:rsidP="002B55BD">
            <w:pPr>
              <w:pStyle w:val="indent-1"/>
              <w:ind w:left="180"/>
            </w:pPr>
            <w:r w:rsidRPr="0049213F">
              <w:rPr>
                <w:rStyle w:val="paren"/>
              </w:rPr>
              <w:t>(</w:t>
            </w:r>
            <w:r w:rsidRPr="0049213F">
              <w:rPr>
                <w:rStyle w:val="paragraph-hierarchy"/>
              </w:rPr>
              <w:t>c</w:t>
            </w:r>
            <w:r w:rsidRPr="0049213F">
              <w:rPr>
                <w:rStyle w:val="paren"/>
              </w:rPr>
              <w:t>)</w:t>
            </w:r>
            <w:r w:rsidRPr="0049213F">
              <w:t xml:space="preserve"> Costs or prices based on estimated costs for contracts under the Federal award are allowable only to the extent that costs incurred or cost estimates included in negotiated prices would be allowable for the non-Federal entity under </w:t>
            </w:r>
            <w:hyperlink r:id="rId46" w:history="1">
              <w:r w:rsidRPr="0049213F">
                <w:rPr>
                  <w:rStyle w:val="Hyperlink"/>
                </w:rPr>
                <w:t>subpart E of this part</w:t>
              </w:r>
            </w:hyperlink>
            <w:r w:rsidRPr="0049213F">
              <w:t xml:space="preserve">. The non-Federal entity may reference its own cost principles that comply with the Federal cost principles. </w:t>
            </w:r>
          </w:p>
          <w:p w14:paraId="44E51136" w14:textId="77777777" w:rsidR="00C1528E" w:rsidRPr="0049213F" w:rsidRDefault="00C1528E" w:rsidP="002B55BD">
            <w:pPr>
              <w:pStyle w:val="indent-1"/>
              <w:ind w:left="180"/>
            </w:pPr>
            <w:r w:rsidRPr="0049213F">
              <w:rPr>
                <w:rStyle w:val="paren"/>
              </w:rPr>
              <w:t>(</w:t>
            </w:r>
            <w:r w:rsidRPr="0049213F">
              <w:rPr>
                <w:rStyle w:val="paragraph-hierarchy"/>
              </w:rPr>
              <w:t>d</w:t>
            </w:r>
            <w:r w:rsidRPr="0049213F">
              <w:rPr>
                <w:rStyle w:val="paren"/>
              </w:rPr>
              <w:t>)</w:t>
            </w:r>
            <w:r w:rsidRPr="0049213F">
              <w:t xml:space="preserve"> The cost plus a percentage of cost and percentage of construction cost methods of contracting must not be used.</w:t>
            </w:r>
          </w:p>
          <w:p w14:paraId="22D2122C" w14:textId="77777777" w:rsidR="00C1528E" w:rsidRPr="0049213F" w:rsidRDefault="00C1528E" w:rsidP="002B55BD">
            <w:pPr>
              <w:pStyle w:val="Heading2"/>
              <w:outlineLvl w:val="1"/>
              <w:rPr>
                <w:rFonts w:ascii="Times New Roman" w:hAnsi="Times New Roman" w:cs="Times New Roman"/>
                <w:b/>
                <w:bCs/>
                <w:color w:val="auto"/>
                <w:sz w:val="24"/>
                <w:szCs w:val="24"/>
                <w:u w:val="single"/>
              </w:rPr>
            </w:pPr>
            <w:r w:rsidRPr="0049213F">
              <w:rPr>
                <w:rFonts w:ascii="Times New Roman" w:hAnsi="Times New Roman" w:cs="Times New Roman"/>
                <w:b/>
                <w:bCs/>
                <w:color w:val="auto"/>
                <w:sz w:val="24"/>
                <w:szCs w:val="24"/>
                <w:u w:val="single"/>
              </w:rPr>
              <w:t xml:space="preserve">2 CFR </w:t>
            </w:r>
            <w:hyperlink r:id="rId47" w:history="1">
              <w:r w:rsidRPr="0049213F">
                <w:rPr>
                  <w:rStyle w:val="Hyperlink"/>
                  <w:rFonts w:ascii="Times New Roman" w:hAnsi="Times New Roman" w:cs="Times New Roman"/>
                  <w:b/>
                  <w:color w:val="auto"/>
                  <w:sz w:val="24"/>
                  <w:szCs w:val="24"/>
                </w:rPr>
                <w:t>§ 200.325 Federal awarding agency or pass-through entity review.</w:t>
              </w:r>
            </w:hyperlink>
          </w:p>
          <w:p w14:paraId="700FD562" w14:textId="77777777" w:rsidR="00C1528E" w:rsidRPr="0049213F" w:rsidRDefault="00C1528E" w:rsidP="002B55BD">
            <w:pPr>
              <w:pStyle w:val="indent-1"/>
              <w:ind w:left="180"/>
            </w:pPr>
            <w:r w:rsidRPr="0049213F">
              <w:rPr>
                <w:rStyle w:val="paren"/>
              </w:rPr>
              <w:t>(</w:t>
            </w:r>
            <w:r w:rsidRPr="0049213F">
              <w:rPr>
                <w:rStyle w:val="paragraph-hierarchy"/>
              </w:rPr>
              <w:t>a</w:t>
            </w:r>
            <w:r w:rsidRPr="0049213F">
              <w:rPr>
                <w:rStyle w:val="paren"/>
              </w:rPr>
              <w:t>)</w:t>
            </w:r>
            <w:r w:rsidRPr="0049213F">
              <w:t xml:space="preserve"> The non-Federal entity must make available, upon request of the Federal awarding agency or pass-through entity, technical specifications on proposed procurements where the Federal awarding agency or pass-through entity believes such review is needed to ensure that the item or service specified is the one being proposed for acquisition. This review generally will take place prior to the time the specification is incorporated into a solicitation document. However, if the non-Federal entity desires to have the review accomplished after a solicitation has been developed, the Federal awarding agency or pass-through entity may still review the specifications, with such review usually limited to the technical aspects of the proposed purchase. </w:t>
            </w:r>
          </w:p>
          <w:p w14:paraId="2A7A01AC" w14:textId="77777777" w:rsidR="00C1528E" w:rsidRPr="0049213F" w:rsidRDefault="00C1528E" w:rsidP="002B55BD">
            <w:pPr>
              <w:pStyle w:val="indent-1"/>
              <w:ind w:left="180"/>
            </w:pPr>
            <w:r w:rsidRPr="0049213F">
              <w:rPr>
                <w:rStyle w:val="paren"/>
              </w:rPr>
              <w:lastRenderedPageBreak/>
              <w:t>(</w:t>
            </w:r>
            <w:r w:rsidRPr="0049213F">
              <w:rPr>
                <w:rStyle w:val="paragraph-hierarchy"/>
              </w:rPr>
              <w:t>b</w:t>
            </w:r>
            <w:r w:rsidRPr="0049213F">
              <w:rPr>
                <w:rStyle w:val="paren"/>
              </w:rPr>
              <w:t>)</w:t>
            </w:r>
            <w:r w:rsidRPr="0049213F">
              <w:t xml:space="preserve"> The non-Federal entity must make available upon request, for the Federal awarding agency or pass-through entity pre-procurement review, procurement documents, such as requests for proposals or invitations for bids, or independent cost estimates, when: </w:t>
            </w:r>
          </w:p>
          <w:p w14:paraId="259EDAB5" w14:textId="77777777" w:rsidR="00C1528E" w:rsidRPr="0049213F" w:rsidRDefault="00C1528E" w:rsidP="002B55BD">
            <w:pPr>
              <w:pStyle w:val="indent-2"/>
              <w:ind w:left="360"/>
            </w:pPr>
            <w:r w:rsidRPr="0049213F">
              <w:rPr>
                <w:rStyle w:val="paren"/>
              </w:rPr>
              <w:t>(</w:t>
            </w:r>
            <w:r w:rsidRPr="0049213F">
              <w:rPr>
                <w:rStyle w:val="paragraph-hierarchy"/>
              </w:rPr>
              <w:t>1</w:t>
            </w:r>
            <w:r w:rsidRPr="0049213F">
              <w:rPr>
                <w:rStyle w:val="paren"/>
              </w:rPr>
              <w:t>)</w:t>
            </w:r>
            <w:r w:rsidRPr="0049213F">
              <w:t xml:space="preserve"> The non-Federal entity's procurement procedures or operation fails to comply with the procurement standards in this part; </w:t>
            </w:r>
          </w:p>
          <w:p w14:paraId="5A392692" w14:textId="77777777" w:rsidR="00C1528E" w:rsidRPr="0049213F" w:rsidRDefault="00C1528E" w:rsidP="002B55BD">
            <w:pPr>
              <w:pStyle w:val="indent-2"/>
              <w:ind w:left="360"/>
            </w:pPr>
            <w:r w:rsidRPr="0049213F">
              <w:rPr>
                <w:rStyle w:val="paren"/>
              </w:rPr>
              <w:t>(</w:t>
            </w:r>
            <w:r w:rsidRPr="0049213F">
              <w:rPr>
                <w:rStyle w:val="paragraph-hierarchy"/>
              </w:rPr>
              <w:t>2</w:t>
            </w:r>
            <w:r w:rsidRPr="0049213F">
              <w:rPr>
                <w:rStyle w:val="paren"/>
              </w:rPr>
              <w:t>)</w:t>
            </w:r>
            <w:r w:rsidRPr="0049213F">
              <w:t xml:space="preserve"> The procurement is expected to exceed the Simplified Acquisition Threshold and is to be awarded without competition or only one bid or offer is received in response to a solicitation; </w:t>
            </w:r>
          </w:p>
          <w:p w14:paraId="5D89A08E" w14:textId="77777777" w:rsidR="00C1528E" w:rsidRPr="0049213F" w:rsidRDefault="00C1528E" w:rsidP="002B55BD">
            <w:pPr>
              <w:pStyle w:val="indent-2"/>
              <w:ind w:left="360"/>
            </w:pPr>
            <w:r w:rsidRPr="0049213F">
              <w:rPr>
                <w:rStyle w:val="paren"/>
              </w:rPr>
              <w:t>(</w:t>
            </w:r>
            <w:r w:rsidRPr="0049213F">
              <w:rPr>
                <w:rStyle w:val="paragraph-hierarchy"/>
              </w:rPr>
              <w:t>3</w:t>
            </w:r>
            <w:r w:rsidRPr="0049213F">
              <w:rPr>
                <w:rStyle w:val="paren"/>
              </w:rPr>
              <w:t>)</w:t>
            </w:r>
            <w:r w:rsidRPr="0049213F">
              <w:t xml:space="preserve"> The procurement, which is expected to exceed the Simplified Acquisition Threshold, specifies a “brand name” product; </w:t>
            </w:r>
          </w:p>
          <w:p w14:paraId="03E1488C" w14:textId="77777777" w:rsidR="00C1528E" w:rsidRPr="0049213F" w:rsidRDefault="00C1528E" w:rsidP="002B55BD">
            <w:pPr>
              <w:pStyle w:val="indent-2"/>
              <w:ind w:left="360"/>
            </w:pPr>
            <w:r w:rsidRPr="0049213F">
              <w:rPr>
                <w:rStyle w:val="paren"/>
              </w:rPr>
              <w:t>(</w:t>
            </w:r>
            <w:r w:rsidRPr="0049213F">
              <w:rPr>
                <w:rStyle w:val="paragraph-hierarchy"/>
              </w:rPr>
              <w:t>4</w:t>
            </w:r>
            <w:r w:rsidRPr="0049213F">
              <w:rPr>
                <w:rStyle w:val="paren"/>
              </w:rPr>
              <w:t>)</w:t>
            </w:r>
            <w:r w:rsidRPr="0049213F">
              <w:t xml:space="preserve"> The proposed contract is more than the Simplified Acquisition Threshold and is to be awarded to other than the apparent low bidder under a sealed bid procurement; or </w:t>
            </w:r>
          </w:p>
          <w:p w14:paraId="74A8D7FB" w14:textId="77777777" w:rsidR="00C1528E" w:rsidRPr="0049213F" w:rsidRDefault="00C1528E" w:rsidP="002B55BD">
            <w:pPr>
              <w:pStyle w:val="indent-2"/>
              <w:ind w:left="360"/>
            </w:pPr>
            <w:r w:rsidRPr="0049213F">
              <w:rPr>
                <w:rStyle w:val="paren"/>
              </w:rPr>
              <w:t>(</w:t>
            </w:r>
            <w:r w:rsidRPr="0049213F">
              <w:rPr>
                <w:rStyle w:val="paragraph-hierarchy"/>
              </w:rPr>
              <w:t>5</w:t>
            </w:r>
            <w:r w:rsidRPr="0049213F">
              <w:rPr>
                <w:rStyle w:val="paren"/>
              </w:rPr>
              <w:t>)</w:t>
            </w:r>
            <w:r w:rsidRPr="0049213F">
              <w:t xml:space="preserve"> A proposed contract modification changes the scope of a contract or increases the contract amount by more than the Simplified Acquisition Threshold. </w:t>
            </w:r>
          </w:p>
          <w:p w14:paraId="0C72B013" w14:textId="77777777" w:rsidR="00C1528E" w:rsidRPr="0049213F" w:rsidRDefault="00C1528E" w:rsidP="002B55BD">
            <w:pPr>
              <w:pStyle w:val="indent-1"/>
              <w:ind w:left="180"/>
            </w:pPr>
            <w:r w:rsidRPr="0049213F">
              <w:rPr>
                <w:rStyle w:val="paren"/>
              </w:rPr>
              <w:t>(</w:t>
            </w:r>
            <w:r w:rsidRPr="0049213F">
              <w:rPr>
                <w:rStyle w:val="paragraph-hierarchy"/>
              </w:rPr>
              <w:t>c</w:t>
            </w:r>
            <w:r w:rsidRPr="0049213F">
              <w:rPr>
                <w:rStyle w:val="paren"/>
              </w:rPr>
              <w:t>)</w:t>
            </w:r>
            <w:r w:rsidRPr="0049213F">
              <w:t xml:space="preserve"> The non-Federal entity is exempt from the pre-procurement review in </w:t>
            </w:r>
            <w:hyperlink r:id="rId48" w:anchor="p-200.325(b)" w:history="1">
              <w:r w:rsidRPr="0049213F">
                <w:rPr>
                  <w:rStyle w:val="Hyperlink"/>
                </w:rPr>
                <w:t>paragraph (b)</w:t>
              </w:r>
            </w:hyperlink>
            <w:r w:rsidRPr="0049213F">
              <w:t xml:space="preserve"> of this section if the Federal awarding agency or pass-through entity determines that its procurement systems comply with the standards of this part. </w:t>
            </w:r>
          </w:p>
          <w:p w14:paraId="26D96DFE" w14:textId="77777777" w:rsidR="00C1528E" w:rsidRPr="0049213F" w:rsidRDefault="00C1528E" w:rsidP="002B55BD">
            <w:pPr>
              <w:pStyle w:val="indent-2"/>
              <w:ind w:left="360"/>
            </w:pPr>
            <w:r w:rsidRPr="0049213F">
              <w:rPr>
                <w:rStyle w:val="paren"/>
              </w:rPr>
              <w:t>(</w:t>
            </w:r>
            <w:r w:rsidRPr="0049213F">
              <w:rPr>
                <w:rStyle w:val="paragraph-hierarchy"/>
              </w:rPr>
              <w:t>1</w:t>
            </w:r>
            <w:r w:rsidRPr="0049213F">
              <w:rPr>
                <w:rStyle w:val="paren"/>
              </w:rPr>
              <w:t>)</w:t>
            </w:r>
            <w:r w:rsidRPr="0049213F">
              <w:t xml:space="preserve"> The non-Federal entity may request that its procurement system be reviewed by the Federal awarding agency or pass-through entity to determine whether its system meets these standards in order for its system to be certified. Generally, these reviews must occur where there is continuous high-dollar funding, and third-party contracts are awarded on a regular basis; </w:t>
            </w:r>
          </w:p>
          <w:p w14:paraId="7E5D7FBD" w14:textId="77777777" w:rsidR="00C1528E" w:rsidRPr="0049213F" w:rsidRDefault="00C1528E" w:rsidP="002B55BD">
            <w:pPr>
              <w:pStyle w:val="indent-2"/>
              <w:ind w:left="360"/>
            </w:pPr>
            <w:r w:rsidRPr="0049213F">
              <w:rPr>
                <w:rStyle w:val="paren"/>
              </w:rPr>
              <w:t>(</w:t>
            </w:r>
            <w:r w:rsidRPr="0049213F">
              <w:rPr>
                <w:rStyle w:val="paragraph-hierarchy"/>
              </w:rPr>
              <w:t>2</w:t>
            </w:r>
            <w:r w:rsidRPr="0049213F">
              <w:rPr>
                <w:rStyle w:val="paren"/>
              </w:rPr>
              <w:t>)</w:t>
            </w:r>
            <w:r w:rsidRPr="0049213F">
              <w:t xml:space="preserve"> The non-Federal entity may self-certify its procurement system. Such self-certification must not limit the Federal awarding agency's right to survey the system. Under a self-certification procedure, the Federal awarding agency may rely on written assurances from the non-Federal entity that it is complying with these standards. The non-Federal entity must cite specific policies, procedures, regulations, or standards as being in compliance with these requirements and have its system available for review.</w:t>
            </w:r>
          </w:p>
          <w:p w14:paraId="63FA6706" w14:textId="77777777" w:rsidR="00C1528E" w:rsidRPr="0049213F" w:rsidRDefault="00C1528E" w:rsidP="002B55BD">
            <w:pPr>
              <w:pStyle w:val="Heading2"/>
              <w:outlineLvl w:val="1"/>
              <w:rPr>
                <w:rFonts w:ascii="Times New Roman" w:hAnsi="Times New Roman" w:cs="Times New Roman"/>
                <w:b/>
                <w:bCs/>
                <w:color w:val="auto"/>
                <w:sz w:val="24"/>
                <w:szCs w:val="24"/>
                <w:u w:val="single"/>
              </w:rPr>
            </w:pPr>
            <w:r w:rsidRPr="0049213F">
              <w:rPr>
                <w:rFonts w:ascii="Times New Roman" w:hAnsi="Times New Roman" w:cs="Times New Roman"/>
                <w:b/>
                <w:bCs/>
                <w:color w:val="auto"/>
                <w:sz w:val="24"/>
                <w:szCs w:val="24"/>
                <w:u w:val="single"/>
              </w:rPr>
              <w:t xml:space="preserve">2 CFR </w:t>
            </w:r>
            <w:hyperlink r:id="rId49" w:history="1">
              <w:r w:rsidRPr="0049213F">
                <w:rPr>
                  <w:rStyle w:val="Hyperlink"/>
                  <w:rFonts w:ascii="Times New Roman" w:hAnsi="Times New Roman" w:cs="Times New Roman"/>
                  <w:b/>
                  <w:color w:val="auto"/>
                  <w:sz w:val="24"/>
                  <w:szCs w:val="24"/>
                </w:rPr>
                <w:t>§ 200.326 Bonding requirements.</w:t>
              </w:r>
            </w:hyperlink>
          </w:p>
          <w:p w14:paraId="184F4AA4" w14:textId="77777777" w:rsidR="00C1528E" w:rsidRPr="0049213F" w:rsidRDefault="00C1528E" w:rsidP="002B55BD">
            <w:pPr>
              <w:pStyle w:val="NormalWeb"/>
            </w:pPr>
            <w:r w:rsidRPr="0049213F">
              <w:t xml:space="preserve">For construction or facility improvement contracts or subcontracts exceeding the Simplified Acquisition Threshold, the Federal awarding agency or pass-through entity may accept the bonding policy and requirements of the non-Federal entity provided that the Federal awarding agency or pass-through entity has made a determination that the Federal interest is adequately protected. If such a determination has not been made, the minimum requirements must be as follows: </w:t>
            </w:r>
          </w:p>
          <w:p w14:paraId="34EF39EA" w14:textId="77777777" w:rsidR="00C1528E" w:rsidRPr="0049213F" w:rsidRDefault="00C1528E" w:rsidP="002B55BD">
            <w:pPr>
              <w:pStyle w:val="indent-1"/>
              <w:ind w:left="180"/>
            </w:pPr>
            <w:r w:rsidRPr="0049213F">
              <w:rPr>
                <w:rStyle w:val="paren"/>
              </w:rPr>
              <w:lastRenderedPageBreak/>
              <w:t>(</w:t>
            </w:r>
            <w:r w:rsidRPr="0049213F">
              <w:rPr>
                <w:rStyle w:val="paragraph-hierarchy"/>
              </w:rPr>
              <w:t>a</w:t>
            </w:r>
            <w:r w:rsidRPr="0049213F">
              <w:rPr>
                <w:rStyle w:val="paren"/>
              </w:rPr>
              <w:t>)</w:t>
            </w:r>
            <w:r w:rsidRPr="0049213F">
              <w:t xml:space="preserve"> 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 </w:t>
            </w:r>
          </w:p>
          <w:p w14:paraId="588D92A9" w14:textId="77777777" w:rsidR="00C1528E" w:rsidRPr="0049213F" w:rsidRDefault="00C1528E" w:rsidP="002B55BD">
            <w:pPr>
              <w:pStyle w:val="indent-1"/>
              <w:ind w:left="180"/>
            </w:pPr>
            <w:r w:rsidRPr="0049213F">
              <w:rPr>
                <w:rStyle w:val="paren"/>
              </w:rPr>
              <w:t>(</w:t>
            </w:r>
            <w:r w:rsidRPr="0049213F">
              <w:rPr>
                <w:rStyle w:val="paragraph-hierarchy"/>
              </w:rPr>
              <w:t>b</w:t>
            </w:r>
            <w:r w:rsidRPr="0049213F">
              <w:rPr>
                <w:rStyle w:val="paren"/>
              </w:rPr>
              <w:t>)</w:t>
            </w:r>
            <w:r w:rsidRPr="0049213F">
              <w:t xml:space="preserve"> A performance bond on the part of the contractor for 100 percent of the contract price. A “performance bond” is one executed in connection with a contract to secure fulfillment of all the contractor's requirements under such contract. </w:t>
            </w:r>
          </w:p>
          <w:p w14:paraId="4A403044" w14:textId="77777777" w:rsidR="00C1528E" w:rsidRPr="0049213F" w:rsidRDefault="00C1528E" w:rsidP="002B55BD">
            <w:pPr>
              <w:pStyle w:val="indent-1"/>
              <w:ind w:left="180"/>
            </w:pPr>
            <w:r w:rsidRPr="0049213F">
              <w:rPr>
                <w:rStyle w:val="paren"/>
              </w:rPr>
              <w:t>(</w:t>
            </w:r>
            <w:r w:rsidRPr="0049213F">
              <w:rPr>
                <w:rStyle w:val="paragraph-hierarchy"/>
              </w:rPr>
              <w:t>c</w:t>
            </w:r>
            <w:r w:rsidRPr="0049213F">
              <w:rPr>
                <w:rStyle w:val="paren"/>
              </w:rPr>
              <w:t>)</w:t>
            </w:r>
            <w:r w:rsidRPr="0049213F">
              <w:t xml:space="preserve"> 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w:t>
            </w:r>
          </w:p>
          <w:p w14:paraId="1B887680" w14:textId="77777777" w:rsidR="00C1528E" w:rsidRPr="0049213F" w:rsidRDefault="00C1528E" w:rsidP="002B55BD">
            <w:pPr>
              <w:pStyle w:val="Heading2"/>
              <w:outlineLvl w:val="1"/>
              <w:rPr>
                <w:rFonts w:ascii="Times New Roman" w:hAnsi="Times New Roman" w:cs="Times New Roman"/>
                <w:b/>
                <w:bCs/>
                <w:color w:val="auto"/>
                <w:sz w:val="24"/>
                <w:szCs w:val="24"/>
                <w:u w:val="single"/>
              </w:rPr>
            </w:pPr>
            <w:r w:rsidRPr="0049213F">
              <w:rPr>
                <w:rFonts w:ascii="Times New Roman" w:hAnsi="Times New Roman" w:cs="Times New Roman"/>
                <w:b/>
                <w:bCs/>
                <w:color w:val="auto"/>
                <w:sz w:val="24"/>
                <w:szCs w:val="24"/>
                <w:u w:val="single"/>
              </w:rPr>
              <w:t xml:space="preserve">2 CFR </w:t>
            </w:r>
            <w:hyperlink r:id="rId50" w:history="1">
              <w:r w:rsidRPr="0049213F">
                <w:rPr>
                  <w:rStyle w:val="Hyperlink"/>
                  <w:rFonts w:ascii="Times New Roman" w:hAnsi="Times New Roman" w:cs="Times New Roman"/>
                  <w:b/>
                  <w:color w:val="auto"/>
                  <w:sz w:val="24"/>
                  <w:szCs w:val="24"/>
                </w:rPr>
                <w:t>§ 200.327 Contract provisions.</w:t>
              </w:r>
            </w:hyperlink>
          </w:p>
          <w:p w14:paraId="5D36BF26" w14:textId="76F148E0" w:rsidR="00C1528E" w:rsidRDefault="00C1528E" w:rsidP="002B55BD">
            <w:pPr>
              <w:pStyle w:val="NormalWeb"/>
            </w:pPr>
            <w:r w:rsidRPr="0049213F">
              <w:t>The non-Federal entity's contracts must contain the applicable provisions described in appendix II to this part.</w:t>
            </w:r>
          </w:p>
          <w:p w14:paraId="18500CEB" w14:textId="77777777" w:rsidR="00C1528E" w:rsidRPr="0049213F" w:rsidRDefault="00C1528E" w:rsidP="002B55BD">
            <w:pPr>
              <w:shd w:val="clear" w:color="auto" w:fill="FFFFFF"/>
              <w:spacing w:before="300" w:after="150"/>
              <w:outlineLvl w:val="0"/>
              <w:rPr>
                <w:rFonts w:ascii="Times New Roman" w:eastAsia="Times New Roman" w:hAnsi="Times New Roman" w:cs="Times New Roman"/>
                <w:b/>
                <w:bCs/>
                <w:kern w:val="36"/>
                <w:sz w:val="24"/>
                <w:szCs w:val="24"/>
              </w:rPr>
            </w:pPr>
            <w:r w:rsidRPr="001C3EE2">
              <w:rPr>
                <w:rFonts w:ascii="Times New Roman" w:eastAsia="Times New Roman" w:hAnsi="Times New Roman" w:cs="Times New Roman"/>
                <w:b/>
                <w:bCs/>
                <w:kern w:val="36"/>
                <w:sz w:val="24"/>
                <w:szCs w:val="24"/>
              </w:rPr>
              <w:t>2 CFR Appendix II to Part 200 - Contract Provisions for Non-Federal Entity Contracts Under Federal Awards</w:t>
            </w:r>
          </w:p>
          <w:p w14:paraId="520C4D5D" w14:textId="77777777" w:rsidR="00C1528E" w:rsidRPr="001C3EE2" w:rsidRDefault="00C1528E" w:rsidP="002B55BD">
            <w:pPr>
              <w:shd w:val="clear" w:color="auto" w:fill="FFFFFF"/>
              <w:rPr>
                <w:rFonts w:ascii="Times New Roman" w:eastAsia="Times New Roman" w:hAnsi="Times New Roman" w:cs="Times New Roman"/>
                <w:b/>
                <w:bCs/>
                <w:sz w:val="24"/>
                <w:szCs w:val="24"/>
              </w:rPr>
            </w:pPr>
          </w:p>
          <w:p w14:paraId="3D00D941" w14:textId="77777777" w:rsidR="00C1528E" w:rsidRPr="001C3EE2" w:rsidRDefault="00C1528E" w:rsidP="002B55BD">
            <w:pPr>
              <w:shd w:val="clear" w:color="auto" w:fill="FFFFFF"/>
              <w:spacing w:after="150"/>
              <w:rPr>
                <w:rFonts w:ascii="Times New Roman" w:eastAsia="Times New Roman" w:hAnsi="Times New Roman" w:cs="Times New Roman"/>
                <w:sz w:val="24"/>
                <w:szCs w:val="24"/>
              </w:rPr>
            </w:pPr>
            <w:r w:rsidRPr="001C3EE2">
              <w:rPr>
                <w:rFonts w:ascii="Times New Roman" w:eastAsia="Times New Roman" w:hAnsi="Times New Roman" w:cs="Times New Roman"/>
                <w:sz w:val="24"/>
                <w:szCs w:val="24"/>
              </w:rPr>
              <w:t>In addition to other provisions required by the Federal agency or non-Federal entity, all contracts made by the non-Federal entity under the Federal award must contain provisions covering the following, as applicable.</w:t>
            </w:r>
          </w:p>
          <w:p w14:paraId="649B5EBD" w14:textId="77777777" w:rsidR="00C1528E" w:rsidRPr="001C3EE2" w:rsidRDefault="00C1528E" w:rsidP="002B55BD">
            <w:pPr>
              <w:shd w:val="clear" w:color="auto" w:fill="FFFFFF"/>
              <w:spacing w:after="150"/>
              <w:ind w:left="720"/>
              <w:rPr>
                <w:rFonts w:ascii="Times New Roman" w:eastAsia="Times New Roman" w:hAnsi="Times New Roman" w:cs="Times New Roman"/>
                <w:sz w:val="24"/>
                <w:szCs w:val="24"/>
              </w:rPr>
            </w:pPr>
            <w:r w:rsidRPr="001C3EE2">
              <w:rPr>
                <w:rFonts w:ascii="Times New Roman" w:eastAsia="Times New Roman" w:hAnsi="Times New Roman" w:cs="Times New Roman"/>
                <w:b/>
                <w:bCs/>
                <w:sz w:val="24"/>
                <w:szCs w:val="24"/>
              </w:rPr>
              <w:t>(A)</w:t>
            </w:r>
            <w:r w:rsidRPr="001C3EE2">
              <w:rPr>
                <w:rFonts w:ascii="Times New Roman" w:eastAsia="Times New Roman" w:hAnsi="Times New Roman" w:cs="Times New Roman"/>
                <w:sz w:val="24"/>
                <w:szCs w:val="24"/>
              </w:rPr>
              <w:t> Contracts for more than the simplified acquisition threshold, which is the inflation adjusted amount determined by the Civilian Agency Acquisition Council and the Defense Acquisition Regulations Council (Councils) as authorized by </w:t>
            </w:r>
            <w:hyperlink r:id="rId51" w:history="1">
              <w:r w:rsidRPr="001C3EE2">
                <w:rPr>
                  <w:rFonts w:ascii="Times New Roman" w:eastAsia="Times New Roman" w:hAnsi="Times New Roman" w:cs="Times New Roman"/>
                  <w:sz w:val="24"/>
                  <w:szCs w:val="24"/>
                  <w:u w:val="single"/>
                </w:rPr>
                <w:t>41 U.S.C. 1908</w:t>
              </w:r>
            </w:hyperlink>
            <w:r w:rsidRPr="001C3EE2">
              <w:rPr>
                <w:rFonts w:ascii="Times New Roman" w:eastAsia="Times New Roman" w:hAnsi="Times New Roman" w:cs="Times New Roman"/>
                <w:sz w:val="24"/>
                <w:szCs w:val="24"/>
              </w:rPr>
              <w:t>, must address administrative, contractual, or legal remedies in instances where contractors violate or breach contract terms, and provide for such sanctions and penalties as appropriate.</w:t>
            </w:r>
          </w:p>
          <w:p w14:paraId="378E677B" w14:textId="77777777" w:rsidR="00C1528E" w:rsidRPr="001C3EE2" w:rsidRDefault="00C1528E" w:rsidP="002B55BD">
            <w:pPr>
              <w:shd w:val="clear" w:color="auto" w:fill="FFFFFF"/>
              <w:spacing w:after="150"/>
              <w:ind w:left="720"/>
              <w:rPr>
                <w:rFonts w:ascii="Times New Roman" w:eastAsia="Times New Roman" w:hAnsi="Times New Roman" w:cs="Times New Roman"/>
                <w:sz w:val="24"/>
                <w:szCs w:val="24"/>
              </w:rPr>
            </w:pPr>
            <w:r w:rsidRPr="001C3EE2">
              <w:rPr>
                <w:rFonts w:ascii="Times New Roman" w:eastAsia="Times New Roman" w:hAnsi="Times New Roman" w:cs="Times New Roman"/>
                <w:b/>
                <w:bCs/>
                <w:sz w:val="24"/>
                <w:szCs w:val="24"/>
              </w:rPr>
              <w:t>(B)</w:t>
            </w:r>
            <w:r w:rsidRPr="001C3EE2">
              <w:rPr>
                <w:rFonts w:ascii="Times New Roman" w:eastAsia="Times New Roman" w:hAnsi="Times New Roman" w:cs="Times New Roman"/>
                <w:sz w:val="24"/>
                <w:szCs w:val="24"/>
              </w:rPr>
              <w:t> All contracts in excess of $10,000 must address termination for cause and for convenience by the non-Federal entity including the manner by which it will be effected and the basis for settlement.</w:t>
            </w:r>
          </w:p>
          <w:p w14:paraId="6D24A5F5" w14:textId="77777777" w:rsidR="00C1528E" w:rsidRPr="001C3EE2" w:rsidRDefault="00C1528E" w:rsidP="002B55BD">
            <w:pPr>
              <w:shd w:val="clear" w:color="auto" w:fill="FFFFFF"/>
              <w:spacing w:after="150"/>
              <w:ind w:left="720"/>
              <w:rPr>
                <w:rFonts w:ascii="Times New Roman" w:eastAsia="Times New Roman" w:hAnsi="Times New Roman" w:cs="Times New Roman"/>
                <w:sz w:val="24"/>
                <w:szCs w:val="24"/>
              </w:rPr>
            </w:pPr>
            <w:r w:rsidRPr="001C3EE2">
              <w:rPr>
                <w:rFonts w:ascii="Times New Roman" w:eastAsia="Times New Roman" w:hAnsi="Times New Roman" w:cs="Times New Roman"/>
                <w:b/>
                <w:bCs/>
                <w:sz w:val="24"/>
                <w:szCs w:val="24"/>
              </w:rPr>
              <w:t>(C)</w:t>
            </w:r>
            <w:r w:rsidRPr="001C3EE2">
              <w:rPr>
                <w:rFonts w:ascii="Times New Roman" w:eastAsia="Times New Roman" w:hAnsi="Times New Roman" w:cs="Times New Roman"/>
                <w:sz w:val="24"/>
                <w:szCs w:val="24"/>
              </w:rPr>
              <w:t> Equal Employment Opportunity. Except as otherwise provided under </w:t>
            </w:r>
            <w:hyperlink r:id="rId52" w:history="1">
              <w:r w:rsidRPr="001C3EE2">
                <w:rPr>
                  <w:rFonts w:ascii="Times New Roman" w:eastAsia="Times New Roman" w:hAnsi="Times New Roman" w:cs="Times New Roman"/>
                  <w:sz w:val="24"/>
                  <w:szCs w:val="24"/>
                  <w:u w:val="single"/>
                </w:rPr>
                <w:t>41 CFR Part 60</w:t>
              </w:r>
            </w:hyperlink>
            <w:r w:rsidRPr="001C3EE2">
              <w:rPr>
                <w:rFonts w:ascii="Times New Roman" w:eastAsia="Times New Roman" w:hAnsi="Times New Roman" w:cs="Times New Roman"/>
                <w:sz w:val="24"/>
                <w:szCs w:val="24"/>
              </w:rPr>
              <w:t>, all contracts that meet the definition of “federally assisted construction contract” in </w:t>
            </w:r>
            <w:hyperlink r:id="rId53" w:history="1">
              <w:r w:rsidRPr="001C3EE2">
                <w:rPr>
                  <w:rFonts w:ascii="Times New Roman" w:eastAsia="Times New Roman" w:hAnsi="Times New Roman" w:cs="Times New Roman"/>
                  <w:sz w:val="24"/>
                  <w:szCs w:val="24"/>
                  <w:u w:val="single"/>
                </w:rPr>
                <w:t>41 CFR Part 60-1</w:t>
              </w:r>
            </w:hyperlink>
            <w:r w:rsidRPr="001C3EE2">
              <w:rPr>
                <w:rFonts w:ascii="Times New Roman" w:eastAsia="Times New Roman" w:hAnsi="Times New Roman" w:cs="Times New Roman"/>
                <w:sz w:val="24"/>
                <w:szCs w:val="24"/>
              </w:rPr>
              <w:t>.3 must include the equal opportunity clause provided under </w:t>
            </w:r>
            <w:hyperlink r:id="rId54" w:history="1">
              <w:r w:rsidRPr="001C3EE2">
                <w:rPr>
                  <w:rFonts w:ascii="Times New Roman" w:eastAsia="Times New Roman" w:hAnsi="Times New Roman" w:cs="Times New Roman"/>
                  <w:sz w:val="24"/>
                  <w:szCs w:val="24"/>
                  <w:u w:val="single"/>
                </w:rPr>
                <w:t>41</w:t>
              </w:r>
            </w:hyperlink>
            <w:r w:rsidRPr="001C3EE2">
              <w:rPr>
                <w:rFonts w:ascii="Times New Roman" w:eastAsia="Times New Roman" w:hAnsi="Times New Roman" w:cs="Times New Roman"/>
                <w:sz w:val="24"/>
                <w:szCs w:val="24"/>
              </w:rPr>
              <w:t> CFR 60-1.4(b), in accordance with </w:t>
            </w:r>
            <w:hyperlink r:id="rId55" w:history="1">
              <w:r w:rsidRPr="001C3EE2">
                <w:rPr>
                  <w:rFonts w:ascii="Times New Roman" w:eastAsia="Times New Roman" w:hAnsi="Times New Roman" w:cs="Times New Roman"/>
                  <w:sz w:val="24"/>
                  <w:szCs w:val="24"/>
                  <w:u w:val="single"/>
                </w:rPr>
                <w:t>Executive Order 11246</w:t>
              </w:r>
            </w:hyperlink>
            <w:r w:rsidRPr="001C3EE2">
              <w:rPr>
                <w:rFonts w:ascii="Times New Roman" w:eastAsia="Times New Roman" w:hAnsi="Times New Roman" w:cs="Times New Roman"/>
                <w:sz w:val="24"/>
                <w:szCs w:val="24"/>
              </w:rPr>
              <w:t>, “Equal Employment Opportunity” (</w:t>
            </w:r>
            <w:hyperlink r:id="rId56" w:history="1">
              <w:r w:rsidRPr="001C3EE2">
                <w:rPr>
                  <w:rFonts w:ascii="Times New Roman" w:eastAsia="Times New Roman" w:hAnsi="Times New Roman" w:cs="Times New Roman"/>
                  <w:sz w:val="24"/>
                  <w:szCs w:val="24"/>
                  <w:u w:val="single"/>
                </w:rPr>
                <w:t>30 FR 12319</w:t>
              </w:r>
            </w:hyperlink>
            <w:r w:rsidRPr="001C3EE2">
              <w:rPr>
                <w:rFonts w:ascii="Times New Roman" w:eastAsia="Times New Roman" w:hAnsi="Times New Roman" w:cs="Times New Roman"/>
                <w:sz w:val="24"/>
                <w:szCs w:val="24"/>
              </w:rPr>
              <w:t>, 12935, </w:t>
            </w:r>
            <w:hyperlink r:id="rId57" w:history="1">
              <w:r w:rsidRPr="001C3EE2">
                <w:rPr>
                  <w:rFonts w:ascii="Times New Roman" w:eastAsia="Times New Roman" w:hAnsi="Times New Roman" w:cs="Times New Roman"/>
                  <w:sz w:val="24"/>
                  <w:szCs w:val="24"/>
                  <w:u w:val="single"/>
                </w:rPr>
                <w:t>3</w:t>
              </w:r>
            </w:hyperlink>
            <w:r w:rsidRPr="001C3EE2">
              <w:rPr>
                <w:rFonts w:ascii="Times New Roman" w:eastAsia="Times New Roman" w:hAnsi="Times New Roman" w:cs="Times New Roman"/>
                <w:sz w:val="24"/>
                <w:szCs w:val="24"/>
              </w:rPr>
              <w:t> CFR Part, 1964-1965 Comp., p. 339), as amended by </w:t>
            </w:r>
            <w:hyperlink r:id="rId58" w:history="1">
              <w:r w:rsidRPr="001C3EE2">
                <w:rPr>
                  <w:rFonts w:ascii="Times New Roman" w:eastAsia="Times New Roman" w:hAnsi="Times New Roman" w:cs="Times New Roman"/>
                  <w:sz w:val="24"/>
                  <w:szCs w:val="24"/>
                  <w:u w:val="single"/>
                </w:rPr>
                <w:t>Executive Order 11375</w:t>
              </w:r>
            </w:hyperlink>
            <w:r w:rsidRPr="001C3EE2">
              <w:rPr>
                <w:rFonts w:ascii="Times New Roman" w:eastAsia="Times New Roman" w:hAnsi="Times New Roman" w:cs="Times New Roman"/>
                <w:sz w:val="24"/>
                <w:szCs w:val="24"/>
              </w:rPr>
              <w:t>, “Amending </w:t>
            </w:r>
            <w:hyperlink r:id="rId59" w:history="1">
              <w:r w:rsidRPr="001C3EE2">
                <w:rPr>
                  <w:rFonts w:ascii="Times New Roman" w:eastAsia="Times New Roman" w:hAnsi="Times New Roman" w:cs="Times New Roman"/>
                  <w:sz w:val="24"/>
                  <w:szCs w:val="24"/>
                  <w:u w:val="single"/>
                </w:rPr>
                <w:t>Executive Order 11246</w:t>
              </w:r>
            </w:hyperlink>
            <w:r w:rsidRPr="001C3EE2">
              <w:rPr>
                <w:rFonts w:ascii="Times New Roman" w:eastAsia="Times New Roman" w:hAnsi="Times New Roman" w:cs="Times New Roman"/>
                <w:sz w:val="24"/>
                <w:szCs w:val="24"/>
              </w:rPr>
              <w:t> Relating to Equal Employment Opportunity,” and implementing regulations at </w:t>
            </w:r>
            <w:hyperlink r:id="rId60" w:history="1">
              <w:r w:rsidRPr="001C3EE2">
                <w:rPr>
                  <w:rFonts w:ascii="Times New Roman" w:eastAsia="Times New Roman" w:hAnsi="Times New Roman" w:cs="Times New Roman"/>
                  <w:sz w:val="24"/>
                  <w:szCs w:val="24"/>
                  <w:u w:val="single"/>
                </w:rPr>
                <w:t>41 CFR part 60</w:t>
              </w:r>
            </w:hyperlink>
            <w:r w:rsidRPr="001C3EE2">
              <w:rPr>
                <w:rFonts w:ascii="Times New Roman" w:eastAsia="Times New Roman" w:hAnsi="Times New Roman" w:cs="Times New Roman"/>
                <w:sz w:val="24"/>
                <w:szCs w:val="24"/>
              </w:rPr>
              <w:t>, “Office of Federal Contract Compliance Programs, Equal Employment Opportunity, Department of Labor.”</w:t>
            </w:r>
          </w:p>
          <w:p w14:paraId="31FFA4C3" w14:textId="77777777" w:rsidR="00C1528E" w:rsidRPr="001C3EE2" w:rsidRDefault="00C1528E" w:rsidP="002B55BD">
            <w:pPr>
              <w:shd w:val="clear" w:color="auto" w:fill="FFFFFF"/>
              <w:spacing w:after="150"/>
              <w:ind w:left="720"/>
              <w:rPr>
                <w:rFonts w:ascii="Times New Roman" w:eastAsia="Times New Roman" w:hAnsi="Times New Roman" w:cs="Times New Roman"/>
                <w:sz w:val="24"/>
                <w:szCs w:val="24"/>
              </w:rPr>
            </w:pPr>
            <w:r w:rsidRPr="001C3EE2">
              <w:rPr>
                <w:rFonts w:ascii="Times New Roman" w:eastAsia="Times New Roman" w:hAnsi="Times New Roman" w:cs="Times New Roman"/>
                <w:b/>
                <w:bCs/>
                <w:sz w:val="24"/>
                <w:szCs w:val="24"/>
              </w:rPr>
              <w:lastRenderedPageBreak/>
              <w:t>(D)</w:t>
            </w:r>
            <w:r w:rsidRPr="001C3EE2">
              <w:rPr>
                <w:rFonts w:ascii="Times New Roman" w:eastAsia="Times New Roman" w:hAnsi="Times New Roman" w:cs="Times New Roman"/>
                <w:sz w:val="24"/>
                <w:szCs w:val="24"/>
              </w:rPr>
              <w:t> </w:t>
            </w:r>
            <w:hyperlink r:id="rId61" w:history="1">
              <w:r w:rsidRPr="001C3EE2">
                <w:rPr>
                  <w:rFonts w:ascii="Times New Roman" w:eastAsia="Times New Roman" w:hAnsi="Times New Roman" w:cs="Times New Roman"/>
                  <w:sz w:val="24"/>
                  <w:szCs w:val="24"/>
                  <w:u w:val="single"/>
                </w:rPr>
                <w:t>Davis-Bacon Act</w:t>
              </w:r>
            </w:hyperlink>
            <w:r w:rsidRPr="001C3EE2">
              <w:rPr>
                <w:rFonts w:ascii="Times New Roman" w:eastAsia="Times New Roman" w:hAnsi="Times New Roman" w:cs="Times New Roman"/>
                <w:sz w:val="24"/>
                <w:szCs w:val="24"/>
              </w:rPr>
              <w:t>, as amended (</w:t>
            </w:r>
            <w:hyperlink r:id="rId62" w:history="1">
              <w:r w:rsidRPr="001C3EE2">
                <w:rPr>
                  <w:rFonts w:ascii="Times New Roman" w:eastAsia="Times New Roman" w:hAnsi="Times New Roman" w:cs="Times New Roman"/>
                  <w:sz w:val="24"/>
                  <w:szCs w:val="24"/>
                  <w:u w:val="single"/>
                </w:rPr>
                <w:t>40</w:t>
              </w:r>
            </w:hyperlink>
            <w:r w:rsidRPr="001C3EE2">
              <w:rPr>
                <w:rFonts w:ascii="Times New Roman" w:eastAsia="Times New Roman" w:hAnsi="Times New Roman" w:cs="Times New Roman"/>
                <w:sz w:val="24"/>
                <w:szCs w:val="24"/>
              </w:rPr>
              <w:t> U.S.C. </w:t>
            </w:r>
            <w:hyperlink r:id="rId63" w:history="1">
              <w:r w:rsidRPr="001C3EE2">
                <w:rPr>
                  <w:rFonts w:ascii="Times New Roman" w:eastAsia="Times New Roman" w:hAnsi="Times New Roman" w:cs="Times New Roman"/>
                  <w:sz w:val="24"/>
                  <w:szCs w:val="24"/>
                  <w:u w:val="single"/>
                </w:rPr>
                <w:t>3141</w:t>
              </w:r>
            </w:hyperlink>
            <w:r w:rsidRPr="001C3EE2">
              <w:rPr>
                <w:rFonts w:ascii="Times New Roman" w:eastAsia="Times New Roman" w:hAnsi="Times New Roman" w:cs="Times New Roman"/>
                <w:sz w:val="24"/>
                <w:szCs w:val="24"/>
              </w:rPr>
              <w:t>-</w:t>
            </w:r>
            <w:hyperlink r:id="rId64" w:history="1">
              <w:r w:rsidRPr="001C3EE2">
                <w:rPr>
                  <w:rFonts w:ascii="Times New Roman" w:eastAsia="Times New Roman" w:hAnsi="Times New Roman" w:cs="Times New Roman"/>
                  <w:sz w:val="24"/>
                  <w:szCs w:val="24"/>
                  <w:u w:val="single"/>
                </w:rPr>
                <w:t>3148</w:t>
              </w:r>
            </w:hyperlink>
            <w:r w:rsidRPr="001C3EE2">
              <w:rPr>
                <w:rFonts w:ascii="Times New Roman" w:eastAsia="Times New Roman" w:hAnsi="Times New Roman" w:cs="Times New Roman"/>
                <w:sz w:val="24"/>
                <w:szCs w:val="24"/>
              </w:rPr>
              <w:t>). When required by Federal program legislation, all prime construction contracts in excess of $2,000 awarded by non-Federal entities must include a provision for compliance with the </w:t>
            </w:r>
            <w:hyperlink r:id="rId65" w:history="1">
              <w:r w:rsidRPr="001C3EE2">
                <w:rPr>
                  <w:rFonts w:ascii="Times New Roman" w:eastAsia="Times New Roman" w:hAnsi="Times New Roman" w:cs="Times New Roman"/>
                  <w:sz w:val="24"/>
                  <w:szCs w:val="24"/>
                  <w:u w:val="single"/>
                </w:rPr>
                <w:t>Davis-Bacon Act</w:t>
              </w:r>
            </w:hyperlink>
            <w:r w:rsidRPr="001C3EE2">
              <w:rPr>
                <w:rFonts w:ascii="Times New Roman" w:eastAsia="Times New Roman" w:hAnsi="Times New Roman" w:cs="Times New Roman"/>
                <w:sz w:val="24"/>
                <w:szCs w:val="24"/>
              </w:rPr>
              <w:t> (</w:t>
            </w:r>
            <w:hyperlink r:id="rId66" w:history="1">
              <w:r w:rsidRPr="001C3EE2">
                <w:rPr>
                  <w:rFonts w:ascii="Times New Roman" w:eastAsia="Times New Roman" w:hAnsi="Times New Roman" w:cs="Times New Roman"/>
                  <w:sz w:val="24"/>
                  <w:szCs w:val="24"/>
                  <w:u w:val="single"/>
                </w:rPr>
                <w:t>40</w:t>
              </w:r>
            </w:hyperlink>
            <w:r w:rsidRPr="001C3EE2">
              <w:rPr>
                <w:rFonts w:ascii="Times New Roman" w:eastAsia="Times New Roman" w:hAnsi="Times New Roman" w:cs="Times New Roman"/>
                <w:sz w:val="24"/>
                <w:szCs w:val="24"/>
              </w:rPr>
              <w:t> U.S.C. </w:t>
            </w:r>
            <w:hyperlink r:id="rId67" w:history="1">
              <w:r w:rsidRPr="001C3EE2">
                <w:rPr>
                  <w:rFonts w:ascii="Times New Roman" w:eastAsia="Times New Roman" w:hAnsi="Times New Roman" w:cs="Times New Roman"/>
                  <w:sz w:val="24"/>
                  <w:szCs w:val="24"/>
                  <w:u w:val="single"/>
                </w:rPr>
                <w:t>3141</w:t>
              </w:r>
            </w:hyperlink>
            <w:r w:rsidRPr="001C3EE2">
              <w:rPr>
                <w:rFonts w:ascii="Times New Roman" w:eastAsia="Times New Roman" w:hAnsi="Times New Roman" w:cs="Times New Roman"/>
                <w:sz w:val="24"/>
                <w:szCs w:val="24"/>
              </w:rPr>
              <w:t>-</w:t>
            </w:r>
            <w:hyperlink r:id="rId68" w:history="1">
              <w:r w:rsidRPr="001C3EE2">
                <w:rPr>
                  <w:rFonts w:ascii="Times New Roman" w:eastAsia="Times New Roman" w:hAnsi="Times New Roman" w:cs="Times New Roman"/>
                  <w:sz w:val="24"/>
                  <w:szCs w:val="24"/>
                  <w:u w:val="single"/>
                </w:rPr>
                <w:t>3144</w:t>
              </w:r>
            </w:hyperlink>
            <w:r w:rsidRPr="001C3EE2">
              <w:rPr>
                <w:rFonts w:ascii="Times New Roman" w:eastAsia="Times New Roman" w:hAnsi="Times New Roman" w:cs="Times New Roman"/>
                <w:sz w:val="24"/>
                <w:szCs w:val="24"/>
              </w:rPr>
              <w:t>, and </w:t>
            </w:r>
            <w:hyperlink r:id="rId69" w:history="1">
              <w:r w:rsidRPr="001C3EE2">
                <w:rPr>
                  <w:rFonts w:ascii="Times New Roman" w:eastAsia="Times New Roman" w:hAnsi="Times New Roman" w:cs="Times New Roman"/>
                  <w:sz w:val="24"/>
                  <w:szCs w:val="24"/>
                  <w:u w:val="single"/>
                </w:rPr>
                <w:t>3146</w:t>
              </w:r>
            </w:hyperlink>
            <w:r w:rsidRPr="001C3EE2">
              <w:rPr>
                <w:rFonts w:ascii="Times New Roman" w:eastAsia="Times New Roman" w:hAnsi="Times New Roman" w:cs="Times New Roman"/>
                <w:sz w:val="24"/>
                <w:szCs w:val="24"/>
              </w:rPr>
              <w:t>-</w:t>
            </w:r>
            <w:hyperlink r:id="rId70" w:history="1">
              <w:r w:rsidRPr="001C3EE2">
                <w:rPr>
                  <w:rFonts w:ascii="Times New Roman" w:eastAsia="Times New Roman" w:hAnsi="Times New Roman" w:cs="Times New Roman"/>
                  <w:sz w:val="24"/>
                  <w:szCs w:val="24"/>
                  <w:u w:val="single"/>
                </w:rPr>
                <w:t>3148</w:t>
              </w:r>
            </w:hyperlink>
            <w:r w:rsidRPr="001C3EE2">
              <w:rPr>
                <w:rFonts w:ascii="Times New Roman" w:eastAsia="Times New Roman" w:hAnsi="Times New Roman" w:cs="Times New Roman"/>
                <w:sz w:val="24"/>
                <w:szCs w:val="24"/>
              </w:rPr>
              <w:t>) as supplemented by Department of Labor regulations (</w:t>
            </w:r>
            <w:hyperlink r:id="rId71" w:history="1">
              <w:r w:rsidRPr="001C3EE2">
                <w:rPr>
                  <w:rFonts w:ascii="Times New Roman" w:eastAsia="Times New Roman" w:hAnsi="Times New Roman" w:cs="Times New Roman"/>
                  <w:sz w:val="24"/>
                  <w:szCs w:val="24"/>
                  <w:u w:val="single"/>
                </w:rPr>
                <w:t>29 CFR Part 5</w:t>
              </w:r>
            </w:hyperlink>
            <w:r w:rsidRPr="001C3EE2">
              <w:rPr>
                <w:rFonts w:ascii="Times New Roman" w:eastAsia="Times New Roman" w:hAnsi="Times New Roman" w:cs="Times New Roman"/>
                <w:sz w:val="24"/>
                <w:szCs w:val="24"/>
              </w:rPr>
              <w:t>,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w:t>
            </w:r>
            <w:hyperlink r:id="rId72" w:history="1">
              <w:r w:rsidRPr="001C3EE2">
                <w:rPr>
                  <w:rFonts w:ascii="Times New Roman" w:eastAsia="Times New Roman" w:hAnsi="Times New Roman" w:cs="Times New Roman"/>
                  <w:sz w:val="24"/>
                  <w:szCs w:val="24"/>
                  <w:u w:val="single"/>
                </w:rPr>
                <w:t>40 U.S.C. 3145</w:t>
              </w:r>
            </w:hyperlink>
            <w:r w:rsidRPr="001C3EE2">
              <w:rPr>
                <w:rFonts w:ascii="Times New Roman" w:eastAsia="Times New Roman" w:hAnsi="Times New Roman" w:cs="Times New Roman"/>
                <w:sz w:val="24"/>
                <w:szCs w:val="24"/>
              </w:rPr>
              <w:t>), as supplemented by Department of Labor regulations (</w:t>
            </w:r>
            <w:hyperlink r:id="rId73" w:history="1">
              <w:r w:rsidRPr="001C3EE2">
                <w:rPr>
                  <w:rFonts w:ascii="Times New Roman" w:eastAsia="Times New Roman" w:hAnsi="Times New Roman" w:cs="Times New Roman"/>
                  <w:sz w:val="24"/>
                  <w:szCs w:val="24"/>
                  <w:u w:val="single"/>
                </w:rPr>
                <w:t>29 CFR Part 3</w:t>
              </w:r>
            </w:hyperlink>
            <w:r w:rsidRPr="001C3EE2">
              <w:rPr>
                <w:rFonts w:ascii="Times New Roman" w:eastAsia="Times New Roman" w:hAnsi="Times New Roman" w:cs="Times New Roman"/>
                <w:sz w:val="24"/>
                <w:szCs w:val="24"/>
              </w:rPr>
              <w:t>,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376090F3" w14:textId="77777777" w:rsidR="00C1528E" w:rsidRPr="001C3EE2" w:rsidRDefault="00C1528E" w:rsidP="002B55BD">
            <w:pPr>
              <w:shd w:val="clear" w:color="auto" w:fill="FFFFFF"/>
              <w:spacing w:after="150"/>
              <w:ind w:left="720"/>
              <w:rPr>
                <w:rFonts w:ascii="Times New Roman" w:eastAsia="Times New Roman" w:hAnsi="Times New Roman" w:cs="Times New Roman"/>
                <w:sz w:val="24"/>
                <w:szCs w:val="24"/>
              </w:rPr>
            </w:pPr>
            <w:r w:rsidRPr="001C3EE2">
              <w:rPr>
                <w:rFonts w:ascii="Times New Roman" w:eastAsia="Times New Roman" w:hAnsi="Times New Roman" w:cs="Times New Roman"/>
                <w:b/>
                <w:bCs/>
                <w:sz w:val="24"/>
                <w:szCs w:val="24"/>
              </w:rPr>
              <w:t>(E)</w:t>
            </w:r>
            <w:r w:rsidRPr="001C3EE2">
              <w:rPr>
                <w:rFonts w:ascii="Times New Roman" w:eastAsia="Times New Roman" w:hAnsi="Times New Roman" w:cs="Times New Roman"/>
                <w:sz w:val="24"/>
                <w:szCs w:val="24"/>
              </w:rPr>
              <w:t> </w:t>
            </w:r>
            <w:hyperlink r:id="rId74" w:history="1">
              <w:r w:rsidRPr="001C3EE2">
                <w:rPr>
                  <w:rFonts w:ascii="Times New Roman" w:eastAsia="Times New Roman" w:hAnsi="Times New Roman" w:cs="Times New Roman"/>
                  <w:sz w:val="24"/>
                  <w:szCs w:val="24"/>
                  <w:u w:val="single"/>
                </w:rPr>
                <w:t>Contract Work Hours and Safety Standards Act</w:t>
              </w:r>
            </w:hyperlink>
            <w:r w:rsidRPr="001C3EE2">
              <w:rPr>
                <w:rFonts w:ascii="Times New Roman" w:eastAsia="Times New Roman" w:hAnsi="Times New Roman" w:cs="Times New Roman"/>
                <w:sz w:val="24"/>
                <w:szCs w:val="24"/>
              </w:rPr>
              <w:t> (</w:t>
            </w:r>
            <w:hyperlink r:id="rId75" w:history="1">
              <w:r w:rsidRPr="001C3EE2">
                <w:rPr>
                  <w:rFonts w:ascii="Times New Roman" w:eastAsia="Times New Roman" w:hAnsi="Times New Roman" w:cs="Times New Roman"/>
                  <w:sz w:val="24"/>
                  <w:szCs w:val="24"/>
                  <w:u w:val="single"/>
                </w:rPr>
                <w:t>40</w:t>
              </w:r>
            </w:hyperlink>
            <w:r w:rsidRPr="001C3EE2">
              <w:rPr>
                <w:rFonts w:ascii="Times New Roman" w:eastAsia="Times New Roman" w:hAnsi="Times New Roman" w:cs="Times New Roman"/>
                <w:sz w:val="24"/>
                <w:szCs w:val="24"/>
              </w:rPr>
              <w:t> U.S.C. </w:t>
            </w:r>
            <w:hyperlink r:id="rId76" w:history="1">
              <w:r w:rsidRPr="001C3EE2">
                <w:rPr>
                  <w:rFonts w:ascii="Times New Roman" w:eastAsia="Times New Roman" w:hAnsi="Times New Roman" w:cs="Times New Roman"/>
                  <w:sz w:val="24"/>
                  <w:szCs w:val="24"/>
                  <w:u w:val="single"/>
                </w:rPr>
                <w:t>3701</w:t>
              </w:r>
            </w:hyperlink>
            <w:r w:rsidRPr="001C3EE2">
              <w:rPr>
                <w:rFonts w:ascii="Times New Roman" w:eastAsia="Times New Roman" w:hAnsi="Times New Roman" w:cs="Times New Roman"/>
                <w:sz w:val="24"/>
                <w:szCs w:val="24"/>
              </w:rPr>
              <w:t>-</w:t>
            </w:r>
            <w:hyperlink r:id="rId77" w:history="1">
              <w:r w:rsidRPr="001C3EE2">
                <w:rPr>
                  <w:rFonts w:ascii="Times New Roman" w:eastAsia="Times New Roman" w:hAnsi="Times New Roman" w:cs="Times New Roman"/>
                  <w:sz w:val="24"/>
                  <w:szCs w:val="24"/>
                  <w:u w:val="single"/>
                </w:rPr>
                <w:t>3708</w:t>
              </w:r>
            </w:hyperlink>
            <w:r w:rsidRPr="001C3EE2">
              <w:rPr>
                <w:rFonts w:ascii="Times New Roman" w:eastAsia="Times New Roman" w:hAnsi="Times New Roman" w:cs="Times New Roman"/>
                <w:sz w:val="24"/>
                <w:szCs w:val="24"/>
              </w:rPr>
              <w:t>). Where applicable, all contracts awarded by the non-Federal entity in excess of $100,000 that involve the employment of mechanics or laborers must include a provision for compliance with </w:t>
            </w:r>
            <w:hyperlink r:id="rId78" w:history="1">
              <w:r w:rsidRPr="001C3EE2">
                <w:rPr>
                  <w:rFonts w:ascii="Times New Roman" w:eastAsia="Times New Roman" w:hAnsi="Times New Roman" w:cs="Times New Roman"/>
                  <w:sz w:val="24"/>
                  <w:szCs w:val="24"/>
                  <w:u w:val="single"/>
                </w:rPr>
                <w:t>40</w:t>
              </w:r>
            </w:hyperlink>
            <w:r w:rsidRPr="001C3EE2">
              <w:rPr>
                <w:rFonts w:ascii="Times New Roman" w:eastAsia="Times New Roman" w:hAnsi="Times New Roman" w:cs="Times New Roman"/>
                <w:sz w:val="24"/>
                <w:szCs w:val="24"/>
              </w:rPr>
              <w:t> U.S.C. </w:t>
            </w:r>
            <w:hyperlink r:id="rId79" w:history="1">
              <w:r w:rsidRPr="001C3EE2">
                <w:rPr>
                  <w:rFonts w:ascii="Times New Roman" w:eastAsia="Times New Roman" w:hAnsi="Times New Roman" w:cs="Times New Roman"/>
                  <w:sz w:val="24"/>
                  <w:szCs w:val="24"/>
                  <w:u w:val="single"/>
                </w:rPr>
                <w:t>3702</w:t>
              </w:r>
            </w:hyperlink>
            <w:r w:rsidRPr="001C3EE2">
              <w:rPr>
                <w:rFonts w:ascii="Times New Roman" w:eastAsia="Times New Roman" w:hAnsi="Times New Roman" w:cs="Times New Roman"/>
                <w:sz w:val="24"/>
                <w:szCs w:val="24"/>
              </w:rPr>
              <w:t> and </w:t>
            </w:r>
            <w:hyperlink r:id="rId80" w:history="1">
              <w:r w:rsidRPr="001C3EE2">
                <w:rPr>
                  <w:rFonts w:ascii="Times New Roman" w:eastAsia="Times New Roman" w:hAnsi="Times New Roman" w:cs="Times New Roman"/>
                  <w:sz w:val="24"/>
                  <w:szCs w:val="24"/>
                  <w:u w:val="single"/>
                </w:rPr>
                <w:t>3704</w:t>
              </w:r>
            </w:hyperlink>
            <w:r w:rsidRPr="001C3EE2">
              <w:rPr>
                <w:rFonts w:ascii="Times New Roman" w:eastAsia="Times New Roman" w:hAnsi="Times New Roman" w:cs="Times New Roman"/>
                <w:sz w:val="24"/>
                <w:szCs w:val="24"/>
              </w:rPr>
              <w:t>, as supplemented by Department of Labor regulations (</w:t>
            </w:r>
            <w:hyperlink r:id="rId81" w:history="1">
              <w:r w:rsidRPr="001C3EE2">
                <w:rPr>
                  <w:rFonts w:ascii="Times New Roman" w:eastAsia="Times New Roman" w:hAnsi="Times New Roman" w:cs="Times New Roman"/>
                  <w:sz w:val="24"/>
                  <w:szCs w:val="24"/>
                  <w:u w:val="single"/>
                </w:rPr>
                <w:t>29 CFR Part 5</w:t>
              </w:r>
            </w:hyperlink>
            <w:r w:rsidRPr="001C3EE2">
              <w:rPr>
                <w:rFonts w:ascii="Times New Roman" w:eastAsia="Times New Roman" w:hAnsi="Times New Roman" w:cs="Times New Roman"/>
                <w:sz w:val="24"/>
                <w:szCs w:val="24"/>
              </w:rPr>
              <w:t>). Under </w:t>
            </w:r>
            <w:hyperlink r:id="rId82" w:history="1">
              <w:r w:rsidRPr="001C3EE2">
                <w:rPr>
                  <w:rFonts w:ascii="Times New Roman" w:eastAsia="Times New Roman" w:hAnsi="Times New Roman" w:cs="Times New Roman"/>
                  <w:sz w:val="24"/>
                  <w:szCs w:val="24"/>
                  <w:u w:val="single"/>
                </w:rPr>
                <w:t>40 U.S.C. 3702</w:t>
              </w:r>
            </w:hyperlink>
            <w:r w:rsidRPr="001C3EE2">
              <w:rPr>
                <w:rFonts w:ascii="Times New Roman" w:eastAsia="Times New Roman" w:hAnsi="Times New Roman" w:cs="Times New Roman"/>
                <w:sz w:val="24"/>
                <w:szCs w:val="24"/>
              </w:rPr>
              <w:t>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w:t>
            </w:r>
            <w:hyperlink r:id="rId83" w:history="1">
              <w:r w:rsidRPr="001C3EE2">
                <w:rPr>
                  <w:rFonts w:ascii="Times New Roman" w:eastAsia="Times New Roman" w:hAnsi="Times New Roman" w:cs="Times New Roman"/>
                  <w:sz w:val="24"/>
                  <w:szCs w:val="24"/>
                  <w:u w:val="single"/>
                </w:rPr>
                <w:t>40 U.S.C. 3704</w:t>
              </w:r>
            </w:hyperlink>
            <w:r w:rsidRPr="001C3EE2">
              <w:rPr>
                <w:rFonts w:ascii="Times New Roman" w:eastAsia="Times New Roman" w:hAnsi="Times New Roman" w:cs="Times New Roman"/>
                <w:sz w:val="24"/>
                <w:szCs w:val="24"/>
              </w:rPr>
              <w:t>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0EA59864" w14:textId="77777777" w:rsidR="00C1528E" w:rsidRPr="001C3EE2" w:rsidRDefault="00C1528E" w:rsidP="002B55BD">
            <w:pPr>
              <w:shd w:val="clear" w:color="auto" w:fill="FFFFFF"/>
              <w:spacing w:after="150"/>
              <w:ind w:left="720"/>
              <w:rPr>
                <w:rFonts w:ascii="Times New Roman" w:eastAsia="Times New Roman" w:hAnsi="Times New Roman" w:cs="Times New Roman"/>
                <w:sz w:val="24"/>
                <w:szCs w:val="24"/>
              </w:rPr>
            </w:pPr>
            <w:r w:rsidRPr="001C3EE2">
              <w:rPr>
                <w:rFonts w:ascii="Times New Roman" w:eastAsia="Times New Roman" w:hAnsi="Times New Roman" w:cs="Times New Roman"/>
                <w:b/>
                <w:bCs/>
                <w:sz w:val="24"/>
                <w:szCs w:val="24"/>
              </w:rPr>
              <w:t>(F)</w:t>
            </w:r>
            <w:r w:rsidRPr="001C3EE2">
              <w:rPr>
                <w:rFonts w:ascii="Times New Roman" w:eastAsia="Times New Roman" w:hAnsi="Times New Roman" w:cs="Times New Roman"/>
                <w:sz w:val="24"/>
                <w:szCs w:val="24"/>
              </w:rPr>
              <w:t> Rights to Inventions Made Under a Contract or Agreement. If the Federal award meets the definition of “funding agreement” under </w:t>
            </w:r>
            <w:hyperlink r:id="rId84" w:history="1">
              <w:r w:rsidRPr="001C3EE2">
                <w:rPr>
                  <w:rFonts w:ascii="Times New Roman" w:eastAsia="Times New Roman" w:hAnsi="Times New Roman" w:cs="Times New Roman"/>
                  <w:sz w:val="24"/>
                  <w:szCs w:val="24"/>
                  <w:u w:val="single"/>
                </w:rPr>
                <w:t>37 CFR § 401.2</w:t>
              </w:r>
            </w:hyperlink>
            <w:r w:rsidRPr="001C3EE2">
              <w:rPr>
                <w:rFonts w:ascii="Times New Roman" w:eastAsia="Times New Roman" w:hAnsi="Times New Roman" w:cs="Times New Roman"/>
                <w:sz w:val="24"/>
                <w:szCs w:val="24"/>
              </w:rPr>
              <w:t>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w:t>
            </w:r>
            <w:hyperlink r:id="rId85" w:history="1">
              <w:r w:rsidRPr="001C3EE2">
                <w:rPr>
                  <w:rFonts w:ascii="Times New Roman" w:eastAsia="Times New Roman" w:hAnsi="Times New Roman" w:cs="Times New Roman"/>
                  <w:sz w:val="24"/>
                  <w:szCs w:val="24"/>
                  <w:u w:val="single"/>
                </w:rPr>
                <w:t>37 CFR Part 401</w:t>
              </w:r>
            </w:hyperlink>
            <w:r w:rsidRPr="001C3EE2">
              <w:rPr>
                <w:rFonts w:ascii="Times New Roman" w:eastAsia="Times New Roman" w:hAnsi="Times New Roman" w:cs="Times New Roman"/>
                <w:sz w:val="24"/>
                <w:szCs w:val="24"/>
              </w:rPr>
              <w:t>, “Rights to Inventions Made by Nonprofit Organizations and Small Business Firms Under Government Grants, Contracts and Cooperative Agreements,” and any implementing regulations issued by the awarding agency.</w:t>
            </w:r>
          </w:p>
          <w:p w14:paraId="01D3ED34" w14:textId="77777777" w:rsidR="00C1528E" w:rsidRPr="001C3EE2" w:rsidRDefault="00C1528E" w:rsidP="002B55BD">
            <w:pPr>
              <w:shd w:val="clear" w:color="auto" w:fill="FFFFFF"/>
              <w:spacing w:after="150"/>
              <w:ind w:left="720"/>
              <w:rPr>
                <w:rFonts w:ascii="Times New Roman" w:eastAsia="Times New Roman" w:hAnsi="Times New Roman" w:cs="Times New Roman"/>
                <w:sz w:val="24"/>
                <w:szCs w:val="24"/>
              </w:rPr>
            </w:pPr>
            <w:r w:rsidRPr="001C3EE2">
              <w:rPr>
                <w:rFonts w:ascii="Times New Roman" w:eastAsia="Times New Roman" w:hAnsi="Times New Roman" w:cs="Times New Roman"/>
                <w:b/>
                <w:bCs/>
                <w:sz w:val="24"/>
                <w:szCs w:val="24"/>
              </w:rPr>
              <w:lastRenderedPageBreak/>
              <w:t>(G)</w:t>
            </w:r>
            <w:r w:rsidRPr="001C3EE2">
              <w:rPr>
                <w:rFonts w:ascii="Times New Roman" w:eastAsia="Times New Roman" w:hAnsi="Times New Roman" w:cs="Times New Roman"/>
                <w:sz w:val="24"/>
                <w:szCs w:val="24"/>
              </w:rPr>
              <w:t> </w:t>
            </w:r>
            <w:hyperlink r:id="rId86" w:history="1">
              <w:r w:rsidRPr="001C3EE2">
                <w:rPr>
                  <w:rFonts w:ascii="Times New Roman" w:eastAsia="Times New Roman" w:hAnsi="Times New Roman" w:cs="Times New Roman"/>
                  <w:sz w:val="24"/>
                  <w:szCs w:val="24"/>
                  <w:u w:val="single"/>
                </w:rPr>
                <w:t>Clean Air Act</w:t>
              </w:r>
            </w:hyperlink>
            <w:r w:rsidRPr="001C3EE2">
              <w:rPr>
                <w:rFonts w:ascii="Times New Roman" w:eastAsia="Times New Roman" w:hAnsi="Times New Roman" w:cs="Times New Roman"/>
                <w:sz w:val="24"/>
                <w:szCs w:val="24"/>
              </w:rPr>
              <w:t> (</w:t>
            </w:r>
            <w:hyperlink r:id="rId87" w:history="1">
              <w:r w:rsidRPr="001C3EE2">
                <w:rPr>
                  <w:rFonts w:ascii="Times New Roman" w:eastAsia="Times New Roman" w:hAnsi="Times New Roman" w:cs="Times New Roman"/>
                  <w:sz w:val="24"/>
                  <w:szCs w:val="24"/>
                  <w:u w:val="single"/>
                </w:rPr>
                <w:t>42</w:t>
              </w:r>
            </w:hyperlink>
            <w:r w:rsidRPr="001C3EE2">
              <w:rPr>
                <w:rFonts w:ascii="Times New Roman" w:eastAsia="Times New Roman" w:hAnsi="Times New Roman" w:cs="Times New Roman"/>
                <w:sz w:val="24"/>
                <w:szCs w:val="24"/>
              </w:rPr>
              <w:t> U.S.C. </w:t>
            </w:r>
            <w:hyperlink r:id="rId88" w:history="1">
              <w:r w:rsidRPr="001C3EE2">
                <w:rPr>
                  <w:rFonts w:ascii="Times New Roman" w:eastAsia="Times New Roman" w:hAnsi="Times New Roman" w:cs="Times New Roman"/>
                  <w:sz w:val="24"/>
                  <w:szCs w:val="24"/>
                  <w:u w:val="single"/>
                </w:rPr>
                <w:t>7401</w:t>
              </w:r>
            </w:hyperlink>
            <w:r w:rsidRPr="001C3EE2">
              <w:rPr>
                <w:rFonts w:ascii="Times New Roman" w:eastAsia="Times New Roman" w:hAnsi="Times New Roman" w:cs="Times New Roman"/>
                <w:sz w:val="24"/>
                <w:szCs w:val="24"/>
              </w:rPr>
              <w:t>-</w:t>
            </w:r>
            <w:hyperlink r:id="rId89" w:history="1">
              <w:r w:rsidRPr="001C3EE2">
                <w:rPr>
                  <w:rFonts w:ascii="Times New Roman" w:eastAsia="Times New Roman" w:hAnsi="Times New Roman" w:cs="Times New Roman"/>
                  <w:sz w:val="24"/>
                  <w:szCs w:val="24"/>
                  <w:u w:val="single"/>
                </w:rPr>
                <w:t>7671q</w:t>
              </w:r>
            </w:hyperlink>
            <w:r w:rsidRPr="001C3EE2">
              <w:rPr>
                <w:rFonts w:ascii="Times New Roman" w:eastAsia="Times New Roman" w:hAnsi="Times New Roman" w:cs="Times New Roman"/>
                <w:sz w:val="24"/>
                <w:szCs w:val="24"/>
              </w:rPr>
              <w:t>.) and the </w:t>
            </w:r>
            <w:hyperlink r:id="rId90" w:history="1">
              <w:r w:rsidRPr="001C3EE2">
                <w:rPr>
                  <w:rFonts w:ascii="Times New Roman" w:eastAsia="Times New Roman" w:hAnsi="Times New Roman" w:cs="Times New Roman"/>
                  <w:sz w:val="24"/>
                  <w:szCs w:val="24"/>
                  <w:u w:val="single"/>
                </w:rPr>
                <w:t>Federal Water Pollution Control Act</w:t>
              </w:r>
            </w:hyperlink>
            <w:r w:rsidRPr="001C3EE2">
              <w:rPr>
                <w:rFonts w:ascii="Times New Roman" w:eastAsia="Times New Roman" w:hAnsi="Times New Roman" w:cs="Times New Roman"/>
                <w:sz w:val="24"/>
                <w:szCs w:val="24"/>
              </w:rPr>
              <w:t> (</w:t>
            </w:r>
            <w:hyperlink r:id="rId91" w:history="1">
              <w:r w:rsidRPr="001C3EE2">
                <w:rPr>
                  <w:rFonts w:ascii="Times New Roman" w:eastAsia="Times New Roman" w:hAnsi="Times New Roman" w:cs="Times New Roman"/>
                  <w:sz w:val="24"/>
                  <w:szCs w:val="24"/>
                  <w:u w:val="single"/>
                </w:rPr>
                <w:t>33</w:t>
              </w:r>
            </w:hyperlink>
            <w:r w:rsidRPr="001C3EE2">
              <w:rPr>
                <w:rFonts w:ascii="Times New Roman" w:eastAsia="Times New Roman" w:hAnsi="Times New Roman" w:cs="Times New Roman"/>
                <w:sz w:val="24"/>
                <w:szCs w:val="24"/>
              </w:rPr>
              <w:t> U.S.C. </w:t>
            </w:r>
            <w:hyperlink r:id="rId92" w:history="1">
              <w:r w:rsidRPr="001C3EE2">
                <w:rPr>
                  <w:rFonts w:ascii="Times New Roman" w:eastAsia="Times New Roman" w:hAnsi="Times New Roman" w:cs="Times New Roman"/>
                  <w:sz w:val="24"/>
                  <w:szCs w:val="24"/>
                  <w:u w:val="single"/>
                </w:rPr>
                <w:t>1251</w:t>
              </w:r>
            </w:hyperlink>
            <w:r w:rsidRPr="001C3EE2">
              <w:rPr>
                <w:rFonts w:ascii="Times New Roman" w:eastAsia="Times New Roman" w:hAnsi="Times New Roman" w:cs="Times New Roman"/>
                <w:sz w:val="24"/>
                <w:szCs w:val="24"/>
              </w:rPr>
              <w:t>-</w:t>
            </w:r>
            <w:hyperlink r:id="rId93" w:history="1">
              <w:r w:rsidRPr="001C3EE2">
                <w:rPr>
                  <w:rFonts w:ascii="Times New Roman" w:eastAsia="Times New Roman" w:hAnsi="Times New Roman" w:cs="Times New Roman"/>
                  <w:sz w:val="24"/>
                  <w:szCs w:val="24"/>
                  <w:u w:val="single"/>
                </w:rPr>
                <w:t>1387</w:t>
              </w:r>
            </w:hyperlink>
            <w:r w:rsidRPr="001C3EE2">
              <w:rPr>
                <w:rFonts w:ascii="Times New Roman" w:eastAsia="Times New Roman" w:hAnsi="Times New Roman" w:cs="Times New Roman"/>
                <w:sz w:val="24"/>
                <w:szCs w:val="24"/>
              </w:rPr>
              <w:t>), as amended - Contracts and subgrants of amounts in excess of $150,000 must contain a provision that requires the non-Federal award to agree to comply with all applicable standards, orders or regulations issued pursuant to the </w:t>
            </w:r>
            <w:hyperlink r:id="rId94" w:history="1">
              <w:r w:rsidRPr="001C3EE2">
                <w:rPr>
                  <w:rFonts w:ascii="Times New Roman" w:eastAsia="Times New Roman" w:hAnsi="Times New Roman" w:cs="Times New Roman"/>
                  <w:sz w:val="24"/>
                  <w:szCs w:val="24"/>
                  <w:u w:val="single"/>
                </w:rPr>
                <w:t>Clean Air Act</w:t>
              </w:r>
            </w:hyperlink>
            <w:r w:rsidRPr="001C3EE2">
              <w:rPr>
                <w:rFonts w:ascii="Times New Roman" w:eastAsia="Times New Roman" w:hAnsi="Times New Roman" w:cs="Times New Roman"/>
                <w:sz w:val="24"/>
                <w:szCs w:val="24"/>
              </w:rPr>
              <w:t> (</w:t>
            </w:r>
            <w:hyperlink r:id="rId95" w:history="1">
              <w:r w:rsidRPr="001C3EE2">
                <w:rPr>
                  <w:rFonts w:ascii="Times New Roman" w:eastAsia="Times New Roman" w:hAnsi="Times New Roman" w:cs="Times New Roman"/>
                  <w:sz w:val="24"/>
                  <w:szCs w:val="24"/>
                  <w:u w:val="single"/>
                </w:rPr>
                <w:t>42</w:t>
              </w:r>
            </w:hyperlink>
            <w:r w:rsidRPr="001C3EE2">
              <w:rPr>
                <w:rFonts w:ascii="Times New Roman" w:eastAsia="Times New Roman" w:hAnsi="Times New Roman" w:cs="Times New Roman"/>
                <w:sz w:val="24"/>
                <w:szCs w:val="24"/>
              </w:rPr>
              <w:t> U.S.C. </w:t>
            </w:r>
            <w:hyperlink r:id="rId96" w:history="1">
              <w:r w:rsidRPr="001C3EE2">
                <w:rPr>
                  <w:rFonts w:ascii="Times New Roman" w:eastAsia="Times New Roman" w:hAnsi="Times New Roman" w:cs="Times New Roman"/>
                  <w:sz w:val="24"/>
                  <w:szCs w:val="24"/>
                  <w:u w:val="single"/>
                </w:rPr>
                <w:t>7401</w:t>
              </w:r>
            </w:hyperlink>
            <w:r w:rsidRPr="001C3EE2">
              <w:rPr>
                <w:rFonts w:ascii="Times New Roman" w:eastAsia="Times New Roman" w:hAnsi="Times New Roman" w:cs="Times New Roman"/>
                <w:sz w:val="24"/>
                <w:szCs w:val="24"/>
              </w:rPr>
              <w:t>-</w:t>
            </w:r>
            <w:hyperlink r:id="rId97" w:history="1">
              <w:r w:rsidRPr="001C3EE2">
                <w:rPr>
                  <w:rFonts w:ascii="Times New Roman" w:eastAsia="Times New Roman" w:hAnsi="Times New Roman" w:cs="Times New Roman"/>
                  <w:sz w:val="24"/>
                  <w:szCs w:val="24"/>
                  <w:u w:val="single"/>
                </w:rPr>
                <w:t>7671q</w:t>
              </w:r>
            </w:hyperlink>
            <w:r w:rsidRPr="001C3EE2">
              <w:rPr>
                <w:rFonts w:ascii="Times New Roman" w:eastAsia="Times New Roman" w:hAnsi="Times New Roman" w:cs="Times New Roman"/>
                <w:sz w:val="24"/>
                <w:szCs w:val="24"/>
              </w:rPr>
              <w:t>) and the </w:t>
            </w:r>
            <w:hyperlink r:id="rId98" w:history="1">
              <w:r w:rsidRPr="001C3EE2">
                <w:rPr>
                  <w:rFonts w:ascii="Times New Roman" w:eastAsia="Times New Roman" w:hAnsi="Times New Roman" w:cs="Times New Roman"/>
                  <w:sz w:val="24"/>
                  <w:szCs w:val="24"/>
                  <w:u w:val="single"/>
                </w:rPr>
                <w:t>Federal Water Pollution Control Act</w:t>
              </w:r>
            </w:hyperlink>
            <w:r w:rsidRPr="001C3EE2">
              <w:rPr>
                <w:rFonts w:ascii="Times New Roman" w:eastAsia="Times New Roman" w:hAnsi="Times New Roman" w:cs="Times New Roman"/>
                <w:sz w:val="24"/>
                <w:szCs w:val="24"/>
              </w:rPr>
              <w:t> as amended (</w:t>
            </w:r>
            <w:hyperlink r:id="rId99" w:history="1">
              <w:r w:rsidRPr="001C3EE2">
                <w:rPr>
                  <w:rFonts w:ascii="Times New Roman" w:eastAsia="Times New Roman" w:hAnsi="Times New Roman" w:cs="Times New Roman"/>
                  <w:sz w:val="24"/>
                  <w:szCs w:val="24"/>
                  <w:u w:val="single"/>
                </w:rPr>
                <w:t>33</w:t>
              </w:r>
            </w:hyperlink>
            <w:r w:rsidRPr="001C3EE2">
              <w:rPr>
                <w:rFonts w:ascii="Times New Roman" w:eastAsia="Times New Roman" w:hAnsi="Times New Roman" w:cs="Times New Roman"/>
                <w:sz w:val="24"/>
                <w:szCs w:val="24"/>
              </w:rPr>
              <w:t> U.S.C. </w:t>
            </w:r>
            <w:hyperlink r:id="rId100" w:history="1">
              <w:r w:rsidRPr="001C3EE2">
                <w:rPr>
                  <w:rFonts w:ascii="Times New Roman" w:eastAsia="Times New Roman" w:hAnsi="Times New Roman" w:cs="Times New Roman"/>
                  <w:sz w:val="24"/>
                  <w:szCs w:val="24"/>
                  <w:u w:val="single"/>
                </w:rPr>
                <w:t>1251</w:t>
              </w:r>
            </w:hyperlink>
            <w:r w:rsidRPr="001C3EE2">
              <w:rPr>
                <w:rFonts w:ascii="Times New Roman" w:eastAsia="Times New Roman" w:hAnsi="Times New Roman" w:cs="Times New Roman"/>
                <w:sz w:val="24"/>
                <w:szCs w:val="24"/>
              </w:rPr>
              <w:t>-</w:t>
            </w:r>
            <w:hyperlink r:id="rId101" w:history="1">
              <w:r w:rsidRPr="001C3EE2">
                <w:rPr>
                  <w:rFonts w:ascii="Times New Roman" w:eastAsia="Times New Roman" w:hAnsi="Times New Roman" w:cs="Times New Roman"/>
                  <w:sz w:val="24"/>
                  <w:szCs w:val="24"/>
                  <w:u w:val="single"/>
                </w:rPr>
                <w:t>1387</w:t>
              </w:r>
            </w:hyperlink>
            <w:r w:rsidRPr="001C3EE2">
              <w:rPr>
                <w:rFonts w:ascii="Times New Roman" w:eastAsia="Times New Roman" w:hAnsi="Times New Roman" w:cs="Times New Roman"/>
                <w:sz w:val="24"/>
                <w:szCs w:val="24"/>
              </w:rPr>
              <w:t>). Violations must be reported to the Federal awarding agency and the Regional Office of the Environmental Protection Agency (EPA).</w:t>
            </w:r>
          </w:p>
          <w:p w14:paraId="3A3F9232" w14:textId="77777777" w:rsidR="00C1528E" w:rsidRPr="001C3EE2" w:rsidRDefault="00C1528E" w:rsidP="002B55BD">
            <w:pPr>
              <w:shd w:val="clear" w:color="auto" w:fill="FFFFFF"/>
              <w:spacing w:after="150"/>
              <w:ind w:left="720"/>
              <w:rPr>
                <w:rFonts w:ascii="Times New Roman" w:eastAsia="Times New Roman" w:hAnsi="Times New Roman" w:cs="Times New Roman"/>
                <w:sz w:val="24"/>
                <w:szCs w:val="24"/>
              </w:rPr>
            </w:pPr>
            <w:r w:rsidRPr="001C3EE2">
              <w:rPr>
                <w:rFonts w:ascii="Times New Roman" w:eastAsia="Times New Roman" w:hAnsi="Times New Roman" w:cs="Times New Roman"/>
                <w:b/>
                <w:bCs/>
                <w:sz w:val="24"/>
                <w:szCs w:val="24"/>
              </w:rPr>
              <w:t>(H)</w:t>
            </w:r>
            <w:r w:rsidRPr="001C3EE2">
              <w:rPr>
                <w:rFonts w:ascii="Times New Roman" w:eastAsia="Times New Roman" w:hAnsi="Times New Roman" w:cs="Times New Roman"/>
                <w:sz w:val="24"/>
                <w:szCs w:val="24"/>
              </w:rPr>
              <w:t> Debarment and Suspension (Executive Orders 12549 and 12689) - A contract award (see </w:t>
            </w:r>
            <w:hyperlink r:id="rId102" w:history="1">
              <w:r w:rsidRPr="001C3EE2">
                <w:rPr>
                  <w:rFonts w:ascii="Times New Roman" w:eastAsia="Times New Roman" w:hAnsi="Times New Roman" w:cs="Times New Roman"/>
                  <w:sz w:val="24"/>
                  <w:szCs w:val="24"/>
                  <w:u w:val="single"/>
                </w:rPr>
                <w:t>2 CFR 180.220</w:t>
              </w:r>
            </w:hyperlink>
            <w:r w:rsidRPr="001C3EE2">
              <w:rPr>
                <w:rFonts w:ascii="Times New Roman" w:eastAsia="Times New Roman" w:hAnsi="Times New Roman" w:cs="Times New Roman"/>
                <w:sz w:val="24"/>
                <w:szCs w:val="24"/>
              </w:rPr>
              <w:t>) must not be made to parties listed on the governmentwide exclusions in the System for Award Management (SAM), in accordance with the OMB guidelines at </w:t>
            </w:r>
            <w:hyperlink r:id="rId103" w:history="1">
              <w:r w:rsidRPr="001C3EE2">
                <w:rPr>
                  <w:rFonts w:ascii="Times New Roman" w:eastAsia="Times New Roman" w:hAnsi="Times New Roman" w:cs="Times New Roman"/>
                  <w:sz w:val="24"/>
                  <w:szCs w:val="24"/>
                  <w:u w:val="single"/>
                </w:rPr>
                <w:t>2</w:t>
              </w:r>
            </w:hyperlink>
            <w:r w:rsidRPr="001C3EE2">
              <w:rPr>
                <w:rFonts w:ascii="Times New Roman" w:eastAsia="Times New Roman" w:hAnsi="Times New Roman" w:cs="Times New Roman"/>
                <w:sz w:val="24"/>
                <w:szCs w:val="24"/>
              </w:rPr>
              <w:t> CFR 180 that implement Executive Orders 12549 (</w:t>
            </w:r>
            <w:hyperlink r:id="rId104" w:history="1">
              <w:r w:rsidRPr="001C3EE2">
                <w:rPr>
                  <w:rFonts w:ascii="Times New Roman" w:eastAsia="Times New Roman" w:hAnsi="Times New Roman" w:cs="Times New Roman"/>
                  <w:sz w:val="24"/>
                  <w:szCs w:val="24"/>
                  <w:u w:val="single"/>
                </w:rPr>
                <w:t>3 CFR part 1986</w:t>
              </w:r>
            </w:hyperlink>
            <w:r w:rsidRPr="001C3EE2">
              <w:rPr>
                <w:rFonts w:ascii="Times New Roman" w:eastAsia="Times New Roman" w:hAnsi="Times New Roman" w:cs="Times New Roman"/>
                <w:sz w:val="24"/>
                <w:szCs w:val="24"/>
              </w:rPr>
              <w:t> Comp., p. 189) and 12689 (</w:t>
            </w:r>
            <w:hyperlink r:id="rId105" w:history="1">
              <w:r w:rsidRPr="001C3EE2">
                <w:rPr>
                  <w:rFonts w:ascii="Times New Roman" w:eastAsia="Times New Roman" w:hAnsi="Times New Roman" w:cs="Times New Roman"/>
                  <w:sz w:val="24"/>
                  <w:szCs w:val="24"/>
                  <w:u w:val="single"/>
                </w:rPr>
                <w:t>3 CFR part 1989</w:t>
              </w:r>
            </w:hyperlink>
            <w:r w:rsidRPr="001C3EE2">
              <w:rPr>
                <w:rFonts w:ascii="Times New Roman" w:eastAsia="Times New Roman" w:hAnsi="Times New Roman" w:cs="Times New Roman"/>
                <w:sz w:val="24"/>
                <w:szCs w:val="24"/>
              </w:rPr>
              <w:t> Comp., p. 235), “Debarment and Suspension.” SAM Exclusions contains the names of parties debarred, suspended, or otherwise excluded by agencies, as well as parties declared ineligible under statutory or regulatory authority other than </w:t>
            </w:r>
            <w:hyperlink r:id="rId106" w:history="1">
              <w:r w:rsidRPr="001C3EE2">
                <w:rPr>
                  <w:rFonts w:ascii="Times New Roman" w:eastAsia="Times New Roman" w:hAnsi="Times New Roman" w:cs="Times New Roman"/>
                  <w:sz w:val="24"/>
                  <w:szCs w:val="24"/>
                  <w:u w:val="single"/>
                </w:rPr>
                <w:t>Executive Order 12549</w:t>
              </w:r>
            </w:hyperlink>
            <w:r w:rsidRPr="001C3EE2">
              <w:rPr>
                <w:rFonts w:ascii="Times New Roman" w:eastAsia="Times New Roman" w:hAnsi="Times New Roman" w:cs="Times New Roman"/>
                <w:sz w:val="24"/>
                <w:szCs w:val="24"/>
              </w:rPr>
              <w:t>.</w:t>
            </w:r>
          </w:p>
          <w:p w14:paraId="33D86BBF" w14:textId="77777777" w:rsidR="00C1528E" w:rsidRPr="001C3EE2" w:rsidRDefault="00C1528E" w:rsidP="002B55BD">
            <w:pPr>
              <w:shd w:val="clear" w:color="auto" w:fill="FFFFFF"/>
              <w:spacing w:after="150"/>
              <w:ind w:left="720"/>
              <w:rPr>
                <w:rFonts w:ascii="Times New Roman" w:eastAsia="Times New Roman" w:hAnsi="Times New Roman" w:cs="Times New Roman"/>
                <w:sz w:val="24"/>
                <w:szCs w:val="24"/>
              </w:rPr>
            </w:pPr>
            <w:r w:rsidRPr="001C3EE2">
              <w:rPr>
                <w:rFonts w:ascii="Times New Roman" w:eastAsia="Times New Roman" w:hAnsi="Times New Roman" w:cs="Times New Roman"/>
                <w:b/>
                <w:bCs/>
                <w:sz w:val="24"/>
                <w:szCs w:val="24"/>
              </w:rPr>
              <w:t>(I)</w:t>
            </w:r>
            <w:r w:rsidRPr="001C3EE2">
              <w:rPr>
                <w:rFonts w:ascii="Times New Roman" w:eastAsia="Times New Roman" w:hAnsi="Times New Roman" w:cs="Times New Roman"/>
                <w:sz w:val="24"/>
                <w:szCs w:val="24"/>
              </w:rPr>
              <w:t> Byrd Anti-Lobbying Amendment (</w:t>
            </w:r>
            <w:hyperlink r:id="rId107" w:history="1">
              <w:r w:rsidRPr="001C3EE2">
                <w:rPr>
                  <w:rFonts w:ascii="Times New Roman" w:eastAsia="Times New Roman" w:hAnsi="Times New Roman" w:cs="Times New Roman"/>
                  <w:sz w:val="24"/>
                  <w:szCs w:val="24"/>
                  <w:u w:val="single"/>
                </w:rPr>
                <w:t>31 U.S.C. 1352</w:t>
              </w:r>
            </w:hyperlink>
            <w:r w:rsidRPr="001C3EE2">
              <w:rPr>
                <w:rFonts w:ascii="Times New Roman" w:eastAsia="Times New Roman" w:hAnsi="Times New Roman" w:cs="Times New Roman"/>
                <w:sz w:val="24"/>
                <w:szCs w:val="24"/>
              </w:rPr>
              <w:t>) - 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w:t>
            </w:r>
            <w:hyperlink r:id="rId108" w:history="1">
              <w:r w:rsidRPr="001C3EE2">
                <w:rPr>
                  <w:rFonts w:ascii="Times New Roman" w:eastAsia="Times New Roman" w:hAnsi="Times New Roman" w:cs="Times New Roman"/>
                  <w:sz w:val="24"/>
                  <w:szCs w:val="24"/>
                  <w:u w:val="single"/>
                </w:rPr>
                <w:t>31 U.S.C. 1352</w:t>
              </w:r>
            </w:hyperlink>
            <w:r w:rsidRPr="001C3EE2">
              <w:rPr>
                <w:rFonts w:ascii="Times New Roman" w:eastAsia="Times New Roman" w:hAnsi="Times New Roman" w:cs="Times New Roman"/>
                <w:sz w:val="24"/>
                <w:szCs w:val="24"/>
              </w:rPr>
              <w:t>. Each tier must also disclose any lobbying with non-Federal funds that takes place in connection with obtaining any Federal award. Such disclosures are forwarded from tier to tier up to the non-Federal award.</w:t>
            </w:r>
          </w:p>
          <w:p w14:paraId="10AA583B" w14:textId="77777777" w:rsidR="00C1528E" w:rsidRPr="001C3EE2" w:rsidRDefault="00C1528E" w:rsidP="002B55BD">
            <w:pPr>
              <w:shd w:val="clear" w:color="auto" w:fill="FFFFFF"/>
              <w:spacing w:after="150"/>
              <w:ind w:left="720"/>
              <w:rPr>
                <w:rFonts w:ascii="Times New Roman" w:eastAsia="Times New Roman" w:hAnsi="Times New Roman" w:cs="Times New Roman"/>
                <w:sz w:val="24"/>
                <w:szCs w:val="24"/>
              </w:rPr>
            </w:pPr>
            <w:r w:rsidRPr="001C3EE2">
              <w:rPr>
                <w:rFonts w:ascii="Times New Roman" w:eastAsia="Times New Roman" w:hAnsi="Times New Roman" w:cs="Times New Roman"/>
                <w:b/>
                <w:bCs/>
                <w:sz w:val="24"/>
                <w:szCs w:val="24"/>
              </w:rPr>
              <w:t>(J)</w:t>
            </w:r>
            <w:r w:rsidRPr="001C3EE2">
              <w:rPr>
                <w:rFonts w:ascii="Times New Roman" w:eastAsia="Times New Roman" w:hAnsi="Times New Roman" w:cs="Times New Roman"/>
                <w:sz w:val="24"/>
                <w:szCs w:val="24"/>
              </w:rPr>
              <w:t> See </w:t>
            </w:r>
            <w:hyperlink r:id="rId109" w:history="1">
              <w:r w:rsidRPr="001C3EE2">
                <w:rPr>
                  <w:rFonts w:ascii="Times New Roman" w:eastAsia="Times New Roman" w:hAnsi="Times New Roman" w:cs="Times New Roman"/>
                  <w:sz w:val="24"/>
                  <w:szCs w:val="24"/>
                  <w:u w:val="single"/>
                </w:rPr>
                <w:t>§ 200.323</w:t>
              </w:r>
            </w:hyperlink>
            <w:r w:rsidRPr="001C3EE2">
              <w:rPr>
                <w:rFonts w:ascii="Times New Roman" w:eastAsia="Times New Roman" w:hAnsi="Times New Roman" w:cs="Times New Roman"/>
                <w:sz w:val="24"/>
                <w:szCs w:val="24"/>
              </w:rPr>
              <w:t>.</w:t>
            </w:r>
          </w:p>
          <w:p w14:paraId="72077ABD" w14:textId="77777777" w:rsidR="00C1528E" w:rsidRPr="001C3EE2" w:rsidRDefault="00C1528E" w:rsidP="002B55BD">
            <w:pPr>
              <w:shd w:val="clear" w:color="auto" w:fill="FFFFFF"/>
              <w:spacing w:after="150"/>
              <w:ind w:left="720"/>
              <w:rPr>
                <w:rFonts w:ascii="Times New Roman" w:eastAsia="Times New Roman" w:hAnsi="Times New Roman" w:cs="Times New Roman"/>
                <w:sz w:val="24"/>
                <w:szCs w:val="24"/>
              </w:rPr>
            </w:pPr>
            <w:r w:rsidRPr="001C3EE2">
              <w:rPr>
                <w:rFonts w:ascii="Times New Roman" w:eastAsia="Times New Roman" w:hAnsi="Times New Roman" w:cs="Times New Roman"/>
                <w:b/>
                <w:bCs/>
                <w:sz w:val="24"/>
                <w:szCs w:val="24"/>
              </w:rPr>
              <w:t>(K)</w:t>
            </w:r>
            <w:r w:rsidRPr="001C3EE2">
              <w:rPr>
                <w:rFonts w:ascii="Times New Roman" w:eastAsia="Times New Roman" w:hAnsi="Times New Roman" w:cs="Times New Roman"/>
                <w:sz w:val="24"/>
                <w:szCs w:val="24"/>
              </w:rPr>
              <w:t> See </w:t>
            </w:r>
            <w:hyperlink r:id="rId110" w:history="1">
              <w:r w:rsidRPr="001C3EE2">
                <w:rPr>
                  <w:rFonts w:ascii="Times New Roman" w:eastAsia="Times New Roman" w:hAnsi="Times New Roman" w:cs="Times New Roman"/>
                  <w:sz w:val="24"/>
                  <w:szCs w:val="24"/>
                  <w:u w:val="single"/>
                </w:rPr>
                <w:t>§ 200.216</w:t>
              </w:r>
            </w:hyperlink>
            <w:r w:rsidRPr="001C3EE2">
              <w:rPr>
                <w:rFonts w:ascii="Times New Roman" w:eastAsia="Times New Roman" w:hAnsi="Times New Roman" w:cs="Times New Roman"/>
                <w:sz w:val="24"/>
                <w:szCs w:val="24"/>
              </w:rPr>
              <w:t>.</w:t>
            </w:r>
          </w:p>
          <w:p w14:paraId="23FCA46A" w14:textId="77777777" w:rsidR="00C1528E" w:rsidRPr="001C3EE2" w:rsidRDefault="00C1528E" w:rsidP="002B55BD">
            <w:pPr>
              <w:shd w:val="clear" w:color="auto" w:fill="FFFFFF"/>
              <w:spacing w:after="150"/>
              <w:ind w:left="720"/>
              <w:rPr>
                <w:rFonts w:ascii="Times New Roman" w:eastAsia="Times New Roman" w:hAnsi="Times New Roman" w:cs="Times New Roman"/>
                <w:sz w:val="24"/>
                <w:szCs w:val="24"/>
              </w:rPr>
            </w:pPr>
            <w:r w:rsidRPr="001C3EE2">
              <w:rPr>
                <w:rFonts w:ascii="Times New Roman" w:eastAsia="Times New Roman" w:hAnsi="Times New Roman" w:cs="Times New Roman"/>
                <w:b/>
                <w:bCs/>
                <w:sz w:val="24"/>
                <w:szCs w:val="24"/>
              </w:rPr>
              <w:t>(L)</w:t>
            </w:r>
            <w:r w:rsidRPr="001C3EE2">
              <w:rPr>
                <w:rFonts w:ascii="Times New Roman" w:eastAsia="Times New Roman" w:hAnsi="Times New Roman" w:cs="Times New Roman"/>
                <w:sz w:val="24"/>
                <w:szCs w:val="24"/>
              </w:rPr>
              <w:t> See </w:t>
            </w:r>
            <w:hyperlink r:id="rId111" w:history="1">
              <w:r w:rsidRPr="001C3EE2">
                <w:rPr>
                  <w:rFonts w:ascii="Times New Roman" w:eastAsia="Times New Roman" w:hAnsi="Times New Roman" w:cs="Times New Roman"/>
                  <w:sz w:val="24"/>
                  <w:szCs w:val="24"/>
                  <w:u w:val="single"/>
                </w:rPr>
                <w:t>§ 200.322</w:t>
              </w:r>
            </w:hyperlink>
            <w:r w:rsidRPr="001C3EE2">
              <w:rPr>
                <w:rFonts w:ascii="Times New Roman" w:eastAsia="Times New Roman" w:hAnsi="Times New Roman" w:cs="Times New Roman"/>
                <w:sz w:val="24"/>
                <w:szCs w:val="24"/>
              </w:rPr>
              <w:t>.</w:t>
            </w:r>
          </w:p>
          <w:p w14:paraId="2E3C44CF" w14:textId="77777777" w:rsidR="00C1528E" w:rsidRPr="0049213F" w:rsidRDefault="00C1528E" w:rsidP="002B55BD">
            <w:pPr>
              <w:shd w:val="clear" w:color="auto" w:fill="FFFFFF"/>
              <w:rPr>
                <w:rFonts w:ascii="Times New Roman" w:hAnsi="Times New Roman" w:cs="Times New Roman"/>
                <w:sz w:val="24"/>
                <w:szCs w:val="24"/>
              </w:rPr>
            </w:pPr>
            <w:r w:rsidRPr="001C3EE2">
              <w:rPr>
                <w:rFonts w:ascii="Times New Roman" w:eastAsia="Times New Roman" w:hAnsi="Times New Roman" w:cs="Times New Roman"/>
                <w:sz w:val="24"/>
                <w:szCs w:val="24"/>
              </w:rPr>
              <w:t>[</w:t>
            </w:r>
            <w:r w:rsidRPr="0049213F">
              <w:rPr>
                <w:rFonts w:ascii="Times New Roman" w:eastAsia="Times New Roman" w:hAnsi="Times New Roman" w:cs="Times New Roman"/>
                <w:sz w:val="24"/>
                <w:szCs w:val="24"/>
              </w:rPr>
              <w:t xml:space="preserve">See </w:t>
            </w:r>
            <w:hyperlink r:id="rId112" w:history="1">
              <w:r w:rsidRPr="001C3EE2">
                <w:rPr>
                  <w:rFonts w:ascii="Times New Roman" w:eastAsia="Times New Roman" w:hAnsi="Times New Roman" w:cs="Times New Roman"/>
                  <w:sz w:val="24"/>
                  <w:szCs w:val="24"/>
                  <w:u w:val="single"/>
                </w:rPr>
                <w:t>78 FR 78608</w:t>
              </w:r>
            </w:hyperlink>
            <w:r w:rsidRPr="001C3EE2">
              <w:rPr>
                <w:rFonts w:ascii="Times New Roman" w:eastAsia="Times New Roman" w:hAnsi="Times New Roman" w:cs="Times New Roman"/>
                <w:sz w:val="24"/>
                <w:szCs w:val="24"/>
              </w:rPr>
              <w:t>, Dec. 26, 2013, as amended at </w:t>
            </w:r>
            <w:hyperlink r:id="rId113" w:history="1">
              <w:r w:rsidRPr="001C3EE2">
                <w:rPr>
                  <w:rFonts w:ascii="Times New Roman" w:eastAsia="Times New Roman" w:hAnsi="Times New Roman" w:cs="Times New Roman"/>
                  <w:sz w:val="24"/>
                  <w:szCs w:val="24"/>
                  <w:u w:val="single"/>
                </w:rPr>
                <w:t>79 FR 75888</w:t>
              </w:r>
            </w:hyperlink>
            <w:r w:rsidRPr="001C3EE2">
              <w:rPr>
                <w:rFonts w:ascii="Times New Roman" w:eastAsia="Times New Roman" w:hAnsi="Times New Roman" w:cs="Times New Roman"/>
                <w:sz w:val="24"/>
                <w:szCs w:val="24"/>
              </w:rPr>
              <w:t>, Dec. 19, 2014; </w:t>
            </w:r>
            <w:hyperlink r:id="rId114" w:history="1">
              <w:r w:rsidRPr="001C3EE2">
                <w:rPr>
                  <w:rFonts w:ascii="Times New Roman" w:eastAsia="Times New Roman" w:hAnsi="Times New Roman" w:cs="Times New Roman"/>
                  <w:sz w:val="24"/>
                  <w:szCs w:val="24"/>
                  <w:u w:val="single"/>
                </w:rPr>
                <w:t>85 FR 49577</w:t>
              </w:r>
            </w:hyperlink>
            <w:r w:rsidRPr="001C3EE2">
              <w:rPr>
                <w:rFonts w:ascii="Times New Roman" w:eastAsia="Times New Roman" w:hAnsi="Times New Roman" w:cs="Times New Roman"/>
                <w:sz w:val="24"/>
                <w:szCs w:val="24"/>
              </w:rPr>
              <w:t>, Aug. 13, 2020</w:t>
            </w:r>
            <w:r w:rsidRPr="0049213F">
              <w:rPr>
                <w:rFonts w:ascii="Times New Roman" w:eastAsia="Times New Roman" w:hAnsi="Times New Roman" w:cs="Times New Roman"/>
                <w:sz w:val="24"/>
                <w:szCs w:val="24"/>
              </w:rPr>
              <w:t>.</w:t>
            </w:r>
            <w:r w:rsidRPr="001C3EE2">
              <w:rPr>
                <w:rFonts w:ascii="Times New Roman" w:eastAsia="Times New Roman" w:hAnsi="Times New Roman" w:cs="Times New Roman"/>
                <w:sz w:val="24"/>
                <w:szCs w:val="24"/>
              </w:rPr>
              <w:t>]</w:t>
            </w:r>
          </w:p>
        </w:tc>
      </w:tr>
    </w:tbl>
    <w:p w14:paraId="69E5A9E3" w14:textId="54C84C6C" w:rsidR="00161A9A" w:rsidRDefault="00161A9A" w:rsidP="00161A9A"/>
    <w:p w14:paraId="1CEC330E" w14:textId="5E781096" w:rsidR="002E2156" w:rsidRPr="007F4497" w:rsidRDefault="002E2156" w:rsidP="002E2156">
      <w:pPr>
        <w:rPr>
          <w:rFonts w:ascii="Times New Roman" w:hAnsi="Times New Roman" w:cs="Times New Roman"/>
          <w:b/>
          <w:bCs/>
          <w:sz w:val="24"/>
          <w:szCs w:val="24"/>
        </w:rPr>
      </w:pPr>
      <w:r w:rsidRPr="007F4497">
        <w:rPr>
          <w:rFonts w:ascii="Times New Roman" w:eastAsia="Garamond" w:hAnsi="Times New Roman" w:cs="Times New Roman"/>
          <w:b/>
          <w:bCs/>
          <w:spacing w:val="-3"/>
          <w:position w:val="1"/>
          <w:sz w:val="24"/>
          <w:szCs w:val="24"/>
        </w:rPr>
        <w:t xml:space="preserve">Adoption of </w:t>
      </w:r>
      <w:r w:rsidRPr="007F4497">
        <w:rPr>
          <w:rFonts w:ascii="Times New Roman" w:hAnsi="Times New Roman" w:cs="Times New Roman"/>
          <w:b/>
          <w:bCs/>
          <w:sz w:val="24"/>
          <w:szCs w:val="24"/>
        </w:rPr>
        <w:t>2 CFR §200.</w:t>
      </w:r>
      <w:r>
        <w:rPr>
          <w:rFonts w:ascii="Times New Roman" w:hAnsi="Times New Roman" w:cs="Times New Roman"/>
          <w:b/>
          <w:bCs/>
          <w:sz w:val="24"/>
          <w:szCs w:val="24"/>
        </w:rPr>
        <w:t>40</w:t>
      </w:r>
      <w:r w:rsidRPr="007F4497">
        <w:rPr>
          <w:rFonts w:ascii="Times New Roman" w:hAnsi="Times New Roman" w:cs="Times New Roman"/>
          <w:b/>
          <w:bCs/>
          <w:sz w:val="24"/>
          <w:szCs w:val="24"/>
        </w:rPr>
        <w:t>3-</w:t>
      </w:r>
      <w:r>
        <w:rPr>
          <w:rFonts w:ascii="Times New Roman" w:hAnsi="Times New Roman" w:cs="Times New Roman"/>
          <w:b/>
          <w:bCs/>
          <w:sz w:val="24"/>
          <w:szCs w:val="24"/>
        </w:rPr>
        <w:t>405</w:t>
      </w:r>
      <w:r w:rsidRPr="007F4497">
        <w:rPr>
          <w:rFonts w:ascii="Times New Roman" w:hAnsi="Times New Roman" w:cs="Times New Roman"/>
          <w:b/>
          <w:bCs/>
          <w:sz w:val="24"/>
          <w:szCs w:val="24"/>
        </w:rPr>
        <w:t xml:space="preserve"> </w:t>
      </w:r>
      <w:r w:rsidR="00E75547">
        <w:rPr>
          <w:rFonts w:ascii="Times New Roman" w:hAnsi="Times New Roman" w:cs="Times New Roman"/>
          <w:b/>
          <w:bCs/>
          <w:sz w:val="24"/>
          <w:szCs w:val="24"/>
        </w:rPr>
        <w:t>General Cost Principles</w:t>
      </w:r>
    </w:p>
    <w:p w14:paraId="2C6F69D1" w14:textId="72E02A7D" w:rsidR="002E2156" w:rsidRPr="007F4497" w:rsidRDefault="002E2156" w:rsidP="002E2156">
      <w:pPr>
        <w:ind w:firstLine="720"/>
        <w:rPr>
          <w:rFonts w:ascii="Times New Roman" w:hAnsi="Times New Roman" w:cs="Times New Roman"/>
          <w:sz w:val="24"/>
          <w:szCs w:val="24"/>
        </w:rPr>
      </w:pPr>
      <w:r w:rsidRPr="007F4497">
        <w:rPr>
          <w:rFonts w:ascii="Times New Roman" w:hAnsi="Times New Roman" w:cs="Times New Roman"/>
          <w:sz w:val="24"/>
          <w:szCs w:val="24"/>
        </w:rPr>
        <w:t xml:space="preserve">The ADECA CED Division hereby adopts </w:t>
      </w:r>
      <w:r w:rsidR="004952CB">
        <w:rPr>
          <w:rFonts w:ascii="Times New Roman" w:hAnsi="Times New Roman" w:cs="Times New Roman"/>
          <w:sz w:val="24"/>
          <w:szCs w:val="24"/>
        </w:rPr>
        <w:t xml:space="preserve">as part of these </w:t>
      </w:r>
      <w:r w:rsidRPr="007F4497">
        <w:rPr>
          <w:rFonts w:ascii="Times New Roman" w:hAnsi="Times New Roman" w:cs="Times New Roman"/>
          <w:sz w:val="24"/>
          <w:szCs w:val="24"/>
        </w:rPr>
        <w:t xml:space="preserve">procurement standards </w:t>
      </w:r>
      <w:r w:rsidR="004952CB">
        <w:rPr>
          <w:rFonts w:ascii="Times New Roman" w:hAnsi="Times New Roman" w:cs="Times New Roman"/>
          <w:sz w:val="24"/>
          <w:szCs w:val="24"/>
        </w:rPr>
        <w:t xml:space="preserve">the General Cost Principles </w:t>
      </w:r>
      <w:r w:rsidRPr="007F4497">
        <w:rPr>
          <w:rFonts w:ascii="Times New Roman" w:hAnsi="Times New Roman" w:cs="Times New Roman"/>
          <w:sz w:val="24"/>
          <w:szCs w:val="24"/>
        </w:rPr>
        <w:t xml:space="preserve">published in the </w:t>
      </w:r>
      <w:r w:rsidRPr="007F4497">
        <w:rPr>
          <w:rFonts w:ascii="Times New Roman" w:hAnsi="Times New Roman" w:cs="Times New Roman"/>
          <w:i/>
          <w:iCs/>
          <w:sz w:val="24"/>
          <w:szCs w:val="24"/>
        </w:rPr>
        <w:t>Code of Federal Regulations</w:t>
      </w:r>
      <w:r w:rsidRPr="007F4497">
        <w:rPr>
          <w:rFonts w:ascii="Times New Roman" w:hAnsi="Times New Roman" w:cs="Times New Roman"/>
          <w:sz w:val="24"/>
          <w:szCs w:val="24"/>
        </w:rPr>
        <w:t xml:space="preserve"> at 2 CFR §200.</w:t>
      </w:r>
      <w:r w:rsidR="004952CB">
        <w:rPr>
          <w:rFonts w:ascii="Times New Roman" w:hAnsi="Times New Roman" w:cs="Times New Roman"/>
          <w:sz w:val="24"/>
          <w:szCs w:val="24"/>
        </w:rPr>
        <w:t xml:space="preserve">403 </w:t>
      </w:r>
      <w:r w:rsidRPr="007F4497">
        <w:rPr>
          <w:rFonts w:ascii="Times New Roman" w:hAnsi="Times New Roman" w:cs="Times New Roman"/>
          <w:sz w:val="24"/>
          <w:szCs w:val="24"/>
        </w:rPr>
        <w:t>through 2 CFR §200.</w:t>
      </w:r>
      <w:r w:rsidR="004952CB">
        <w:rPr>
          <w:rFonts w:ascii="Times New Roman" w:hAnsi="Times New Roman" w:cs="Times New Roman"/>
          <w:sz w:val="24"/>
          <w:szCs w:val="24"/>
        </w:rPr>
        <w:t>405</w:t>
      </w:r>
      <w:r w:rsidRPr="007F4497">
        <w:rPr>
          <w:rFonts w:ascii="Times New Roman" w:hAnsi="Times New Roman" w:cs="Times New Roman"/>
          <w:sz w:val="24"/>
          <w:szCs w:val="24"/>
        </w:rPr>
        <w:t xml:space="preserve"> as </w:t>
      </w:r>
      <w:r w:rsidR="00836EBF">
        <w:rPr>
          <w:rFonts w:ascii="Times New Roman" w:hAnsi="Times New Roman" w:cs="Times New Roman"/>
          <w:sz w:val="24"/>
          <w:szCs w:val="24"/>
        </w:rPr>
        <w:t xml:space="preserve">part of </w:t>
      </w:r>
      <w:r w:rsidRPr="007F4497">
        <w:rPr>
          <w:rFonts w:ascii="Times New Roman" w:hAnsi="Times New Roman" w:cs="Times New Roman"/>
          <w:sz w:val="24"/>
          <w:szCs w:val="24"/>
        </w:rPr>
        <w:t>the procurement standards that will be applicable to ADECA</w:t>
      </w:r>
      <w:r w:rsidR="00836EBF">
        <w:rPr>
          <w:rFonts w:ascii="Times New Roman" w:hAnsi="Times New Roman" w:cs="Times New Roman"/>
          <w:sz w:val="24"/>
          <w:szCs w:val="24"/>
        </w:rPr>
        <w:t xml:space="preserve"> and its </w:t>
      </w:r>
      <w:r w:rsidRPr="007F4497">
        <w:rPr>
          <w:rFonts w:ascii="Times New Roman" w:hAnsi="Times New Roman" w:cs="Times New Roman"/>
          <w:sz w:val="24"/>
          <w:szCs w:val="24"/>
        </w:rPr>
        <w:t xml:space="preserve">subrecipients and/or units of local government who are recipients of CDBG-DR Grant Program funds for Hurricanes Sally and Zeta.  ADECA has adopted these </w:t>
      </w:r>
      <w:r w:rsidR="00836EBF">
        <w:rPr>
          <w:rFonts w:ascii="Times New Roman" w:hAnsi="Times New Roman" w:cs="Times New Roman"/>
          <w:sz w:val="24"/>
          <w:szCs w:val="24"/>
        </w:rPr>
        <w:t xml:space="preserve">general cost principles </w:t>
      </w:r>
      <w:r w:rsidRPr="007F4497">
        <w:rPr>
          <w:rFonts w:ascii="Times New Roman" w:hAnsi="Times New Roman" w:cs="Times New Roman"/>
          <w:sz w:val="24"/>
          <w:szCs w:val="24"/>
        </w:rPr>
        <w:t xml:space="preserve">so that </w:t>
      </w:r>
      <w:r w:rsidR="00836EBF">
        <w:rPr>
          <w:rFonts w:ascii="Times New Roman" w:hAnsi="Times New Roman" w:cs="Times New Roman"/>
          <w:sz w:val="24"/>
          <w:szCs w:val="24"/>
        </w:rPr>
        <w:t xml:space="preserve">ADECA and </w:t>
      </w:r>
      <w:r w:rsidRPr="007F4497">
        <w:rPr>
          <w:rFonts w:ascii="Times New Roman" w:hAnsi="Times New Roman" w:cs="Times New Roman"/>
          <w:sz w:val="24"/>
          <w:szCs w:val="24"/>
        </w:rPr>
        <w:t xml:space="preserve">the subrecipients / local governments will uphold the principles of full and open competition at the </w:t>
      </w:r>
      <w:r w:rsidR="00836EBF">
        <w:rPr>
          <w:rFonts w:ascii="Times New Roman" w:hAnsi="Times New Roman" w:cs="Times New Roman"/>
          <w:sz w:val="24"/>
          <w:szCs w:val="24"/>
        </w:rPr>
        <w:t xml:space="preserve">state and </w:t>
      </w:r>
      <w:r w:rsidR="004E7C31">
        <w:rPr>
          <w:rFonts w:ascii="Times New Roman" w:hAnsi="Times New Roman" w:cs="Times New Roman"/>
          <w:sz w:val="24"/>
          <w:szCs w:val="24"/>
        </w:rPr>
        <w:t xml:space="preserve">the </w:t>
      </w:r>
      <w:r w:rsidRPr="007F4497">
        <w:rPr>
          <w:rFonts w:ascii="Times New Roman" w:hAnsi="Times New Roman" w:cs="Times New Roman"/>
          <w:sz w:val="24"/>
          <w:szCs w:val="24"/>
        </w:rPr>
        <w:t>subrecipient / local government level</w:t>
      </w:r>
      <w:r w:rsidR="00836EBF">
        <w:rPr>
          <w:rFonts w:ascii="Times New Roman" w:hAnsi="Times New Roman" w:cs="Times New Roman"/>
          <w:sz w:val="24"/>
          <w:szCs w:val="24"/>
        </w:rPr>
        <w:t>s</w:t>
      </w:r>
      <w:r w:rsidRPr="007F4497">
        <w:rPr>
          <w:rFonts w:ascii="Times New Roman" w:hAnsi="Times New Roman" w:cs="Times New Roman"/>
          <w:sz w:val="24"/>
          <w:szCs w:val="24"/>
        </w:rPr>
        <w:t>, and so that the</w:t>
      </w:r>
      <w:r w:rsidR="00836EBF">
        <w:rPr>
          <w:rFonts w:ascii="Times New Roman" w:hAnsi="Times New Roman" w:cs="Times New Roman"/>
          <w:sz w:val="24"/>
          <w:szCs w:val="24"/>
        </w:rPr>
        <w:t xml:space="preserve"> state </w:t>
      </w:r>
      <w:r w:rsidR="00836EBF">
        <w:rPr>
          <w:rFonts w:ascii="Times New Roman" w:hAnsi="Times New Roman" w:cs="Times New Roman"/>
          <w:sz w:val="24"/>
          <w:szCs w:val="24"/>
        </w:rPr>
        <w:lastRenderedPageBreak/>
        <w:t xml:space="preserve">and the </w:t>
      </w:r>
      <w:r w:rsidRPr="007F4497">
        <w:rPr>
          <w:rFonts w:ascii="Times New Roman" w:hAnsi="Times New Roman" w:cs="Times New Roman"/>
          <w:sz w:val="24"/>
          <w:szCs w:val="24"/>
        </w:rPr>
        <w:t xml:space="preserve">subrecipients / local governments will evaluate the cost or price of products or services at the </w:t>
      </w:r>
      <w:r w:rsidR="004E7C31">
        <w:rPr>
          <w:rFonts w:ascii="Times New Roman" w:hAnsi="Times New Roman" w:cs="Times New Roman"/>
          <w:sz w:val="24"/>
          <w:szCs w:val="24"/>
        </w:rPr>
        <w:t xml:space="preserve">state and </w:t>
      </w:r>
      <w:r w:rsidRPr="007F4497">
        <w:rPr>
          <w:rFonts w:ascii="Times New Roman" w:hAnsi="Times New Roman" w:cs="Times New Roman"/>
          <w:sz w:val="24"/>
          <w:szCs w:val="24"/>
        </w:rPr>
        <w:t>local level</w:t>
      </w:r>
      <w:r w:rsidR="004E7C31">
        <w:rPr>
          <w:rFonts w:ascii="Times New Roman" w:hAnsi="Times New Roman" w:cs="Times New Roman"/>
          <w:sz w:val="24"/>
          <w:szCs w:val="24"/>
        </w:rPr>
        <w:t>s.</w:t>
      </w:r>
    </w:p>
    <w:p w14:paraId="493B4693" w14:textId="648C93E5" w:rsidR="002E2156" w:rsidRDefault="002E2156" w:rsidP="002E2156">
      <w:pPr>
        <w:ind w:firstLine="720"/>
        <w:rPr>
          <w:rFonts w:ascii="Times New Roman" w:hAnsi="Times New Roman" w:cs="Times New Roman"/>
          <w:sz w:val="24"/>
          <w:szCs w:val="24"/>
        </w:rPr>
      </w:pPr>
      <w:r w:rsidRPr="007F4497">
        <w:rPr>
          <w:rFonts w:ascii="Times New Roman" w:hAnsi="Times New Roman" w:cs="Times New Roman"/>
          <w:sz w:val="24"/>
          <w:szCs w:val="24"/>
        </w:rPr>
        <w:t>These CFR sections are posted online at the links</w:t>
      </w:r>
      <w:r w:rsidR="00875E9F">
        <w:rPr>
          <w:rFonts w:ascii="Times New Roman" w:hAnsi="Times New Roman" w:cs="Times New Roman"/>
          <w:sz w:val="24"/>
          <w:szCs w:val="24"/>
        </w:rPr>
        <w:t xml:space="preserve"> </w:t>
      </w:r>
      <w:hyperlink r:id="rId115" w:history="1">
        <w:r w:rsidR="00875E9F" w:rsidRPr="002E78CB">
          <w:rPr>
            <w:rStyle w:val="Hyperlink"/>
            <w:rFonts w:ascii="Times New Roman" w:hAnsi="Times New Roman" w:cs="Times New Roman"/>
            <w:sz w:val="24"/>
            <w:szCs w:val="24"/>
          </w:rPr>
          <w:t>https://www.ecfr.gov/current/title-2/subtitle-A/chapter-II/part-200/subpart-E/subject-group-ECFRea20080eff2ea53/section-200.403</w:t>
        </w:r>
      </w:hyperlink>
      <w:r w:rsidR="00875E9F">
        <w:rPr>
          <w:rFonts w:ascii="Times New Roman" w:hAnsi="Times New Roman" w:cs="Times New Roman"/>
          <w:sz w:val="24"/>
          <w:szCs w:val="24"/>
        </w:rPr>
        <w:t xml:space="preserve"> through </w:t>
      </w:r>
      <w:hyperlink r:id="rId116" w:history="1">
        <w:r w:rsidR="00355046" w:rsidRPr="002E78CB">
          <w:rPr>
            <w:rStyle w:val="Hyperlink"/>
            <w:rFonts w:ascii="Times New Roman" w:hAnsi="Times New Roman" w:cs="Times New Roman"/>
            <w:sz w:val="24"/>
            <w:szCs w:val="24"/>
          </w:rPr>
          <w:t>https://www.ecfr.gov/current/title-2/subtitle-A/chapter-II/part-200/subpart-E/subject-group-ECFRea20080eff2ea53/section-200.405</w:t>
        </w:r>
      </w:hyperlink>
      <w:r w:rsidR="00875E9F">
        <w:rPr>
          <w:rFonts w:ascii="Times New Roman" w:hAnsi="Times New Roman" w:cs="Times New Roman"/>
          <w:sz w:val="24"/>
          <w:szCs w:val="24"/>
        </w:rPr>
        <w:t xml:space="preserve">.  </w:t>
      </w:r>
      <w:r w:rsidRPr="007F4497">
        <w:rPr>
          <w:rFonts w:ascii="Times New Roman" w:hAnsi="Times New Roman" w:cs="Times New Roman"/>
          <w:sz w:val="24"/>
          <w:szCs w:val="24"/>
        </w:rPr>
        <w:t>These CFR sections state as follows:</w:t>
      </w:r>
    </w:p>
    <w:p w14:paraId="0012A238" w14:textId="77777777" w:rsidR="003262DF" w:rsidRPr="007F4497" w:rsidRDefault="003262DF" w:rsidP="003262DF">
      <w:pPr>
        <w:rPr>
          <w:rFonts w:ascii="Times New Roman" w:hAnsi="Times New Roman" w:cs="Times New Roman"/>
          <w:sz w:val="24"/>
          <w:szCs w:val="24"/>
        </w:rPr>
      </w:pPr>
    </w:p>
    <w:p w14:paraId="79A01469" w14:textId="3AA529EC" w:rsidR="003262DF" w:rsidRPr="0049213F" w:rsidRDefault="003262DF" w:rsidP="003262DF">
      <w:pPr>
        <w:ind w:firstLine="720"/>
        <w:rPr>
          <w:rFonts w:ascii="Times New Roman" w:hAnsi="Times New Roman" w:cs="Times New Roman"/>
          <w:b/>
          <w:sz w:val="24"/>
          <w:szCs w:val="24"/>
        </w:rPr>
      </w:pPr>
      <w:r w:rsidRPr="0049213F">
        <w:rPr>
          <w:rFonts w:ascii="Times New Roman" w:hAnsi="Times New Roman" w:cs="Times New Roman"/>
          <w:sz w:val="24"/>
          <w:szCs w:val="24"/>
        </w:rPr>
        <w:tab/>
      </w:r>
      <w:r w:rsidRPr="0049213F">
        <w:rPr>
          <w:rFonts w:ascii="Times New Roman" w:hAnsi="Times New Roman" w:cs="Times New Roman"/>
          <w:b/>
          <w:sz w:val="24"/>
          <w:szCs w:val="24"/>
        </w:rPr>
        <w:t>2 CFR §200.</w:t>
      </w:r>
      <w:r>
        <w:rPr>
          <w:rFonts w:ascii="Times New Roman" w:hAnsi="Times New Roman" w:cs="Times New Roman"/>
          <w:b/>
          <w:sz w:val="24"/>
          <w:szCs w:val="24"/>
        </w:rPr>
        <w:t>40</w:t>
      </w:r>
      <w:r w:rsidRPr="0049213F">
        <w:rPr>
          <w:rFonts w:ascii="Times New Roman" w:hAnsi="Times New Roman" w:cs="Times New Roman"/>
          <w:b/>
          <w:sz w:val="24"/>
          <w:szCs w:val="24"/>
        </w:rPr>
        <w:t>3 through 2 CFR §200.</w:t>
      </w:r>
      <w:r>
        <w:rPr>
          <w:rFonts w:ascii="Times New Roman" w:hAnsi="Times New Roman" w:cs="Times New Roman"/>
          <w:b/>
          <w:sz w:val="24"/>
          <w:szCs w:val="24"/>
        </w:rPr>
        <w:t>405</w:t>
      </w:r>
    </w:p>
    <w:tbl>
      <w:tblPr>
        <w:tblStyle w:val="TableGrid"/>
        <w:tblW w:w="0" w:type="auto"/>
        <w:tblLook w:val="04A0" w:firstRow="1" w:lastRow="0" w:firstColumn="1" w:lastColumn="0" w:noHBand="0" w:noVBand="1"/>
      </w:tblPr>
      <w:tblGrid>
        <w:gridCol w:w="9350"/>
      </w:tblGrid>
      <w:tr w:rsidR="00161A9A" w14:paraId="30FC3065" w14:textId="77777777" w:rsidTr="00161A9A">
        <w:tc>
          <w:tcPr>
            <w:tcW w:w="9350" w:type="dxa"/>
          </w:tcPr>
          <w:p w14:paraId="39275634" w14:textId="79807814" w:rsidR="00161A9A" w:rsidRPr="00EA06DD" w:rsidRDefault="00161A9A" w:rsidP="00161A9A">
            <w:pPr>
              <w:spacing w:before="100" w:beforeAutospacing="1" w:after="100" w:afterAutospacing="1"/>
              <w:outlineLvl w:val="1"/>
              <w:rPr>
                <w:rFonts w:ascii="Times New Roman" w:eastAsia="Times New Roman" w:hAnsi="Times New Roman" w:cs="Times New Roman"/>
                <w:b/>
                <w:bCs/>
                <w:sz w:val="24"/>
                <w:szCs w:val="24"/>
                <w:u w:val="single"/>
              </w:rPr>
            </w:pPr>
            <w:r w:rsidRPr="0056069F">
              <w:rPr>
                <w:rFonts w:ascii="Times New Roman" w:eastAsia="Times New Roman" w:hAnsi="Times New Roman" w:cs="Times New Roman"/>
                <w:b/>
                <w:bCs/>
                <w:sz w:val="24"/>
                <w:szCs w:val="24"/>
                <w:u w:val="single"/>
              </w:rPr>
              <w:t xml:space="preserve">2 CFR </w:t>
            </w:r>
            <w:hyperlink r:id="rId117" w:history="1">
              <w:r w:rsidRPr="00EA06DD">
                <w:rPr>
                  <w:rFonts w:ascii="Times New Roman" w:eastAsia="Times New Roman" w:hAnsi="Times New Roman" w:cs="Times New Roman"/>
                  <w:b/>
                  <w:bCs/>
                  <w:sz w:val="24"/>
                  <w:szCs w:val="24"/>
                  <w:u w:val="single"/>
                </w:rPr>
                <w:t>§</w:t>
              </w:r>
              <w:r w:rsidR="0056069F" w:rsidRPr="0056069F">
                <w:rPr>
                  <w:rFonts w:ascii="Times New Roman" w:eastAsia="Times New Roman" w:hAnsi="Times New Roman" w:cs="Times New Roman"/>
                  <w:b/>
                  <w:bCs/>
                  <w:sz w:val="24"/>
                  <w:szCs w:val="24"/>
                  <w:u w:val="single"/>
                </w:rPr>
                <w:t xml:space="preserve"> </w:t>
              </w:r>
              <w:r w:rsidRPr="00EA06DD">
                <w:rPr>
                  <w:rFonts w:ascii="Times New Roman" w:eastAsia="Times New Roman" w:hAnsi="Times New Roman" w:cs="Times New Roman"/>
                  <w:b/>
                  <w:bCs/>
                  <w:sz w:val="24"/>
                  <w:szCs w:val="24"/>
                  <w:u w:val="single"/>
                </w:rPr>
                <w:t>200.403 Factors affecting allowability of costs.</w:t>
              </w:r>
            </w:hyperlink>
          </w:p>
          <w:p w14:paraId="3522D2B2" w14:textId="77777777" w:rsidR="00161A9A" w:rsidRPr="00EA06DD" w:rsidRDefault="00161A9A" w:rsidP="00161A9A">
            <w:pPr>
              <w:spacing w:before="100" w:beforeAutospacing="1" w:after="100" w:afterAutospacing="1"/>
              <w:rPr>
                <w:rFonts w:ascii="Times New Roman" w:eastAsia="Times New Roman" w:hAnsi="Times New Roman" w:cs="Times New Roman"/>
                <w:sz w:val="24"/>
                <w:szCs w:val="24"/>
              </w:rPr>
            </w:pPr>
            <w:r w:rsidRPr="00EA06DD">
              <w:rPr>
                <w:rFonts w:ascii="Times New Roman" w:eastAsia="Times New Roman" w:hAnsi="Times New Roman" w:cs="Times New Roman"/>
                <w:sz w:val="24"/>
                <w:szCs w:val="24"/>
              </w:rPr>
              <w:t xml:space="preserve">Except where otherwise authorized by statute, costs must meet the following general criteria in order to be allowable under Federal awards: </w:t>
            </w:r>
          </w:p>
          <w:p w14:paraId="13F9CD49" w14:textId="77777777" w:rsidR="00161A9A" w:rsidRPr="00EA06DD" w:rsidRDefault="00161A9A" w:rsidP="00161A9A">
            <w:pPr>
              <w:spacing w:before="100" w:beforeAutospacing="1" w:after="100" w:afterAutospacing="1"/>
              <w:ind w:left="180"/>
              <w:rPr>
                <w:rFonts w:ascii="Times New Roman" w:eastAsia="Times New Roman" w:hAnsi="Times New Roman" w:cs="Times New Roman"/>
                <w:sz w:val="24"/>
                <w:szCs w:val="24"/>
              </w:rPr>
            </w:pPr>
            <w:r w:rsidRPr="00EA06DD">
              <w:rPr>
                <w:rFonts w:ascii="Times New Roman" w:eastAsia="Times New Roman" w:hAnsi="Times New Roman" w:cs="Times New Roman"/>
                <w:sz w:val="24"/>
                <w:szCs w:val="24"/>
              </w:rPr>
              <w:t xml:space="preserve">(a) Be necessary and reasonable for the performance of the Federal award and be allocable thereto under these principles. </w:t>
            </w:r>
          </w:p>
          <w:p w14:paraId="71451C18" w14:textId="77777777" w:rsidR="00161A9A" w:rsidRPr="00EA06DD" w:rsidRDefault="00161A9A" w:rsidP="00161A9A">
            <w:pPr>
              <w:spacing w:before="100" w:beforeAutospacing="1" w:after="100" w:afterAutospacing="1"/>
              <w:ind w:left="180"/>
              <w:rPr>
                <w:rFonts w:ascii="Times New Roman" w:eastAsia="Times New Roman" w:hAnsi="Times New Roman" w:cs="Times New Roman"/>
                <w:sz w:val="24"/>
                <w:szCs w:val="24"/>
              </w:rPr>
            </w:pPr>
            <w:r w:rsidRPr="00EA06DD">
              <w:rPr>
                <w:rFonts w:ascii="Times New Roman" w:eastAsia="Times New Roman" w:hAnsi="Times New Roman" w:cs="Times New Roman"/>
                <w:sz w:val="24"/>
                <w:szCs w:val="24"/>
              </w:rPr>
              <w:t xml:space="preserve">(b) Conform to any limitations or exclusions set forth in these principles or in the Federal award as to types or amount of cost items. </w:t>
            </w:r>
          </w:p>
          <w:p w14:paraId="0353B5DD" w14:textId="77777777" w:rsidR="00161A9A" w:rsidRPr="00EA06DD" w:rsidRDefault="00161A9A" w:rsidP="00161A9A">
            <w:pPr>
              <w:spacing w:before="100" w:beforeAutospacing="1" w:after="100" w:afterAutospacing="1"/>
              <w:ind w:left="180"/>
              <w:rPr>
                <w:rFonts w:ascii="Times New Roman" w:eastAsia="Times New Roman" w:hAnsi="Times New Roman" w:cs="Times New Roman"/>
                <w:sz w:val="24"/>
                <w:szCs w:val="24"/>
              </w:rPr>
            </w:pPr>
            <w:r w:rsidRPr="00EA06DD">
              <w:rPr>
                <w:rFonts w:ascii="Times New Roman" w:eastAsia="Times New Roman" w:hAnsi="Times New Roman" w:cs="Times New Roman"/>
                <w:sz w:val="24"/>
                <w:szCs w:val="24"/>
              </w:rPr>
              <w:t xml:space="preserve">(c) Be consistent with policies and procedures that apply uniformly to both federally-financed and other activities of the non-Federal entity. </w:t>
            </w:r>
          </w:p>
          <w:p w14:paraId="3D749D8D" w14:textId="77777777" w:rsidR="00161A9A" w:rsidRPr="00EA06DD" w:rsidRDefault="00161A9A" w:rsidP="00161A9A">
            <w:pPr>
              <w:spacing w:before="100" w:beforeAutospacing="1" w:after="100" w:afterAutospacing="1"/>
              <w:ind w:left="180"/>
              <w:rPr>
                <w:rFonts w:ascii="Times New Roman" w:eastAsia="Times New Roman" w:hAnsi="Times New Roman" w:cs="Times New Roman"/>
                <w:sz w:val="24"/>
                <w:szCs w:val="24"/>
              </w:rPr>
            </w:pPr>
            <w:r w:rsidRPr="00EA06DD">
              <w:rPr>
                <w:rFonts w:ascii="Times New Roman" w:eastAsia="Times New Roman" w:hAnsi="Times New Roman" w:cs="Times New Roman"/>
                <w:sz w:val="24"/>
                <w:szCs w:val="24"/>
              </w:rPr>
              <w:t xml:space="preserve">(d) Be accorded consistent treatment. A cost may not be assigned to a Federal award as a direct cost if any other cost incurred for the same purpose in like circumstances has been allocated to the Federal award as an indirect cost. </w:t>
            </w:r>
          </w:p>
          <w:p w14:paraId="3DCD01E4" w14:textId="77777777" w:rsidR="00161A9A" w:rsidRPr="00EA06DD" w:rsidRDefault="00161A9A" w:rsidP="00161A9A">
            <w:pPr>
              <w:spacing w:before="100" w:beforeAutospacing="1" w:after="100" w:afterAutospacing="1"/>
              <w:ind w:left="180"/>
              <w:rPr>
                <w:rFonts w:ascii="Times New Roman" w:eastAsia="Times New Roman" w:hAnsi="Times New Roman" w:cs="Times New Roman"/>
                <w:sz w:val="24"/>
                <w:szCs w:val="24"/>
              </w:rPr>
            </w:pPr>
            <w:r w:rsidRPr="00EA06DD">
              <w:rPr>
                <w:rFonts w:ascii="Times New Roman" w:eastAsia="Times New Roman" w:hAnsi="Times New Roman" w:cs="Times New Roman"/>
                <w:sz w:val="24"/>
                <w:szCs w:val="24"/>
              </w:rPr>
              <w:t xml:space="preserve">(e) Be determined in accordance with generally accepted accounting principles (GAAP), except, for state and local governments and Indian tribes only, as otherwise provided for in this part. </w:t>
            </w:r>
          </w:p>
          <w:p w14:paraId="7CCE663C" w14:textId="77777777" w:rsidR="00161A9A" w:rsidRPr="00EA06DD" w:rsidRDefault="00161A9A" w:rsidP="00161A9A">
            <w:pPr>
              <w:spacing w:before="100" w:beforeAutospacing="1" w:after="100" w:afterAutospacing="1"/>
              <w:ind w:left="180"/>
              <w:rPr>
                <w:rFonts w:ascii="Times New Roman" w:eastAsia="Times New Roman" w:hAnsi="Times New Roman" w:cs="Times New Roman"/>
                <w:sz w:val="24"/>
                <w:szCs w:val="24"/>
              </w:rPr>
            </w:pPr>
            <w:r w:rsidRPr="00EA06DD">
              <w:rPr>
                <w:rFonts w:ascii="Times New Roman" w:eastAsia="Times New Roman" w:hAnsi="Times New Roman" w:cs="Times New Roman"/>
                <w:sz w:val="24"/>
                <w:szCs w:val="24"/>
              </w:rPr>
              <w:t xml:space="preserve">(f) Not be included as a cost or used to meet cost sharing or matching requirements of any other federally-financed program in either the current or a prior period. See also </w:t>
            </w:r>
            <w:hyperlink r:id="rId118" w:anchor="p-200.306(b)" w:history="1">
              <w:r w:rsidRPr="00EA06DD">
                <w:rPr>
                  <w:rFonts w:ascii="Times New Roman" w:eastAsia="Times New Roman" w:hAnsi="Times New Roman" w:cs="Times New Roman"/>
                  <w:sz w:val="24"/>
                  <w:szCs w:val="24"/>
                  <w:u w:val="single"/>
                </w:rPr>
                <w:t>§ 200.306(b)</w:t>
              </w:r>
            </w:hyperlink>
            <w:r w:rsidRPr="00EA06DD">
              <w:rPr>
                <w:rFonts w:ascii="Times New Roman" w:eastAsia="Times New Roman" w:hAnsi="Times New Roman" w:cs="Times New Roman"/>
                <w:sz w:val="24"/>
                <w:szCs w:val="24"/>
              </w:rPr>
              <w:t xml:space="preserve">. </w:t>
            </w:r>
          </w:p>
          <w:p w14:paraId="153506E8" w14:textId="77777777" w:rsidR="00161A9A" w:rsidRPr="00EA06DD" w:rsidRDefault="00161A9A" w:rsidP="00161A9A">
            <w:pPr>
              <w:spacing w:before="100" w:beforeAutospacing="1" w:after="100" w:afterAutospacing="1"/>
              <w:ind w:left="180"/>
              <w:rPr>
                <w:rFonts w:ascii="Times New Roman" w:eastAsia="Times New Roman" w:hAnsi="Times New Roman" w:cs="Times New Roman"/>
                <w:sz w:val="24"/>
                <w:szCs w:val="24"/>
              </w:rPr>
            </w:pPr>
            <w:r w:rsidRPr="00EA06DD">
              <w:rPr>
                <w:rFonts w:ascii="Times New Roman" w:eastAsia="Times New Roman" w:hAnsi="Times New Roman" w:cs="Times New Roman"/>
                <w:sz w:val="24"/>
                <w:szCs w:val="24"/>
              </w:rPr>
              <w:t xml:space="preserve">(g) Be adequately documented. See also </w:t>
            </w:r>
            <w:hyperlink r:id="rId119" w:history="1">
              <w:r w:rsidRPr="00EA06DD">
                <w:rPr>
                  <w:rFonts w:ascii="Times New Roman" w:eastAsia="Times New Roman" w:hAnsi="Times New Roman" w:cs="Times New Roman"/>
                  <w:sz w:val="24"/>
                  <w:szCs w:val="24"/>
                  <w:u w:val="single"/>
                </w:rPr>
                <w:t>§§ 200.300</w:t>
              </w:r>
            </w:hyperlink>
            <w:r w:rsidRPr="00EA06DD">
              <w:rPr>
                <w:rFonts w:ascii="Times New Roman" w:eastAsia="Times New Roman" w:hAnsi="Times New Roman" w:cs="Times New Roman"/>
                <w:sz w:val="24"/>
                <w:szCs w:val="24"/>
              </w:rPr>
              <w:t xml:space="preserve"> through </w:t>
            </w:r>
            <w:hyperlink r:id="rId120" w:history="1">
              <w:r w:rsidRPr="00EA06DD">
                <w:rPr>
                  <w:rFonts w:ascii="Times New Roman" w:eastAsia="Times New Roman" w:hAnsi="Times New Roman" w:cs="Times New Roman"/>
                  <w:sz w:val="24"/>
                  <w:szCs w:val="24"/>
                  <w:u w:val="single"/>
                </w:rPr>
                <w:t>200.309 of this part</w:t>
              </w:r>
            </w:hyperlink>
            <w:r w:rsidRPr="00EA06DD">
              <w:rPr>
                <w:rFonts w:ascii="Times New Roman" w:eastAsia="Times New Roman" w:hAnsi="Times New Roman" w:cs="Times New Roman"/>
                <w:sz w:val="24"/>
                <w:szCs w:val="24"/>
              </w:rPr>
              <w:t xml:space="preserve">. </w:t>
            </w:r>
          </w:p>
          <w:p w14:paraId="2E56B68B" w14:textId="77777777" w:rsidR="00161A9A" w:rsidRPr="00EA06DD" w:rsidRDefault="00161A9A" w:rsidP="00161A9A">
            <w:pPr>
              <w:spacing w:before="100" w:beforeAutospacing="1" w:after="100" w:afterAutospacing="1"/>
              <w:ind w:left="180"/>
              <w:rPr>
                <w:rFonts w:ascii="Times New Roman" w:eastAsia="Times New Roman" w:hAnsi="Times New Roman" w:cs="Times New Roman"/>
                <w:sz w:val="24"/>
                <w:szCs w:val="24"/>
              </w:rPr>
            </w:pPr>
            <w:r w:rsidRPr="00EA06DD">
              <w:rPr>
                <w:rFonts w:ascii="Times New Roman" w:eastAsia="Times New Roman" w:hAnsi="Times New Roman" w:cs="Times New Roman"/>
                <w:sz w:val="24"/>
                <w:szCs w:val="24"/>
              </w:rPr>
              <w:t xml:space="preserve">(h) Cost must be incurred during the approved budget period. The Federal awarding agency is authorized, at its discretion, to waive prior written approvals to carry forward unobligated balances to subsequent budget periods pursuant to </w:t>
            </w:r>
            <w:hyperlink r:id="rId121" w:anchor="p-200.308(e)(3)" w:history="1">
              <w:r w:rsidRPr="00EA06DD">
                <w:rPr>
                  <w:rFonts w:ascii="Times New Roman" w:eastAsia="Times New Roman" w:hAnsi="Times New Roman" w:cs="Times New Roman"/>
                  <w:sz w:val="24"/>
                  <w:szCs w:val="24"/>
                  <w:u w:val="single"/>
                </w:rPr>
                <w:t>§ 200.308(e)(3)</w:t>
              </w:r>
            </w:hyperlink>
            <w:r w:rsidRPr="00EA06DD">
              <w:rPr>
                <w:rFonts w:ascii="Times New Roman" w:eastAsia="Times New Roman" w:hAnsi="Times New Roman" w:cs="Times New Roman"/>
                <w:sz w:val="24"/>
                <w:szCs w:val="24"/>
              </w:rPr>
              <w:t xml:space="preserve">. </w:t>
            </w:r>
          </w:p>
          <w:p w14:paraId="4FA5B82E" w14:textId="59081917" w:rsidR="00161A9A" w:rsidRPr="00EA06DD" w:rsidRDefault="00161A9A" w:rsidP="00161A9A">
            <w:pPr>
              <w:spacing w:before="100" w:beforeAutospacing="1" w:after="100" w:afterAutospacing="1"/>
              <w:rPr>
                <w:rFonts w:ascii="Times New Roman" w:eastAsia="Times New Roman" w:hAnsi="Times New Roman" w:cs="Times New Roman"/>
                <w:sz w:val="24"/>
                <w:szCs w:val="24"/>
              </w:rPr>
            </w:pPr>
            <w:r w:rsidRPr="00EA06DD">
              <w:rPr>
                <w:rFonts w:ascii="Times New Roman" w:eastAsia="Times New Roman" w:hAnsi="Times New Roman" w:cs="Times New Roman"/>
                <w:sz w:val="24"/>
                <w:szCs w:val="24"/>
              </w:rPr>
              <w:t>[</w:t>
            </w:r>
            <w:r w:rsidR="002E2156">
              <w:rPr>
                <w:rFonts w:ascii="Times New Roman" w:eastAsia="Times New Roman" w:hAnsi="Times New Roman" w:cs="Times New Roman"/>
                <w:sz w:val="24"/>
                <w:szCs w:val="24"/>
              </w:rPr>
              <w:t>S</w:t>
            </w:r>
            <w:r w:rsidR="002E2156">
              <w:rPr>
                <w:rFonts w:eastAsia="Times New Roman"/>
              </w:rPr>
              <w:t xml:space="preserve">ee </w:t>
            </w:r>
            <w:hyperlink r:id="rId122" w:history="1">
              <w:r w:rsidRPr="00EA06DD">
                <w:rPr>
                  <w:rFonts w:ascii="Times New Roman" w:eastAsia="Times New Roman" w:hAnsi="Times New Roman" w:cs="Times New Roman"/>
                  <w:sz w:val="24"/>
                  <w:szCs w:val="24"/>
                  <w:u w:val="single"/>
                </w:rPr>
                <w:t>78 FR 78608</w:t>
              </w:r>
            </w:hyperlink>
            <w:r w:rsidRPr="00EA06DD">
              <w:rPr>
                <w:rFonts w:ascii="Times New Roman" w:eastAsia="Times New Roman" w:hAnsi="Times New Roman" w:cs="Times New Roman"/>
                <w:sz w:val="24"/>
                <w:szCs w:val="24"/>
              </w:rPr>
              <w:t xml:space="preserve">, Dec. 26, 2013, as amended at </w:t>
            </w:r>
            <w:hyperlink r:id="rId123" w:history="1">
              <w:r w:rsidRPr="00EA06DD">
                <w:rPr>
                  <w:rFonts w:ascii="Times New Roman" w:eastAsia="Times New Roman" w:hAnsi="Times New Roman" w:cs="Times New Roman"/>
                  <w:sz w:val="24"/>
                  <w:szCs w:val="24"/>
                  <w:u w:val="single"/>
                </w:rPr>
                <w:t>85 FR 49562</w:t>
              </w:r>
            </w:hyperlink>
            <w:r w:rsidRPr="00EA06DD">
              <w:rPr>
                <w:rFonts w:ascii="Times New Roman" w:eastAsia="Times New Roman" w:hAnsi="Times New Roman" w:cs="Times New Roman"/>
                <w:sz w:val="24"/>
                <w:szCs w:val="24"/>
              </w:rPr>
              <w:t>, Aug. 13, 2020</w:t>
            </w:r>
            <w:r w:rsidR="002E2156">
              <w:rPr>
                <w:rFonts w:ascii="Times New Roman" w:eastAsia="Times New Roman" w:hAnsi="Times New Roman" w:cs="Times New Roman"/>
                <w:sz w:val="24"/>
                <w:szCs w:val="24"/>
              </w:rPr>
              <w:t>.</w:t>
            </w:r>
            <w:r w:rsidRPr="00EA06DD">
              <w:rPr>
                <w:rFonts w:ascii="Times New Roman" w:eastAsia="Times New Roman" w:hAnsi="Times New Roman" w:cs="Times New Roman"/>
                <w:sz w:val="24"/>
                <w:szCs w:val="24"/>
              </w:rPr>
              <w:t>]</w:t>
            </w:r>
          </w:p>
          <w:p w14:paraId="239793B4" w14:textId="77777777" w:rsidR="00161A9A" w:rsidRPr="00EA06DD" w:rsidRDefault="00161A9A" w:rsidP="00161A9A">
            <w:pPr>
              <w:rPr>
                <w:rFonts w:ascii="Times New Roman" w:hAnsi="Times New Roman" w:cs="Times New Roman"/>
                <w:sz w:val="24"/>
                <w:szCs w:val="24"/>
              </w:rPr>
            </w:pPr>
          </w:p>
          <w:p w14:paraId="67BF22BC" w14:textId="4141201D" w:rsidR="00161A9A" w:rsidRPr="0056069F" w:rsidRDefault="00161A9A" w:rsidP="00161A9A">
            <w:pPr>
              <w:pStyle w:val="Heading2"/>
              <w:outlineLvl w:val="1"/>
              <w:rPr>
                <w:rFonts w:ascii="Times New Roman" w:hAnsi="Times New Roman" w:cs="Times New Roman"/>
                <w:b/>
                <w:bCs/>
                <w:color w:val="auto"/>
                <w:sz w:val="24"/>
                <w:szCs w:val="24"/>
                <w:u w:val="single"/>
              </w:rPr>
            </w:pPr>
            <w:r w:rsidRPr="0056069F">
              <w:rPr>
                <w:rFonts w:ascii="Times New Roman" w:hAnsi="Times New Roman" w:cs="Times New Roman"/>
                <w:b/>
                <w:bCs/>
                <w:color w:val="auto"/>
                <w:sz w:val="24"/>
                <w:szCs w:val="24"/>
                <w:u w:val="single"/>
              </w:rPr>
              <w:lastRenderedPageBreak/>
              <w:t xml:space="preserve">2 CFR </w:t>
            </w:r>
            <w:hyperlink r:id="rId124" w:history="1">
              <w:r w:rsidRPr="0056069F">
                <w:rPr>
                  <w:rStyle w:val="Hyperlink"/>
                  <w:rFonts w:ascii="Times New Roman" w:hAnsi="Times New Roman" w:cs="Times New Roman"/>
                  <w:b/>
                  <w:bCs/>
                  <w:color w:val="auto"/>
                  <w:sz w:val="24"/>
                  <w:szCs w:val="24"/>
                </w:rPr>
                <w:t>§</w:t>
              </w:r>
              <w:r w:rsidR="0056069F">
                <w:rPr>
                  <w:rStyle w:val="Hyperlink"/>
                  <w:rFonts w:ascii="Times New Roman" w:hAnsi="Times New Roman" w:cs="Times New Roman"/>
                  <w:b/>
                  <w:bCs/>
                  <w:color w:val="auto"/>
                  <w:sz w:val="24"/>
                  <w:szCs w:val="24"/>
                </w:rPr>
                <w:t xml:space="preserve"> </w:t>
              </w:r>
              <w:r w:rsidRPr="0056069F">
                <w:rPr>
                  <w:rStyle w:val="Hyperlink"/>
                  <w:rFonts w:ascii="Times New Roman" w:hAnsi="Times New Roman" w:cs="Times New Roman"/>
                  <w:b/>
                  <w:bCs/>
                  <w:color w:val="auto"/>
                  <w:sz w:val="24"/>
                  <w:szCs w:val="24"/>
                </w:rPr>
                <w:t>200.404 Reasonable costs.</w:t>
              </w:r>
            </w:hyperlink>
          </w:p>
          <w:p w14:paraId="2AA46CA7" w14:textId="77777777" w:rsidR="00161A9A" w:rsidRPr="00EA06DD" w:rsidRDefault="00161A9A" w:rsidP="00161A9A">
            <w:pPr>
              <w:pStyle w:val="NormalWeb"/>
            </w:pPr>
            <w:r w:rsidRPr="00EA06DD">
              <w:t xml:space="preserve">A cost is reasonable if, in its nature and amount, it does not exceed that which would be incurred by a prudent person under the circumstances prevailing at the time the decision was made to incur the cost. The question of reasonableness is particularly important when the non-Federal entity is predominantly federally-funded. In determining reasonableness of a given cost, consideration must be given to: </w:t>
            </w:r>
          </w:p>
          <w:p w14:paraId="00E8FACB" w14:textId="77777777" w:rsidR="00161A9A" w:rsidRPr="00EA06DD" w:rsidRDefault="00161A9A" w:rsidP="00161A9A">
            <w:pPr>
              <w:pStyle w:val="indent-1"/>
              <w:ind w:left="180"/>
            </w:pPr>
            <w:r w:rsidRPr="00EA06DD">
              <w:rPr>
                <w:rStyle w:val="paren"/>
              </w:rPr>
              <w:t>(</w:t>
            </w:r>
            <w:r w:rsidRPr="00EA06DD">
              <w:rPr>
                <w:rStyle w:val="paragraph-hierarchy"/>
              </w:rPr>
              <w:t>a</w:t>
            </w:r>
            <w:r w:rsidRPr="00EA06DD">
              <w:rPr>
                <w:rStyle w:val="paren"/>
              </w:rPr>
              <w:t>)</w:t>
            </w:r>
            <w:r w:rsidRPr="00EA06DD">
              <w:t xml:space="preserve"> Whether the cost is of a type generally recognized as ordinary and necessary for the operation of the non-Federal entity or the proper and efficient performance of the Federal award. </w:t>
            </w:r>
          </w:p>
          <w:p w14:paraId="04E9F319" w14:textId="77777777" w:rsidR="00161A9A" w:rsidRPr="00EA06DD" w:rsidRDefault="00161A9A" w:rsidP="00161A9A">
            <w:pPr>
              <w:pStyle w:val="indent-1"/>
              <w:ind w:left="180"/>
            </w:pPr>
            <w:r w:rsidRPr="00EA06DD">
              <w:rPr>
                <w:rStyle w:val="paren"/>
              </w:rPr>
              <w:t>(</w:t>
            </w:r>
            <w:r w:rsidRPr="00EA06DD">
              <w:rPr>
                <w:rStyle w:val="paragraph-hierarchy"/>
              </w:rPr>
              <w:t>b</w:t>
            </w:r>
            <w:r w:rsidRPr="00EA06DD">
              <w:rPr>
                <w:rStyle w:val="paren"/>
              </w:rPr>
              <w:t>)</w:t>
            </w:r>
            <w:r w:rsidRPr="00EA06DD">
              <w:t xml:space="preserve"> The restraints or requirements imposed by such factors as: sound business practices; arm's-length bargaining; Federal, state, local, tribal, and other laws and regulations; and terms and conditions of the Federal award. </w:t>
            </w:r>
          </w:p>
          <w:p w14:paraId="1E1FC626" w14:textId="77777777" w:rsidR="00161A9A" w:rsidRPr="00EA06DD" w:rsidRDefault="00161A9A" w:rsidP="00161A9A">
            <w:pPr>
              <w:pStyle w:val="indent-1"/>
              <w:ind w:left="180"/>
            </w:pPr>
            <w:r w:rsidRPr="00EA06DD">
              <w:rPr>
                <w:rStyle w:val="paren"/>
              </w:rPr>
              <w:t>(</w:t>
            </w:r>
            <w:r w:rsidRPr="00EA06DD">
              <w:rPr>
                <w:rStyle w:val="paragraph-hierarchy"/>
              </w:rPr>
              <w:t>c</w:t>
            </w:r>
            <w:r w:rsidRPr="00EA06DD">
              <w:rPr>
                <w:rStyle w:val="paren"/>
              </w:rPr>
              <w:t>)</w:t>
            </w:r>
            <w:r w:rsidRPr="00EA06DD">
              <w:t xml:space="preserve"> Market prices for comparable goods or services for the geographic area. </w:t>
            </w:r>
          </w:p>
          <w:p w14:paraId="44016A64" w14:textId="77777777" w:rsidR="00161A9A" w:rsidRPr="00EA06DD" w:rsidRDefault="00161A9A" w:rsidP="00161A9A">
            <w:pPr>
              <w:pStyle w:val="indent-1"/>
              <w:ind w:left="180"/>
            </w:pPr>
            <w:r w:rsidRPr="00EA06DD">
              <w:rPr>
                <w:rStyle w:val="paren"/>
              </w:rPr>
              <w:t>(</w:t>
            </w:r>
            <w:r w:rsidRPr="00EA06DD">
              <w:rPr>
                <w:rStyle w:val="paragraph-hierarchy"/>
              </w:rPr>
              <w:t>d</w:t>
            </w:r>
            <w:r w:rsidRPr="00EA06DD">
              <w:rPr>
                <w:rStyle w:val="paren"/>
              </w:rPr>
              <w:t>)</w:t>
            </w:r>
            <w:r w:rsidRPr="00EA06DD">
              <w:t xml:space="preserve"> Whether the individuals concerned acted with prudence in the circumstances considering their responsibilities to the non-Federal entity, its employees, where applicable its students or membership, the public at large, and the Federal Government. </w:t>
            </w:r>
          </w:p>
          <w:p w14:paraId="055B5CEE" w14:textId="77777777" w:rsidR="00161A9A" w:rsidRPr="00EA06DD" w:rsidRDefault="00161A9A" w:rsidP="00161A9A">
            <w:pPr>
              <w:pStyle w:val="indent-1"/>
              <w:ind w:left="180"/>
            </w:pPr>
            <w:r w:rsidRPr="00EA06DD">
              <w:rPr>
                <w:rStyle w:val="paren"/>
              </w:rPr>
              <w:t>(</w:t>
            </w:r>
            <w:r w:rsidRPr="00EA06DD">
              <w:rPr>
                <w:rStyle w:val="paragraph-hierarchy"/>
              </w:rPr>
              <w:t>e</w:t>
            </w:r>
            <w:r w:rsidRPr="00EA06DD">
              <w:rPr>
                <w:rStyle w:val="paren"/>
              </w:rPr>
              <w:t>)</w:t>
            </w:r>
            <w:r w:rsidRPr="00EA06DD">
              <w:t xml:space="preserve"> Whether the non-Federal entity significantly deviates from its established practices and policies regarding the incurrence of costs, which may unjustifiably increase the Federal award's cost. </w:t>
            </w:r>
          </w:p>
          <w:p w14:paraId="1D08C31F" w14:textId="5A81A1A1" w:rsidR="00161A9A" w:rsidRPr="00EA06DD" w:rsidRDefault="00161A9A" w:rsidP="00161A9A">
            <w:pPr>
              <w:pStyle w:val="citation"/>
            </w:pPr>
            <w:r w:rsidRPr="00EA06DD">
              <w:t>[</w:t>
            </w:r>
            <w:r w:rsidR="002E2156">
              <w:t xml:space="preserve">See </w:t>
            </w:r>
            <w:hyperlink r:id="rId125" w:history="1">
              <w:r w:rsidRPr="00EA06DD">
                <w:rPr>
                  <w:rStyle w:val="Hyperlink"/>
                  <w:rFonts w:eastAsiaTheme="majorEastAsia"/>
                  <w:color w:val="auto"/>
                </w:rPr>
                <w:t>78 FR 78608</w:t>
              </w:r>
            </w:hyperlink>
            <w:r w:rsidRPr="00EA06DD">
              <w:t xml:space="preserve">, Dec. 26, 2013, as amended at </w:t>
            </w:r>
            <w:hyperlink r:id="rId126" w:history="1">
              <w:r w:rsidRPr="00EA06DD">
                <w:rPr>
                  <w:rStyle w:val="Hyperlink"/>
                  <w:rFonts w:eastAsiaTheme="majorEastAsia"/>
                  <w:color w:val="auto"/>
                </w:rPr>
                <w:t>79 FR 75885</w:t>
              </w:r>
            </w:hyperlink>
            <w:r w:rsidRPr="00EA06DD">
              <w:t>, Dec. 19, 2014</w:t>
            </w:r>
            <w:r w:rsidR="002E2156">
              <w:t>.</w:t>
            </w:r>
            <w:r w:rsidRPr="00EA06DD">
              <w:t>]</w:t>
            </w:r>
          </w:p>
          <w:p w14:paraId="743239A0" w14:textId="77777777" w:rsidR="00161A9A" w:rsidRPr="00EA06DD" w:rsidRDefault="00161A9A" w:rsidP="00161A9A">
            <w:pPr>
              <w:rPr>
                <w:rFonts w:ascii="Times New Roman" w:hAnsi="Times New Roman" w:cs="Times New Roman"/>
                <w:sz w:val="24"/>
                <w:szCs w:val="24"/>
              </w:rPr>
            </w:pPr>
          </w:p>
          <w:p w14:paraId="49CC2AFC" w14:textId="4470C1DC" w:rsidR="00161A9A" w:rsidRPr="0056069F" w:rsidRDefault="00161A9A" w:rsidP="00161A9A">
            <w:pPr>
              <w:pStyle w:val="Heading2"/>
              <w:outlineLvl w:val="1"/>
              <w:rPr>
                <w:rFonts w:ascii="Times New Roman" w:hAnsi="Times New Roman" w:cs="Times New Roman"/>
                <w:b/>
                <w:bCs/>
                <w:color w:val="auto"/>
                <w:sz w:val="24"/>
                <w:szCs w:val="24"/>
                <w:u w:val="single"/>
              </w:rPr>
            </w:pPr>
            <w:r w:rsidRPr="0056069F">
              <w:rPr>
                <w:rFonts w:ascii="Times New Roman" w:hAnsi="Times New Roman" w:cs="Times New Roman"/>
                <w:b/>
                <w:bCs/>
                <w:color w:val="auto"/>
                <w:sz w:val="24"/>
                <w:szCs w:val="24"/>
                <w:u w:val="single"/>
              </w:rPr>
              <w:t xml:space="preserve">2 CFR </w:t>
            </w:r>
            <w:hyperlink r:id="rId127" w:history="1">
              <w:r w:rsidRPr="0056069F">
                <w:rPr>
                  <w:rStyle w:val="Hyperlink"/>
                  <w:rFonts w:ascii="Times New Roman" w:hAnsi="Times New Roman" w:cs="Times New Roman"/>
                  <w:b/>
                  <w:bCs/>
                  <w:color w:val="auto"/>
                  <w:sz w:val="24"/>
                  <w:szCs w:val="24"/>
                </w:rPr>
                <w:t>§</w:t>
              </w:r>
              <w:r w:rsidR="0056069F">
                <w:rPr>
                  <w:rStyle w:val="Hyperlink"/>
                  <w:rFonts w:ascii="Times New Roman" w:hAnsi="Times New Roman" w:cs="Times New Roman"/>
                  <w:b/>
                  <w:bCs/>
                  <w:color w:val="auto"/>
                  <w:sz w:val="24"/>
                  <w:szCs w:val="24"/>
                </w:rPr>
                <w:t xml:space="preserve"> </w:t>
              </w:r>
              <w:r w:rsidRPr="0056069F">
                <w:rPr>
                  <w:rStyle w:val="Hyperlink"/>
                  <w:rFonts w:ascii="Times New Roman" w:hAnsi="Times New Roman" w:cs="Times New Roman"/>
                  <w:b/>
                  <w:bCs/>
                  <w:color w:val="auto"/>
                  <w:sz w:val="24"/>
                  <w:szCs w:val="24"/>
                </w:rPr>
                <w:t>200.405 Allocable costs.</w:t>
              </w:r>
            </w:hyperlink>
          </w:p>
          <w:p w14:paraId="3899ECCD" w14:textId="77777777" w:rsidR="00161A9A" w:rsidRPr="00EA06DD" w:rsidRDefault="00161A9A" w:rsidP="00161A9A">
            <w:pPr>
              <w:pStyle w:val="indent-1"/>
              <w:ind w:left="180"/>
            </w:pPr>
            <w:r w:rsidRPr="00EA06DD">
              <w:rPr>
                <w:rStyle w:val="paren"/>
              </w:rPr>
              <w:t>(</w:t>
            </w:r>
            <w:r w:rsidRPr="00EA06DD">
              <w:rPr>
                <w:rStyle w:val="paragraph-hierarchy"/>
              </w:rPr>
              <w:t>a</w:t>
            </w:r>
            <w:r w:rsidRPr="00EA06DD">
              <w:rPr>
                <w:rStyle w:val="paren"/>
              </w:rPr>
              <w:t>)</w:t>
            </w:r>
            <w:r w:rsidRPr="00EA06DD">
              <w:t xml:space="preserve"> A cost is allocable to a particular Federal award or other cost objective if the goods or services involved are chargeable or assignable to that Federal award or cost objective in accordance with relative benefits received. This standard is met if the cost: </w:t>
            </w:r>
          </w:p>
          <w:p w14:paraId="041E337E" w14:textId="77777777" w:rsidR="00161A9A" w:rsidRPr="00EA06DD" w:rsidRDefault="00161A9A" w:rsidP="00161A9A">
            <w:pPr>
              <w:pStyle w:val="indent-2"/>
              <w:ind w:left="360"/>
            </w:pPr>
            <w:r w:rsidRPr="00EA06DD">
              <w:rPr>
                <w:rStyle w:val="paren"/>
              </w:rPr>
              <w:t>(</w:t>
            </w:r>
            <w:r w:rsidRPr="00EA06DD">
              <w:rPr>
                <w:rStyle w:val="paragraph-hierarchy"/>
              </w:rPr>
              <w:t>1</w:t>
            </w:r>
            <w:r w:rsidRPr="00EA06DD">
              <w:rPr>
                <w:rStyle w:val="paren"/>
              </w:rPr>
              <w:t>)</w:t>
            </w:r>
            <w:r w:rsidRPr="00EA06DD">
              <w:t xml:space="preserve"> Is incurred specifically for the Federal award; </w:t>
            </w:r>
          </w:p>
          <w:p w14:paraId="15AA1309" w14:textId="77777777" w:rsidR="00161A9A" w:rsidRPr="00EA06DD" w:rsidRDefault="00161A9A" w:rsidP="00161A9A">
            <w:pPr>
              <w:pStyle w:val="indent-2"/>
              <w:ind w:left="360"/>
            </w:pPr>
            <w:r w:rsidRPr="00EA06DD">
              <w:rPr>
                <w:rStyle w:val="paren"/>
              </w:rPr>
              <w:t>(</w:t>
            </w:r>
            <w:r w:rsidRPr="00EA06DD">
              <w:rPr>
                <w:rStyle w:val="paragraph-hierarchy"/>
              </w:rPr>
              <w:t>2</w:t>
            </w:r>
            <w:r w:rsidRPr="00EA06DD">
              <w:rPr>
                <w:rStyle w:val="paren"/>
              </w:rPr>
              <w:t>)</w:t>
            </w:r>
            <w:r w:rsidRPr="00EA06DD">
              <w:t xml:space="preserve"> Benefits both the Federal award and other work of the non-Federal entity and can be distributed in proportions that may be approximated using reasonable methods; and </w:t>
            </w:r>
          </w:p>
          <w:p w14:paraId="38A904D4" w14:textId="77777777" w:rsidR="00161A9A" w:rsidRPr="00EA06DD" w:rsidRDefault="00161A9A" w:rsidP="00161A9A">
            <w:pPr>
              <w:pStyle w:val="indent-2"/>
              <w:ind w:left="360"/>
            </w:pPr>
            <w:r w:rsidRPr="00EA06DD">
              <w:rPr>
                <w:rStyle w:val="paren"/>
              </w:rPr>
              <w:t>(</w:t>
            </w:r>
            <w:r w:rsidRPr="00EA06DD">
              <w:rPr>
                <w:rStyle w:val="paragraph-hierarchy"/>
              </w:rPr>
              <w:t>3</w:t>
            </w:r>
            <w:r w:rsidRPr="00EA06DD">
              <w:rPr>
                <w:rStyle w:val="paren"/>
              </w:rPr>
              <w:t>)</w:t>
            </w:r>
            <w:r w:rsidRPr="00EA06DD">
              <w:t xml:space="preserve"> Is necessary to the overall operation of the non-Federal entity and is assignable in part to the Federal award in accordance with the principles in this subpart. </w:t>
            </w:r>
          </w:p>
          <w:p w14:paraId="472B1A92" w14:textId="77777777" w:rsidR="00161A9A" w:rsidRPr="00EA06DD" w:rsidRDefault="00161A9A" w:rsidP="00161A9A">
            <w:pPr>
              <w:pStyle w:val="indent-1"/>
              <w:ind w:left="180"/>
            </w:pPr>
            <w:r w:rsidRPr="00EA06DD">
              <w:rPr>
                <w:rStyle w:val="paren"/>
              </w:rPr>
              <w:lastRenderedPageBreak/>
              <w:t>(</w:t>
            </w:r>
            <w:r w:rsidRPr="00EA06DD">
              <w:rPr>
                <w:rStyle w:val="paragraph-hierarchy"/>
              </w:rPr>
              <w:t>b</w:t>
            </w:r>
            <w:r w:rsidRPr="00EA06DD">
              <w:rPr>
                <w:rStyle w:val="paren"/>
              </w:rPr>
              <w:t>)</w:t>
            </w:r>
            <w:r w:rsidRPr="00EA06DD">
              <w:t xml:space="preserve"> All activities which benefit from the non-Federal entity's indirect (F&amp;A) cost, including unallowable activities and donated services by the non-Federal entity or third parties, will receive an appropriate allocation of indirect costs. </w:t>
            </w:r>
          </w:p>
          <w:p w14:paraId="5BA73FE9" w14:textId="77777777" w:rsidR="00161A9A" w:rsidRPr="00EA06DD" w:rsidRDefault="00161A9A" w:rsidP="00161A9A">
            <w:pPr>
              <w:pStyle w:val="indent-1"/>
              <w:ind w:left="180"/>
            </w:pPr>
            <w:r w:rsidRPr="00EA06DD">
              <w:rPr>
                <w:rStyle w:val="paren"/>
              </w:rPr>
              <w:t>(</w:t>
            </w:r>
            <w:r w:rsidRPr="00EA06DD">
              <w:rPr>
                <w:rStyle w:val="paragraph-hierarchy"/>
              </w:rPr>
              <w:t>c</w:t>
            </w:r>
            <w:r w:rsidRPr="00EA06DD">
              <w:rPr>
                <w:rStyle w:val="paren"/>
              </w:rPr>
              <w:t>)</w:t>
            </w:r>
            <w:r w:rsidRPr="00EA06DD">
              <w:t xml:space="preserve"> Any cost allocable to a particular Federal award under the principles provided for in this part may not be charged to other Federal awards to overcome fund deficiencies, to avoid restrictions imposed by Federal statutes, regulations, or terms and conditions of the Federal awards, or for other reasons. However, this prohibition would not preclude the non-Federal entity from shifting costs that are allowable under two or more Federal awards in accordance with existing Federal statutes, regulations, or the terms and conditions of the Federal awards. </w:t>
            </w:r>
          </w:p>
          <w:p w14:paraId="3A4BA490" w14:textId="77777777" w:rsidR="00161A9A" w:rsidRPr="00EA06DD" w:rsidRDefault="00161A9A" w:rsidP="00161A9A">
            <w:pPr>
              <w:pStyle w:val="indent-1"/>
              <w:ind w:left="180"/>
            </w:pPr>
            <w:r w:rsidRPr="00EA06DD">
              <w:rPr>
                <w:rStyle w:val="paren"/>
              </w:rPr>
              <w:t>(</w:t>
            </w:r>
            <w:r w:rsidRPr="00EA06DD">
              <w:rPr>
                <w:rStyle w:val="paragraph-hierarchy"/>
              </w:rPr>
              <w:t>d</w:t>
            </w:r>
            <w:r w:rsidRPr="00EA06DD">
              <w:rPr>
                <w:rStyle w:val="paren"/>
              </w:rPr>
              <w:t>)</w:t>
            </w:r>
            <w:r w:rsidRPr="00EA06DD">
              <w:t xml:space="preserve"> Direct cost allocation principles: If a cost benefits two or more projects or activities in proportions that can be determined without undue effort or cost, the cost must be allocated to the projects based on the proportional benefit. If a cost benefits two or more projects or activities in proportions that cannot be determined because of the interrelationship of the work involved, then, notwithstanding </w:t>
            </w:r>
            <w:hyperlink r:id="rId128" w:anchor="p-200.405(c)" w:history="1">
              <w:r w:rsidRPr="00EA06DD">
                <w:rPr>
                  <w:rStyle w:val="Hyperlink"/>
                  <w:rFonts w:eastAsiaTheme="majorEastAsia"/>
                  <w:color w:val="auto"/>
                </w:rPr>
                <w:t>paragraph (c)</w:t>
              </w:r>
            </w:hyperlink>
            <w:r w:rsidRPr="00EA06DD">
              <w:t xml:space="preserve"> of this section, the costs may be allocated or transferred to benefitted projects on any reasonable documented basis. Where the purchase of equipment or other capital asset is specifically authorized under a Federal award, the costs are assignable to the Federal award regardless of the use that may be made of the equipment or other capital asset involved when no longer needed for the purpose for which it was originally required. See also </w:t>
            </w:r>
            <w:hyperlink r:id="rId129" w:history="1">
              <w:r w:rsidRPr="00EA06DD">
                <w:rPr>
                  <w:rStyle w:val="Hyperlink"/>
                  <w:rFonts w:eastAsiaTheme="majorEastAsia"/>
                  <w:color w:val="auto"/>
                </w:rPr>
                <w:t>§§ 200.310</w:t>
              </w:r>
            </w:hyperlink>
            <w:r w:rsidRPr="00EA06DD">
              <w:t xml:space="preserve"> through </w:t>
            </w:r>
            <w:hyperlink r:id="rId130" w:history="1">
              <w:r w:rsidRPr="00EA06DD">
                <w:rPr>
                  <w:rStyle w:val="Hyperlink"/>
                  <w:rFonts w:eastAsiaTheme="majorEastAsia"/>
                  <w:color w:val="auto"/>
                </w:rPr>
                <w:t>200.316</w:t>
              </w:r>
            </w:hyperlink>
            <w:r w:rsidRPr="00EA06DD">
              <w:t xml:space="preserve"> and </w:t>
            </w:r>
            <w:hyperlink r:id="rId131" w:history="1">
              <w:r w:rsidRPr="00EA06DD">
                <w:rPr>
                  <w:rStyle w:val="Hyperlink"/>
                  <w:rFonts w:eastAsiaTheme="majorEastAsia"/>
                  <w:color w:val="auto"/>
                </w:rPr>
                <w:t>200.439</w:t>
              </w:r>
            </w:hyperlink>
            <w:r w:rsidRPr="00EA06DD">
              <w:t xml:space="preserve">. </w:t>
            </w:r>
          </w:p>
          <w:p w14:paraId="02F4F6C4" w14:textId="77777777" w:rsidR="00161A9A" w:rsidRPr="00EA06DD" w:rsidRDefault="00161A9A" w:rsidP="00161A9A">
            <w:pPr>
              <w:pStyle w:val="indent-1"/>
              <w:ind w:left="180"/>
            </w:pPr>
            <w:r w:rsidRPr="00EA06DD">
              <w:rPr>
                <w:rStyle w:val="paren"/>
              </w:rPr>
              <w:t>(</w:t>
            </w:r>
            <w:r w:rsidRPr="00EA06DD">
              <w:rPr>
                <w:rStyle w:val="paragraph-hierarchy"/>
              </w:rPr>
              <w:t>e</w:t>
            </w:r>
            <w:r w:rsidRPr="00EA06DD">
              <w:rPr>
                <w:rStyle w:val="paren"/>
              </w:rPr>
              <w:t>)</w:t>
            </w:r>
            <w:r w:rsidRPr="00EA06DD">
              <w:t xml:space="preserve"> If the contract is subject to CAS, costs must be allocated to the contract pursuant to the Cost Accounting Standards. To the extent that CAS is applicable, the allocation of costs in accordance with CAS takes precedence over the allocation provisions in this part. </w:t>
            </w:r>
          </w:p>
          <w:p w14:paraId="6894D6AA" w14:textId="245E5F3F" w:rsidR="00161A9A" w:rsidRDefault="00161A9A" w:rsidP="0056069F">
            <w:pPr>
              <w:pStyle w:val="citation"/>
            </w:pPr>
            <w:r w:rsidRPr="00EA06DD">
              <w:t>[</w:t>
            </w:r>
            <w:r w:rsidR="002E2156">
              <w:t xml:space="preserve">See </w:t>
            </w:r>
            <w:hyperlink r:id="rId132" w:history="1">
              <w:r w:rsidRPr="00EA06DD">
                <w:rPr>
                  <w:rStyle w:val="Hyperlink"/>
                  <w:rFonts w:eastAsiaTheme="majorEastAsia"/>
                  <w:color w:val="auto"/>
                </w:rPr>
                <w:t>78 FR 78608</w:t>
              </w:r>
            </w:hyperlink>
            <w:r w:rsidRPr="00EA06DD">
              <w:t xml:space="preserve">, Dec. 26, 2013, as amended at </w:t>
            </w:r>
            <w:hyperlink r:id="rId133" w:history="1">
              <w:r w:rsidRPr="00EA06DD">
                <w:rPr>
                  <w:rStyle w:val="Hyperlink"/>
                  <w:rFonts w:eastAsiaTheme="majorEastAsia"/>
                  <w:color w:val="auto"/>
                </w:rPr>
                <w:t>79 FR 75885</w:t>
              </w:r>
            </w:hyperlink>
            <w:r w:rsidRPr="00EA06DD">
              <w:t xml:space="preserve">, Dec. 19, 2014; </w:t>
            </w:r>
            <w:hyperlink r:id="rId134" w:history="1">
              <w:r w:rsidRPr="00EA06DD">
                <w:rPr>
                  <w:rStyle w:val="Hyperlink"/>
                  <w:rFonts w:eastAsiaTheme="majorEastAsia"/>
                  <w:color w:val="auto"/>
                </w:rPr>
                <w:t>85 FR 49562</w:t>
              </w:r>
            </w:hyperlink>
            <w:r w:rsidRPr="00EA06DD">
              <w:t>, Aug. 13, 2020</w:t>
            </w:r>
            <w:r w:rsidR="0056069F">
              <w:t>.</w:t>
            </w:r>
            <w:r w:rsidRPr="00EA06DD">
              <w:t>]</w:t>
            </w:r>
          </w:p>
        </w:tc>
      </w:tr>
    </w:tbl>
    <w:p w14:paraId="4B76FFBE" w14:textId="2A2DD04D" w:rsidR="00161A9A" w:rsidRPr="00F81131" w:rsidRDefault="00161A9A" w:rsidP="00161A9A">
      <w:pPr>
        <w:rPr>
          <w:rFonts w:ascii="Times New Roman" w:hAnsi="Times New Roman" w:cs="Times New Roman"/>
          <w:sz w:val="24"/>
          <w:szCs w:val="24"/>
        </w:rPr>
      </w:pPr>
    </w:p>
    <w:p w14:paraId="68504A65" w14:textId="07EABE3F" w:rsidR="006C38FA" w:rsidRPr="006C38FA" w:rsidRDefault="00F81131" w:rsidP="00161A9A">
      <w:pPr>
        <w:rPr>
          <w:rFonts w:ascii="Times New Roman" w:hAnsi="Times New Roman" w:cs="Times New Roman"/>
          <w:sz w:val="24"/>
          <w:szCs w:val="24"/>
        </w:rPr>
      </w:pPr>
      <w:r w:rsidRPr="006C38FA">
        <w:rPr>
          <w:rFonts w:ascii="Times New Roman" w:hAnsi="Times New Roman" w:cs="Times New Roman"/>
          <w:sz w:val="24"/>
          <w:szCs w:val="24"/>
        </w:rPr>
        <w:tab/>
        <w:t xml:space="preserve">HUD has also developed </w:t>
      </w:r>
      <w:r w:rsidR="00D07B8A" w:rsidRPr="006C38FA">
        <w:rPr>
          <w:rFonts w:ascii="Times New Roman" w:hAnsi="Times New Roman" w:cs="Times New Roman"/>
          <w:sz w:val="24"/>
          <w:szCs w:val="24"/>
        </w:rPr>
        <w:t xml:space="preserve">a resource tool entitled </w:t>
      </w:r>
      <w:r w:rsidR="00D07B8A" w:rsidRPr="006C38FA">
        <w:rPr>
          <w:rFonts w:ascii="Times New Roman" w:hAnsi="Times New Roman" w:cs="Times New Roman"/>
          <w:i/>
          <w:iCs/>
          <w:sz w:val="24"/>
          <w:szCs w:val="24"/>
        </w:rPr>
        <w:t>Buying Right CDBG-DR and Procurement:  A Guide to Recovery</w:t>
      </w:r>
      <w:r w:rsidR="00D07B8A" w:rsidRPr="006C38FA">
        <w:rPr>
          <w:rFonts w:ascii="Times New Roman" w:hAnsi="Times New Roman" w:cs="Times New Roman"/>
          <w:sz w:val="24"/>
          <w:szCs w:val="24"/>
        </w:rPr>
        <w:t xml:space="preserve"> published </w:t>
      </w:r>
      <w:r w:rsidR="005D5D0F" w:rsidRPr="006C38FA">
        <w:rPr>
          <w:rFonts w:ascii="Times New Roman" w:hAnsi="Times New Roman" w:cs="Times New Roman"/>
          <w:sz w:val="24"/>
          <w:szCs w:val="24"/>
        </w:rPr>
        <w:t>in September 2017</w:t>
      </w:r>
      <w:r w:rsidR="00FA1197" w:rsidRPr="006C38FA">
        <w:rPr>
          <w:rFonts w:ascii="Times New Roman" w:hAnsi="Times New Roman" w:cs="Times New Roman"/>
          <w:sz w:val="24"/>
          <w:szCs w:val="24"/>
        </w:rPr>
        <w:t xml:space="preserve"> </w:t>
      </w:r>
      <w:r w:rsidR="00D07B8A" w:rsidRPr="006C38FA">
        <w:rPr>
          <w:rFonts w:ascii="Times New Roman" w:hAnsi="Times New Roman" w:cs="Times New Roman"/>
          <w:sz w:val="24"/>
          <w:szCs w:val="24"/>
        </w:rPr>
        <w:t>at the link</w:t>
      </w:r>
      <w:r w:rsidR="00D53563" w:rsidRPr="006C38FA">
        <w:rPr>
          <w:rFonts w:ascii="Times New Roman" w:hAnsi="Times New Roman" w:cs="Times New Roman"/>
          <w:sz w:val="24"/>
          <w:szCs w:val="24"/>
        </w:rPr>
        <w:t>s</w:t>
      </w:r>
      <w:r w:rsidR="008B2269" w:rsidRPr="006C38FA">
        <w:rPr>
          <w:rFonts w:ascii="Times New Roman" w:hAnsi="Times New Roman" w:cs="Times New Roman"/>
          <w:sz w:val="24"/>
          <w:szCs w:val="24"/>
        </w:rPr>
        <w:t xml:space="preserve"> </w:t>
      </w:r>
      <w:hyperlink r:id="rId135" w:history="1">
        <w:r w:rsidR="008B2269" w:rsidRPr="006C38FA">
          <w:rPr>
            <w:rStyle w:val="Hyperlink"/>
            <w:rFonts w:ascii="Times New Roman" w:hAnsi="Times New Roman" w:cs="Times New Roman"/>
            <w:sz w:val="24"/>
            <w:szCs w:val="24"/>
          </w:rPr>
          <w:t>https://www.hudexchange.info/resource/5614/buying-right-cdbg-dr-and-procurement-a-guide-to-recovery/</w:t>
        </w:r>
      </w:hyperlink>
      <w:r w:rsidR="000249A9" w:rsidRPr="006C38FA">
        <w:rPr>
          <w:rFonts w:ascii="Times New Roman" w:hAnsi="Times New Roman" w:cs="Times New Roman"/>
          <w:sz w:val="24"/>
          <w:szCs w:val="24"/>
        </w:rPr>
        <w:t xml:space="preserve"> </w:t>
      </w:r>
      <w:r w:rsidR="00D53563" w:rsidRPr="006C38FA">
        <w:rPr>
          <w:rFonts w:ascii="Times New Roman" w:hAnsi="Times New Roman" w:cs="Times New Roman"/>
          <w:sz w:val="24"/>
          <w:szCs w:val="24"/>
        </w:rPr>
        <w:t xml:space="preserve">and </w:t>
      </w:r>
      <w:hyperlink r:id="rId136" w:history="1">
        <w:r w:rsidR="00D53563" w:rsidRPr="006C38FA">
          <w:rPr>
            <w:rStyle w:val="Hyperlink"/>
            <w:rFonts w:ascii="Times New Roman" w:hAnsi="Times New Roman" w:cs="Times New Roman"/>
            <w:sz w:val="24"/>
            <w:szCs w:val="24"/>
          </w:rPr>
          <w:t>https://files.hudexchange.info/resources/documents/Buying-Right-CDBG-DR-and-Procurement-A-Guide-to-Recovery.pdf</w:t>
        </w:r>
      </w:hyperlink>
      <w:r w:rsidR="00D53563" w:rsidRPr="006C38FA">
        <w:rPr>
          <w:rFonts w:ascii="Times New Roman" w:hAnsi="Times New Roman" w:cs="Times New Roman"/>
          <w:sz w:val="24"/>
          <w:szCs w:val="24"/>
        </w:rPr>
        <w:t xml:space="preserve">.  </w:t>
      </w:r>
      <w:r w:rsidR="006C38FA">
        <w:rPr>
          <w:rFonts w:ascii="Times New Roman" w:hAnsi="Times New Roman" w:cs="Times New Roman"/>
          <w:sz w:val="24"/>
          <w:szCs w:val="24"/>
        </w:rPr>
        <w:t xml:space="preserve">This </w:t>
      </w:r>
      <w:r w:rsidR="00E12538">
        <w:rPr>
          <w:rFonts w:ascii="Times New Roman" w:hAnsi="Times New Roman" w:cs="Times New Roman"/>
          <w:sz w:val="24"/>
          <w:szCs w:val="24"/>
        </w:rPr>
        <w:t>G</w:t>
      </w:r>
      <w:r w:rsidR="006C38FA">
        <w:rPr>
          <w:rFonts w:ascii="Times New Roman" w:hAnsi="Times New Roman" w:cs="Times New Roman"/>
          <w:sz w:val="24"/>
          <w:szCs w:val="24"/>
        </w:rPr>
        <w:t xml:space="preserve">uide is for </w:t>
      </w:r>
      <w:r w:rsidR="002F07EA">
        <w:rPr>
          <w:rFonts w:ascii="Times New Roman" w:hAnsi="Times New Roman" w:cs="Times New Roman"/>
          <w:sz w:val="24"/>
          <w:szCs w:val="24"/>
        </w:rPr>
        <w:t xml:space="preserve">use by </w:t>
      </w:r>
      <w:r w:rsidR="006C38FA" w:rsidRPr="006C38FA">
        <w:rPr>
          <w:rFonts w:ascii="Times New Roman" w:hAnsi="Times New Roman" w:cs="Times New Roman"/>
          <w:sz w:val="24"/>
          <w:szCs w:val="24"/>
        </w:rPr>
        <w:t xml:space="preserve">CDBG-DR </w:t>
      </w:r>
      <w:r w:rsidR="00DE15B7">
        <w:rPr>
          <w:rFonts w:ascii="Times New Roman" w:hAnsi="Times New Roman" w:cs="Times New Roman"/>
          <w:sz w:val="24"/>
          <w:szCs w:val="24"/>
        </w:rPr>
        <w:t xml:space="preserve">state </w:t>
      </w:r>
      <w:r w:rsidR="006C38FA" w:rsidRPr="006C38FA">
        <w:rPr>
          <w:rFonts w:ascii="Times New Roman" w:hAnsi="Times New Roman" w:cs="Times New Roman"/>
          <w:sz w:val="24"/>
          <w:szCs w:val="24"/>
        </w:rPr>
        <w:t xml:space="preserve">grantees and </w:t>
      </w:r>
      <w:r w:rsidR="00DE15B7">
        <w:rPr>
          <w:rFonts w:ascii="Times New Roman" w:hAnsi="Times New Roman" w:cs="Times New Roman"/>
          <w:sz w:val="24"/>
          <w:szCs w:val="24"/>
        </w:rPr>
        <w:t xml:space="preserve">their </w:t>
      </w:r>
      <w:r w:rsidR="006C38FA" w:rsidRPr="006C38FA">
        <w:rPr>
          <w:rFonts w:ascii="Times New Roman" w:hAnsi="Times New Roman" w:cs="Times New Roman"/>
          <w:sz w:val="24"/>
          <w:szCs w:val="24"/>
        </w:rPr>
        <w:t xml:space="preserve">subrecipients </w:t>
      </w:r>
      <w:r w:rsidR="00DE15B7">
        <w:rPr>
          <w:rFonts w:ascii="Times New Roman" w:hAnsi="Times New Roman" w:cs="Times New Roman"/>
          <w:sz w:val="24"/>
          <w:szCs w:val="24"/>
        </w:rPr>
        <w:t xml:space="preserve">who will be </w:t>
      </w:r>
      <w:r w:rsidR="006C38FA" w:rsidRPr="006C38FA">
        <w:rPr>
          <w:rFonts w:ascii="Times New Roman" w:hAnsi="Times New Roman" w:cs="Times New Roman"/>
          <w:sz w:val="24"/>
          <w:szCs w:val="24"/>
        </w:rPr>
        <w:t>procuring goods and services with their grant funds</w:t>
      </w:r>
      <w:r w:rsidR="00023168">
        <w:rPr>
          <w:rFonts w:ascii="Times New Roman" w:hAnsi="Times New Roman" w:cs="Times New Roman"/>
          <w:sz w:val="24"/>
          <w:szCs w:val="24"/>
        </w:rPr>
        <w:t>, wherein</w:t>
      </w:r>
      <w:r w:rsidR="00967690">
        <w:rPr>
          <w:rFonts w:ascii="Times New Roman" w:hAnsi="Times New Roman" w:cs="Times New Roman"/>
          <w:sz w:val="24"/>
          <w:szCs w:val="24"/>
        </w:rPr>
        <w:t xml:space="preserve"> they </w:t>
      </w:r>
      <w:r w:rsidR="006C38FA" w:rsidRPr="006C38FA">
        <w:rPr>
          <w:rFonts w:ascii="Times New Roman" w:hAnsi="Times New Roman" w:cs="Times New Roman"/>
          <w:sz w:val="24"/>
          <w:szCs w:val="24"/>
        </w:rPr>
        <w:t>must ensure that</w:t>
      </w:r>
      <w:r w:rsidR="00457C34">
        <w:rPr>
          <w:rFonts w:ascii="Times New Roman" w:hAnsi="Times New Roman" w:cs="Times New Roman"/>
          <w:sz w:val="24"/>
          <w:szCs w:val="24"/>
        </w:rPr>
        <w:t xml:space="preserve"> </w:t>
      </w:r>
      <w:r w:rsidR="006C38FA" w:rsidRPr="006C38FA">
        <w:rPr>
          <w:rFonts w:ascii="Times New Roman" w:hAnsi="Times New Roman" w:cs="Times New Roman"/>
          <w:sz w:val="24"/>
          <w:szCs w:val="24"/>
        </w:rPr>
        <w:t>they are following all program procurement statutory and regulatory requirements.</w:t>
      </w:r>
      <w:r w:rsidR="00B750A5">
        <w:rPr>
          <w:rFonts w:ascii="Times New Roman" w:hAnsi="Times New Roman" w:cs="Times New Roman"/>
          <w:sz w:val="24"/>
          <w:szCs w:val="24"/>
        </w:rPr>
        <w:t xml:space="preserve">  </w:t>
      </w:r>
      <w:r w:rsidR="006C38FA" w:rsidRPr="006C38FA">
        <w:rPr>
          <w:rFonts w:ascii="Times New Roman" w:hAnsi="Times New Roman" w:cs="Times New Roman"/>
          <w:sz w:val="24"/>
          <w:szCs w:val="24"/>
        </w:rPr>
        <w:t xml:space="preserve">This </w:t>
      </w:r>
      <w:r w:rsidR="00E12538">
        <w:rPr>
          <w:rFonts w:ascii="Times New Roman" w:hAnsi="Times New Roman" w:cs="Times New Roman"/>
          <w:sz w:val="24"/>
          <w:szCs w:val="24"/>
        </w:rPr>
        <w:t>G</w:t>
      </w:r>
      <w:r w:rsidR="00C07DDA">
        <w:rPr>
          <w:rFonts w:ascii="Times New Roman" w:hAnsi="Times New Roman" w:cs="Times New Roman"/>
          <w:sz w:val="24"/>
          <w:szCs w:val="24"/>
        </w:rPr>
        <w:t xml:space="preserve">uide </w:t>
      </w:r>
      <w:r w:rsidR="006C38FA" w:rsidRPr="006C38FA">
        <w:rPr>
          <w:rFonts w:ascii="Times New Roman" w:hAnsi="Times New Roman" w:cs="Times New Roman"/>
          <w:sz w:val="24"/>
          <w:szCs w:val="24"/>
        </w:rPr>
        <w:t xml:space="preserve">provides guidance to CDBG-DR </w:t>
      </w:r>
      <w:r w:rsidR="00C07DDA">
        <w:rPr>
          <w:rFonts w:ascii="Times New Roman" w:hAnsi="Times New Roman" w:cs="Times New Roman"/>
          <w:sz w:val="24"/>
          <w:szCs w:val="24"/>
        </w:rPr>
        <w:t xml:space="preserve">state </w:t>
      </w:r>
      <w:r w:rsidR="006C38FA" w:rsidRPr="006C38FA">
        <w:rPr>
          <w:rFonts w:ascii="Times New Roman" w:hAnsi="Times New Roman" w:cs="Times New Roman"/>
          <w:sz w:val="24"/>
          <w:szCs w:val="24"/>
        </w:rPr>
        <w:t xml:space="preserve">grantees and </w:t>
      </w:r>
      <w:r w:rsidR="00C07DDA">
        <w:rPr>
          <w:rFonts w:ascii="Times New Roman" w:hAnsi="Times New Roman" w:cs="Times New Roman"/>
          <w:sz w:val="24"/>
          <w:szCs w:val="24"/>
        </w:rPr>
        <w:t xml:space="preserve">their </w:t>
      </w:r>
      <w:r w:rsidR="006C38FA" w:rsidRPr="006C38FA">
        <w:rPr>
          <w:rFonts w:ascii="Times New Roman" w:hAnsi="Times New Roman" w:cs="Times New Roman"/>
          <w:sz w:val="24"/>
          <w:szCs w:val="24"/>
        </w:rPr>
        <w:t xml:space="preserve">subrecipients on how to comply with </w:t>
      </w:r>
      <w:r w:rsidR="007C527B">
        <w:rPr>
          <w:rFonts w:ascii="Times New Roman" w:hAnsi="Times New Roman" w:cs="Times New Roman"/>
          <w:sz w:val="24"/>
          <w:szCs w:val="24"/>
        </w:rPr>
        <w:t xml:space="preserve">procurement </w:t>
      </w:r>
      <w:r w:rsidR="006C38FA" w:rsidRPr="006C38FA">
        <w:rPr>
          <w:rFonts w:ascii="Times New Roman" w:hAnsi="Times New Roman" w:cs="Times New Roman"/>
          <w:sz w:val="24"/>
          <w:szCs w:val="24"/>
        </w:rPr>
        <w:t>requirements while also moving as quickly as possible to recover from a disaster.</w:t>
      </w:r>
    </w:p>
    <w:p w14:paraId="038CA498" w14:textId="703AE508" w:rsidR="00C1528E" w:rsidRPr="00F81131" w:rsidRDefault="00592749" w:rsidP="00592749">
      <w:pPr>
        <w:rPr>
          <w:rFonts w:ascii="Times New Roman" w:hAnsi="Times New Roman" w:cs="Times New Roman"/>
          <w:sz w:val="24"/>
          <w:szCs w:val="24"/>
        </w:rPr>
      </w:pPr>
      <w:r w:rsidRPr="006C38FA">
        <w:rPr>
          <w:rFonts w:ascii="Times New Roman" w:hAnsi="Times New Roman" w:cs="Times New Roman"/>
          <w:sz w:val="24"/>
          <w:szCs w:val="24"/>
        </w:rPr>
        <w:tab/>
        <w:t>B</w:t>
      </w:r>
      <w:r w:rsidR="00C1528E" w:rsidRPr="006C38FA">
        <w:rPr>
          <w:rFonts w:ascii="Times New Roman" w:hAnsi="Times New Roman" w:cs="Times New Roman"/>
          <w:sz w:val="24"/>
          <w:szCs w:val="24"/>
        </w:rPr>
        <w:t xml:space="preserve">y adopting 2 CFR </w:t>
      </w:r>
      <w:hyperlink r:id="rId137" w:history="1">
        <w:r w:rsidR="00C1528E" w:rsidRPr="006C38FA">
          <w:rPr>
            <w:rStyle w:val="Hyperlink"/>
            <w:rFonts w:ascii="Times New Roman" w:hAnsi="Times New Roman" w:cs="Times New Roman"/>
            <w:color w:val="auto"/>
            <w:sz w:val="24"/>
            <w:szCs w:val="24"/>
            <w:u w:val="none"/>
          </w:rPr>
          <w:t>§200.317 through §200-327</w:t>
        </w:r>
      </w:hyperlink>
      <w:r w:rsidR="00A2343E" w:rsidRPr="006C38FA">
        <w:rPr>
          <w:rStyle w:val="Hyperlink"/>
          <w:rFonts w:ascii="Times New Roman" w:hAnsi="Times New Roman" w:cs="Times New Roman"/>
          <w:color w:val="auto"/>
          <w:sz w:val="24"/>
          <w:szCs w:val="24"/>
          <w:u w:val="none"/>
        </w:rPr>
        <w:t xml:space="preserve"> and </w:t>
      </w:r>
      <w:r w:rsidR="00A2343E" w:rsidRPr="006C38FA">
        <w:rPr>
          <w:rFonts w:ascii="Times New Roman" w:hAnsi="Times New Roman" w:cs="Times New Roman"/>
          <w:sz w:val="24"/>
          <w:szCs w:val="24"/>
        </w:rPr>
        <w:t xml:space="preserve">2 CFR </w:t>
      </w:r>
      <w:hyperlink r:id="rId138" w:history="1">
        <w:r w:rsidR="00A2343E" w:rsidRPr="006C38FA">
          <w:rPr>
            <w:rStyle w:val="Hyperlink"/>
            <w:rFonts w:ascii="Times New Roman" w:hAnsi="Times New Roman" w:cs="Times New Roman"/>
            <w:color w:val="auto"/>
            <w:sz w:val="24"/>
            <w:szCs w:val="24"/>
            <w:u w:val="none"/>
          </w:rPr>
          <w:t>§200.403 through §200-405</w:t>
        </w:r>
      </w:hyperlink>
      <w:r w:rsidR="00A2343E" w:rsidRPr="006C38FA">
        <w:rPr>
          <w:rStyle w:val="Hyperlink"/>
          <w:rFonts w:ascii="Times New Roman" w:hAnsi="Times New Roman" w:cs="Times New Roman"/>
          <w:color w:val="auto"/>
          <w:sz w:val="24"/>
          <w:szCs w:val="24"/>
          <w:u w:val="none"/>
        </w:rPr>
        <w:t>,</w:t>
      </w:r>
      <w:r w:rsidR="00E12538">
        <w:rPr>
          <w:rStyle w:val="Hyperlink"/>
          <w:rFonts w:ascii="Times New Roman" w:hAnsi="Times New Roman" w:cs="Times New Roman"/>
          <w:color w:val="auto"/>
          <w:sz w:val="24"/>
          <w:szCs w:val="24"/>
          <w:u w:val="none"/>
        </w:rPr>
        <w:t xml:space="preserve"> and by following this Guide, </w:t>
      </w:r>
      <w:r w:rsidR="00C1528E" w:rsidRPr="006C38FA">
        <w:rPr>
          <w:rFonts w:ascii="Times New Roman" w:hAnsi="Times New Roman" w:cs="Times New Roman"/>
          <w:sz w:val="24"/>
          <w:szCs w:val="24"/>
        </w:rPr>
        <w:t>ADECA’s procurement processes comply with other procurement requirements described in the February 3, 2022 Federal Register Notice (pages 6364-6392) at Section IV.B. “Procurement” on</w:t>
      </w:r>
      <w:r w:rsidR="00C1528E" w:rsidRPr="00F81131">
        <w:rPr>
          <w:rFonts w:ascii="Times New Roman" w:hAnsi="Times New Roman" w:cs="Times New Roman"/>
          <w:sz w:val="24"/>
          <w:szCs w:val="24"/>
        </w:rPr>
        <w:t xml:space="preserve"> page 6388 (stated above).  Section IV.B. “Procurement” is </w:t>
      </w:r>
      <w:r w:rsidR="00C1528E" w:rsidRPr="00F81131">
        <w:rPr>
          <w:rFonts w:ascii="Times New Roman" w:hAnsi="Times New Roman" w:cs="Times New Roman"/>
          <w:sz w:val="24"/>
          <w:szCs w:val="24"/>
        </w:rPr>
        <w:lastRenderedPageBreak/>
        <w:t xml:space="preserve">posted online at the links </w:t>
      </w:r>
      <w:hyperlink r:id="rId139" w:history="1">
        <w:r w:rsidR="00C1528E" w:rsidRPr="00F81131">
          <w:rPr>
            <w:rStyle w:val="Hyperlink"/>
            <w:rFonts w:ascii="Times New Roman" w:hAnsi="Times New Roman" w:cs="Times New Roman"/>
            <w:sz w:val="24"/>
            <w:szCs w:val="24"/>
          </w:rPr>
          <w:t>https://www.govinfo.gov/content/pkg/FR-2022-02-03/pdf-2022-02209.pdf</w:t>
        </w:r>
      </w:hyperlink>
      <w:r w:rsidR="00C1528E" w:rsidRPr="00F81131">
        <w:rPr>
          <w:rFonts w:ascii="Times New Roman" w:hAnsi="Times New Roman" w:cs="Times New Roman"/>
          <w:sz w:val="24"/>
          <w:szCs w:val="24"/>
        </w:rPr>
        <w:t xml:space="preserve"> and </w:t>
      </w:r>
      <w:hyperlink r:id="rId140" w:history="1">
        <w:r w:rsidR="00C1528E" w:rsidRPr="00F81131">
          <w:rPr>
            <w:rStyle w:val="Hyperlink"/>
            <w:rFonts w:ascii="Times New Roman" w:hAnsi="Times New Roman" w:cs="Times New Roman"/>
            <w:sz w:val="24"/>
            <w:szCs w:val="24"/>
          </w:rPr>
          <w:t>2022-02209.pdf (govinfo.gov)</w:t>
        </w:r>
      </w:hyperlink>
      <w:r w:rsidR="00C1528E" w:rsidRPr="00F81131">
        <w:rPr>
          <w:rFonts w:ascii="Times New Roman" w:hAnsi="Times New Roman" w:cs="Times New Roman"/>
          <w:sz w:val="24"/>
          <w:szCs w:val="24"/>
        </w:rPr>
        <w:t>.  These requirements include:</w:t>
      </w:r>
    </w:p>
    <w:p w14:paraId="4593161D" w14:textId="4E40F0B9" w:rsidR="00C1528E" w:rsidRPr="00F81131" w:rsidRDefault="00923532" w:rsidP="00923532">
      <w:pPr>
        <w:rPr>
          <w:rFonts w:ascii="Times New Roman" w:hAnsi="Times New Roman" w:cs="Times New Roman"/>
          <w:sz w:val="24"/>
          <w:szCs w:val="24"/>
        </w:rPr>
      </w:pPr>
      <w:r w:rsidRPr="00F81131">
        <w:rPr>
          <w:rFonts w:ascii="Times New Roman" w:hAnsi="Times New Roman" w:cs="Times New Roman"/>
          <w:sz w:val="24"/>
          <w:szCs w:val="24"/>
        </w:rPr>
        <w:tab/>
      </w:r>
      <w:r w:rsidR="00C1528E" w:rsidRPr="00F81131">
        <w:rPr>
          <w:rFonts w:ascii="Times New Roman" w:hAnsi="Times New Roman" w:cs="Times New Roman"/>
          <w:sz w:val="24"/>
          <w:szCs w:val="24"/>
        </w:rPr>
        <w:t>ADECA’s Implementation Plan for the CDBG-DR Grant for Hurricanes Sally and Zeta shall indicate: (1) that the ADECA CED Division’s Statewide Initiatives Unit – or such other unit to be designated by the ADECA CED Division Chief – shall be responsible for CDBG-DR procurement, and (2) the contact information for that designated Unit will be included in that Implementation Plan.</w:t>
      </w:r>
    </w:p>
    <w:p w14:paraId="1E2D73CF" w14:textId="760E0391" w:rsidR="00C1528E" w:rsidRDefault="00C1528E" w:rsidP="00C1528E">
      <w:pPr>
        <w:pStyle w:val="Heading2"/>
        <w:ind w:firstLine="720"/>
        <w:rPr>
          <w:rFonts w:ascii="Times New Roman" w:hAnsi="Times New Roman" w:cs="Times New Roman"/>
          <w:color w:val="auto"/>
          <w:sz w:val="24"/>
          <w:szCs w:val="24"/>
        </w:rPr>
      </w:pPr>
      <w:r w:rsidRPr="007F4497">
        <w:rPr>
          <w:rFonts w:ascii="Times New Roman" w:hAnsi="Times New Roman" w:cs="Times New Roman"/>
          <w:color w:val="auto"/>
          <w:sz w:val="24"/>
          <w:szCs w:val="24"/>
        </w:rPr>
        <w:t>ADECA hereby states that the ADECA CED Division’s Statewide Initiatives Unit – or such other unit to be designated by the ADECA CED Division Chief – shall be responsible for CDBG-DR procurement.  Additionally, the contact information is as follows:</w:t>
      </w:r>
    </w:p>
    <w:p w14:paraId="12ABD5A1" w14:textId="77777777" w:rsidR="00613E8A" w:rsidRPr="00613E8A" w:rsidRDefault="00613E8A" w:rsidP="00613E8A"/>
    <w:p w14:paraId="50C09926" w14:textId="77777777" w:rsidR="00C1528E" w:rsidRPr="007F4497" w:rsidRDefault="00C1528E" w:rsidP="00C1528E">
      <w:pPr>
        <w:ind w:firstLine="720"/>
        <w:rPr>
          <w:rFonts w:ascii="Times New Roman" w:hAnsi="Times New Roman" w:cs="Times New Roman"/>
          <w:sz w:val="24"/>
          <w:szCs w:val="24"/>
        </w:rPr>
      </w:pPr>
      <w:r w:rsidRPr="007F4497">
        <w:rPr>
          <w:rFonts w:ascii="Times New Roman" w:hAnsi="Times New Roman" w:cs="Times New Roman"/>
          <w:sz w:val="24"/>
          <w:szCs w:val="24"/>
        </w:rPr>
        <w:t>Alabama Department of Economic and Community Affairs (ADECA)</w:t>
      </w:r>
    </w:p>
    <w:p w14:paraId="07C0358D" w14:textId="77777777" w:rsidR="00C1528E" w:rsidRPr="007F4497" w:rsidRDefault="00C1528E" w:rsidP="00C1528E">
      <w:pPr>
        <w:ind w:firstLine="720"/>
        <w:rPr>
          <w:rFonts w:ascii="Times New Roman" w:hAnsi="Times New Roman" w:cs="Times New Roman"/>
          <w:sz w:val="24"/>
          <w:szCs w:val="24"/>
        </w:rPr>
      </w:pPr>
      <w:r w:rsidRPr="007F4497">
        <w:rPr>
          <w:rFonts w:ascii="Times New Roman" w:hAnsi="Times New Roman" w:cs="Times New Roman"/>
          <w:sz w:val="24"/>
          <w:szCs w:val="24"/>
        </w:rPr>
        <w:t>Community and Economic Development Division (CED Division)</w:t>
      </w:r>
    </w:p>
    <w:p w14:paraId="73D32787" w14:textId="77777777" w:rsidR="00C1528E" w:rsidRPr="007F4497" w:rsidRDefault="00C1528E" w:rsidP="00C1528E">
      <w:pPr>
        <w:ind w:firstLine="720"/>
        <w:rPr>
          <w:rFonts w:ascii="Times New Roman" w:hAnsi="Times New Roman" w:cs="Times New Roman"/>
          <w:sz w:val="24"/>
          <w:szCs w:val="24"/>
        </w:rPr>
      </w:pPr>
      <w:r w:rsidRPr="007F4497">
        <w:rPr>
          <w:rFonts w:ascii="Times New Roman" w:hAnsi="Times New Roman" w:cs="Times New Roman"/>
          <w:sz w:val="24"/>
          <w:szCs w:val="24"/>
        </w:rPr>
        <w:t>401 Adams Avenue, Room 500; Post Office Box 5690</w:t>
      </w:r>
    </w:p>
    <w:p w14:paraId="06A066EC" w14:textId="77777777" w:rsidR="00C1528E" w:rsidRPr="007F4497" w:rsidRDefault="00C1528E" w:rsidP="00C1528E">
      <w:pPr>
        <w:ind w:firstLine="720"/>
        <w:rPr>
          <w:rFonts w:ascii="Times New Roman" w:hAnsi="Times New Roman" w:cs="Times New Roman"/>
          <w:sz w:val="24"/>
          <w:szCs w:val="24"/>
        </w:rPr>
      </w:pPr>
      <w:r w:rsidRPr="007F4497">
        <w:rPr>
          <w:rFonts w:ascii="Times New Roman" w:hAnsi="Times New Roman" w:cs="Times New Roman"/>
          <w:sz w:val="24"/>
          <w:szCs w:val="24"/>
        </w:rPr>
        <w:t>Montgomery, Alabama 36103-5690</w:t>
      </w:r>
    </w:p>
    <w:p w14:paraId="52992F65" w14:textId="77777777" w:rsidR="00C1528E" w:rsidRPr="007F4497" w:rsidRDefault="00C1528E" w:rsidP="00C1528E">
      <w:pPr>
        <w:ind w:firstLine="720"/>
        <w:rPr>
          <w:rFonts w:ascii="Times New Roman" w:hAnsi="Times New Roman" w:cs="Times New Roman"/>
          <w:sz w:val="24"/>
          <w:szCs w:val="24"/>
        </w:rPr>
      </w:pPr>
      <w:r w:rsidRPr="007F4497">
        <w:rPr>
          <w:rFonts w:ascii="Times New Roman" w:hAnsi="Times New Roman" w:cs="Times New Roman"/>
          <w:sz w:val="24"/>
          <w:szCs w:val="24"/>
        </w:rPr>
        <w:t>Attention:  Mr. Shabbir Olia, CED Division Chief</w:t>
      </w:r>
    </w:p>
    <w:p w14:paraId="59BC105A" w14:textId="77777777" w:rsidR="00C1528E" w:rsidRPr="007F4497" w:rsidRDefault="00C1528E" w:rsidP="00C1528E">
      <w:pPr>
        <w:ind w:firstLine="720"/>
        <w:rPr>
          <w:rStyle w:val="Hyperlink"/>
          <w:rFonts w:ascii="Times New Roman" w:hAnsi="Times New Roman" w:cs="Times New Roman"/>
          <w:sz w:val="24"/>
          <w:szCs w:val="24"/>
        </w:rPr>
      </w:pPr>
      <w:r w:rsidRPr="007F4497">
        <w:rPr>
          <w:rFonts w:ascii="Times New Roman" w:hAnsi="Times New Roman" w:cs="Times New Roman"/>
          <w:sz w:val="24"/>
          <w:szCs w:val="24"/>
        </w:rPr>
        <w:t xml:space="preserve">Phone # 334-242-5468; Fax#:  334-353-3527; Email:  </w:t>
      </w:r>
      <w:hyperlink r:id="rId141" w:history="1">
        <w:r w:rsidRPr="007F4497">
          <w:rPr>
            <w:rStyle w:val="Hyperlink"/>
            <w:rFonts w:ascii="Times New Roman" w:hAnsi="Times New Roman" w:cs="Times New Roman"/>
            <w:sz w:val="24"/>
            <w:szCs w:val="24"/>
          </w:rPr>
          <w:t>Shabbir.oila@adeca.alabama.gov</w:t>
        </w:r>
      </w:hyperlink>
    </w:p>
    <w:p w14:paraId="4141B569" w14:textId="77777777" w:rsidR="00216D1B" w:rsidRDefault="00216D1B" w:rsidP="00C1528E">
      <w:pPr>
        <w:ind w:firstLine="720"/>
        <w:rPr>
          <w:rFonts w:ascii="Times New Roman" w:hAnsi="Times New Roman" w:cs="Times New Roman"/>
          <w:sz w:val="24"/>
          <w:szCs w:val="24"/>
        </w:rPr>
      </w:pPr>
    </w:p>
    <w:p w14:paraId="1D72B374" w14:textId="15B7A500" w:rsidR="00C1528E" w:rsidRDefault="00C1528E" w:rsidP="00C1528E">
      <w:pPr>
        <w:ind w:firstLine="720"/>
        <w:rPr>
          <w:rFonts w:ascii="Times New Roman" w:hAnsi="Times New Roman" w:cs="Times New Roman"/>
          <w:sz w:val="24"/>
          <w:szCs w:val="24"/>
        </w:rPr>
      </w:pPr>
      <w:r w:rsidRPr="007F4497">
        <w:rPr>
          <w:rFonts w:ascii="Times New Roman" w:hAnsi="Times New Roman" w:cs="Times New Roman"/>
          <w:sz w:val="24"/>
          <w:szCs w:val="24"/>
        </w:rPr>
        <w:t xml:space="preserve">Additionally, see below and the ADECA website </w:t>
      </w:r>
      <w:hyperlink r:id="rId142" w:history="1">
        <w:r w:rsidRPr="007F4497">
          <w:rPr>
            <w:rStyle w:val="Hyperlink"/>
            <w:rFonts w:ascii="Times New Roman" w:hAnsi="Times New Roman" w:cs="Times New Roman"/>
            <w:sz w:val="24"/>
            <w:szCs w:val="24"/>
          </w:rPr>
          <w:t>www.adeca.alabama.gov</w:t>
        </w:r>
      </w:hyperlink>
      <w:r w:rsidRPr="007F4497">
        <w:rPr>
          <w:rFonts w:ascii="Times New Roman" w:hAnsi="Times New Roman" w:cs="Times New Roman"/>
          <w:sz w:val="24"/>
          <w:szCs w:val="24"/>
        </w:rPr>
        <w:t xml:space="preserve"> at the link </w:t>
      </w:r>
      <w:hyperlink r:id="rId143" w:history="1">
        <w:r w:rsidRPr="007F4497">
          <w:rPr>
            <w:rStyle w:val="Hyperlink"/>
            <w:rFonts w:ascii="Times New Roman" w:hAnsi="Times New Roman" w:cs="Times New Roman"/>
            <w:sz w:val="24"/>
            <w:szCs w:val="24"/>
          </w:rPr>
          <w:t>https://adeca.alabama.gov/cdbg/monitoring-and-compliance-checklists/</w:t>
        </w:r>
      </w:hyperlink>
      <w:r w:rsidRPr="007F4497">
        <w:rPr>
          <w:rFonts w:ascii="Times New Roman" w:hAnsi="Times New Roman" w:cs="Times New Roman"/>
          <w:sz w:val="24"/>
          <w:szCs w:val="24"/>
        </w:rPr>
        <w:t xml:space="preserve"> for the ADECA CDBG Program's procurement Bidding and Contracting Compliance Questionnaire and its Attachments A and B, that each subgrant recipient must complete prior to receiving ADECA’s CDBG grant funds.</w:t>
      </w:r>
    </w:p>
    <w:p w14:paraId="27D9943C" w14:textId="77777777" w:rsidR="00613E8A" w:rsidRPr="007F4497" w:rsidRDefault="00613E8A" w:rsidP="00613E8A">
      <w:pPr>
        <w:rPr>
          <w:rFonts w:ascii="Times New Roman" w:hAnsi="Times New Roman" w:cs="Times New Roman"/>
          <w:sz w:val="24"/>
          <w:szCs w:val="24"/>
        </w:rPr>
      </w:pPr>
    </w:p>
    <w:p w14:paraId="293EF871" w14:textId="77777777" w:rsidR="00C1528E" w:rsidRPr="00DD23D3" w:rsidRDefault="00C1528E" w:rsidP="00C1528E">
      <w:pPr>
        <w:ind w:left="720" w:firstLine="720"/>
        <w:rPr>
          <w:rFonts w:ascii="Times New Roman" w:hAnsi="Times New Roman" w:cs="Times New Roman"/>
          <w:b/>
          <w:bCs/>
          <w:sz w:val="24"/>
          <w:szCs w:val="24"/>
        </w:rPr>
      </w:pPr>
      <w:r>
        <w:rPr>
          <w:rFonts w:ascii="Times New Roman" w:hAnsi="Times New Roman" w:cs="Times New Roman"/>
          <w:sz w:val="24"/>
          <w:szCs w:val="24"/>
        </w:rPr>
        <w:t xml:space="preserve">     </w:t>
      </w:r>
      <w:r w:rsidRPr="00DD23D3">
        <w:rPr>
          <w:rFonts w:ascii="Times New Roman" w:hAnsi="Times New Roman" w:cs="Times New Roman"/>
          <w:b/>
          <w:bCs/>
          <w:sz w:val="24"/>
          <w:szCs w:val="24"/>
        </w:rPr>
        <w:t>Bidding and Contracting Compliance Questionnaire</w:t>
      </w:r>
    </w:p>
    <w:tbl>
      <w:tblPr>
        <w:tblStyle w:val="TableGrid"/>
        <w:tblW w:w="0" w:type="auto"/>
        <w:tblLook w:val="04A0" w:firstRow="1" w:lastRow="0" w:firstColumn="1" w:lastColumn="0" w:noHBand="0" w:noVBand="1"/>
      </w:tblPr>
      <w:tblGrid>
        <w:gridCol w:w="9350"/>
      </w:tblGrid>
      <w:tr w:rsidR="00C1528E" w14:paraId="4A821522" w14:textId="77777777" w:rsidTr="002B55BD">
        <w:tc>
          <w:tcPr>
            <w:tcW w:w="9350" w:type="dxa"/>
          </w:tcPr>
          <w:p w14:paraId="6FCDDCD7" w14:textId="77777777" w:rsidR="00C1528E" w:rsidRDefault="00C1528E" w:rsidP="002B55BD">
            <w:pPr>
              <w:jc w:val="center"/>
              <w:rPr>
                <w:rFonts w:ascii="Arial" w:hAnsi="Arial" w:cs="Arial"/>
                <w:b/>
              </w:rPr>
            </w:pPr>
            <w:r w:rsidRPr="00155281">
              <w:rPr>
                <w:rFonts w:ascii="Arial" w:hAnsi="Arial" w:cs="Arial"/>
                <w:b/>
              </w:rPr>
              <w:t>LETTER OF CONDITIONAL COMMITMENT</w:t>
            </w:r>
          </w:p>
          <w:p w14:paraId="479E237C" w14:textId="77777777" w:rsidR="00C1528E" w:rsidRDefault="00C1528E" w:rsidP="002B55BD">
            <w:pPr>
              <w:jc w:val="center"/>
              <w:rPr>
                <w:rFonts w:ascii="Arial" w:hAnsi="Arial" w:cs="Arial"/>
                <w:b/>
              </w:rPr>
            </w:pPr>
            <w:r w:rsidRPr="00155281">
              <w:rPr>
                <w:rFonts w:ascii="Arial" w:hAnsi="Arial" w:cs="Arial"/>
                <w:b/>
              </w:rPr>
              <w:t>BIDDING AND CONTRACTING COMPLIANCE QUESTIONNAIRE</w:t>
            </w:r>
          </w:p>
          <w:p w14:paraId="18C41DCC" w14:textId="77777777" w:rsidR="00C1528E" w:rsidRDefault="00C1528E" w:rsidP="002B55BD">
            <w:pPr>
              <w:rPr>
                <w:rFonts w:ascii="Arial" w:hAnsi="Arial" w:cs="Arial"/>
              </w:rPr>
            </w:pPr>
          </w:p>
          <w:p w14:paraId="36B7D51B" w14:textId="77777777" w:rsidR="00C1528E" w:rsidRPr="006D5A34" w:rsidRDefault="00C1528E" w:rsidP="002B55BD">
            <w:pPr>
              <w:rPr>
                <w:rFonts w:ascii="Arial" w:hAnsi="Arial" w:cs="Arial"/>
              </w:rPr>
            </w:pPr>
          </w:p>
          <w:p w14:paraId="457736EA" w14:textId="77777777" w:rsidR="00C1528E" w:rsidRDefault="00C1528E" w:rsidP="002B55BD">
            <w:pPr>
              <w:rPr>
                <w:rFonts w:ascii="Arial" w:hAnsi="Arial" w:cs="Arial"/>
                <w:u w:val="single"/>
              </w:rPr>
            </w:pPr>
            <w:r>
              <w:rPr>
                <w:rFonts w:ascii="Arial" w:hAnsi="Arial" w:cs="Arial"/>
              </w:rPr>
              <w:t xml:space="preserve">Grantee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9827B23" w14:textId="77777777" w:rsidR="00C1528E" w:rsidRDefault="00C1528E" w:rsidP="002B55BD">
            <w:pPr>
              <w:rPr>
                <w:rFonts w:ascii="Arial" w:hAnsi="Arial" w:cs="Arial"/>
                <w:u w:val="single"/>
              </w:rPr>
            </w:pPr>
          </w:p>
          <w:p w14:paraId="6DBAB62B" w14:textId="77777777" w:rsidR="00C1528E" w:rsidRDefault="00C1528E" w:rsidP="002B55BD">
            <w:pPr>
              <w:rPr>
                <w:rFonts w:ascii="Arial" w:hAnsi="Arial" w:cs="Arial"/>
                <w:u w:val="single"/>
              </w:rPr>
            </w:pPr>
            <w:r>
              <w:rPr>
                <w:rFonts w:ascii="Arial" w:hAnsi="Arial" w:cs="Arial"/>
              </w:rPr>
              <w:t>Project Number: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EEB8243" w14:textId="77777777" w:rsidR="00C1528E" w:rsidRPr="006D5A34" w:rsidRDefault="00C1528E" w:rsidP="002B55BD">
            <w:pPr>
              <w:rPr>
                <w:rFonts w:ascii="Arial" w:hAnsi="Arial" w:cs="Arial"/>
                <w:u w:val="single"/>
              </w:rPr>
            </w:pPr>
          </w:p>
          <w:p w14:paraId="1BF11AE2" w14:textId="77777777" w:rsidR="00C1528E" w:rsidRDefault="00C1528E" w:rsidP="002B55BD">
            <w:pPr>
              <w:rPr>
                <w:rFonts w:ascii="Arial" w:hAnsi="Arial" w:cs="Arial"/>
                <w:b/>
              </w:rPr>
            </w:pPr>
            <w:r w:rsidRPr="00F66587">
              <w:rPr>
                <w:rFonts w:ascii="Arial" w:hAnsi="Arial" w:cs="Arial"/>
                <w:b/>
              </w:rPr>
              <w:t>PART A:</w:t>
            </w:r>
            <w:r w:rsidRPr="00F66587">
              <w:rPr>
                <w:rFonts w:ascii="Arial" w:hAnsi="Arial" w:cs="Arial"/>
                <w:b/>
              </w:rPr>
              <w:tab/>
            </w:r>
            <w:r w:rsidRPr="00F66587">
              <w:rPr>
                <w:rFonts w:ascii="Arial" w:hAnsi="Arial" w:cs="Arial"/>
                <w:b/>
              </w:rPr>
              <w:tab/>
            </w:r>
            <w:r>
              <w:rPr>
                <w:rFonts w:ascii="Arial" w:hAnsi="Arial" w:cs="Arial"/>
                <w:b/>
              </w:rPr>
              <w:t>STANDARDS OF CONDUCT</w:t>
            </w:r>
          </w:p>
          <w:p w14:paraId="0BA12214" w14:textId="77777777" w:rsidR="00C1528E" w:rsidRDefault="00C1528E" w:rsidP="002B55BD">
            <w:pPr>
              <w:rPr>
                <w:rFonts w:ascii="Arial" w:hAnsi="Arial" w:cs="Arial"/>
                <w:b/>
              </w:rPr>
            </w:pPr>
          </w:p>
          <w:p w14:paraId="3FA501CD" w14:textId="77777777" w:rsidR="00C1528E" w:rsidRDefault="00C1528E" w:rsidP="00C1528E">
            <w:pPr>
              <w:numPr>
                <w:ilvl w:val="0"/>
                <w:numId w:val="18"/>
              </w:numPr>
              <w:rPr>
                <w:rFonts w:ascii="Arial" w:hAnsi="Arial" w:cs="Arial"/>
              </w:rPr>
            </w:pPr>
            <w:r>
              <w:rPr>
                <w:rFonts w:ascii="Arial" w:hAnsi="Arial" w:cs="Arial"/>
              </w:rPr>
              <w:t xml:space="preserve">Does the grantee maintain written standards of conduct governing the performance of their employees engaged in the award and administration of contracts?  (Please see attachment A.)  </w:t>
            </w:r>
            <w:r>
              <w:rPr>
                <w:rFonts w:ascii="Arial" w:hAnsi="Arial" w:cs="Arial"/>
              </w:rPr>
              <w:tab/>
              <w:t>Yes _______ No _______</w:t>
            </w:r>
          </w:p>
          <w:p w14:paraId="3842F994" w14:textId="77777777" w:rsidR="00C1528E" w:rsidRDefault="00C1528E" w:rsidP="002B55BD">
            <w:pPr>
              <w:rPr>
                <w:rFonts w:ascii="Arial" w:hAnsi="Arial" w:cs="Arial"/>
              </w:rPr>
            </w:pPr>
          </w:p>
          <w:p w14:paraId="7C6D7003" w14:textId="77777777" w:rsidR="00C1528E" w:rsidRDefault="00C1528E" w:rsidP="00C1528E">
            <w:pPr>
              <w:numPr>
                <w:ilvl w:val="0"/>
                <w:numId w:val="18"/>
              </w:numPr>
              <w:rPr>
                <w:rFonts w:ascii="Arial" w:hAnsi="Arial" w:cs="Arial"/>
              </w:rPr>
            </w:pPr>
            <w:r>
              <w:rPr>
                <w:rFonts w:ascii="Arial" w:hAnsi="Arial" w:cs="Arial"/>
              </w:rPr>
              <w:t>Date the standards were adopted:  ___________/________/__________</w:t>
            </w:r>
          </w:p>
          <w:p w14:paraId="0D6F2DB6" w14:textId="77777777" w:rsidR="00C1528E" w:rsidRPr="001F5365" w:rsidRDefault="00C1528E" w:rsidP="002B55BD">
            <w:pPr>
              <w:ind w:left="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1F5365">
              <w:rPr>
                <w:rFonts w:ascii="Arial" w:hAnsi="Arial" w:cs="Arial"/>
                <w:sz w:val="16"/>
                <w:szCs w:val="16"/>
              </w:rPr>
              <w:t>(Month)</w:t>
            </w:r>
            <w:r w:rsidRPr="001F5365">
              <w:rPr>
                <w:rFonts w:ascii="Arial" w:hAnsi="Arial" w:cs="Arial"/>
                <w:sz w:val="16"/>
                <w:szCs w:val="16"/>
              </w:rPr>
              <w:tab/>
            </w:r>
            <w:r>
              <w:rPr>
                <w:rFonts w:ascii="Arial" w:hAnsi="Arial" w:cs="Arial"/>
                <w:sz w:val="16"/>
                <w:szCs w:val="16"/>
              </w:rPr>
              <w:t xml:space="preserve">                </w:t>
            </w:r>
            <w:r w:rsidRPr="001F5365">
              <w:rPr>
                <w:rFonts w:ascii="Arial" w:hAnsi="Arial" w:cs="Arial"/>
                <w:sz w:val="16"/>
                <w:szCs w:val="16"/>
              </w:rPr>
              <w:t>(Day)</w:t>
            </w:r>
            <w:r w:rsidRPr="001F5365">
              <w:rPr>
                <w:rFonts w:ascii="Arial" w:hAnsi="Arial" w:cs="Arial"/>
                <w:sz w:val="16"/>
                <w:szCs w:val="16"/>
              </w:rPr>
              <w:tab/>
            </w:r>
            <w:r>
              <w:rPr>
                <w:rFonts w:ascii="Arial" w:hAnsi="Arial" w:cs="Arial"/>
                <w:sz w:val="16"/>
                <w:szCs w:val="16"/>
              </w:rPr>
              <w:t xml:space="preserve">          </w:t>
            </w:r>
            <w:r w:rsidRPr="001F5365">
              <w:rPr>
                <w:rFonts w:ascii="Arial" w:hAnsi="Arial" w:cs="Arial"/>
                <w:sz w:val="16"/>
                <w:szCs w:val="16"/>
              </w:rPr>
              <w:t>(Year)</w:t>
            </w:r>
          </w:p>
          <w:p w14:paraId="7D395417" w14:textId="77777777" w:rsidR="00C1528E" w:rsidRDefault="00C1528E" w:rsidP="002B55BD">
            <w:pPr>
              <w:rPr>
                <w:rFonts w:ascii="Arial" w:hAnsi="Arial" w:cs="Arial"/>
              </w:rPr>
            </w:pPr>
          </w:p>
          <w:p w14:paraId="1B5BE04F" w14:textId="77777777" w:rsidR="00C1528E" w:rsidRPr="00F66587" w:rsidRDefault="00C1528E" w:rsidP="002B55BD">
            <w:pPr>
              <w:rPr>
                <w:rFonts w:ascii="Arial" w:hAnsi="Arial" w:cs="Arial"/>
                <w:b/>
              </w:rPr>
            </w:pPr>
            <w:r>
              <w:rPr>
                <w:rFonts w:ascii="Arial" w:hAnsi="Arial" w:cs="Arial"/>
                <w:b/>
              </w:rPr>
              <w:t>PART B:</w:t>
            </w:r>
            <w:r>
              <w:rPr>
                <w:rFonts w:ascii="Arial" w:hAnsi="Arial" w:cs="Arial"/>
                <w:b/>
              </w:rPr>
              <w:tab/>
            </w:r>
            <w:r>
              <w:rPr>
                <w:rFonts w:ascii="Arial" w:hAnsi="Arial" w:cs="Arial"/>
                <w:b/>
              </w:rPr>
              <w:tab/>
            </w:r>
            <w:r w:rsidRPr="00F66587">
              <w:rPr>
                <w:rFonts w:ascii="Arial" w:hAnsi="Arial" w:cs="Arial"/>
                <w:b/>
              </w:rPr>
              <w:t>PROCUREMENT PROCEDURES</w:t>
            </w:r>
          </w:p>
          <w:p w14:paraId="2EB8E42F" w14:textId="77777777" w:rsidR="00C1528E" w:rsidRPr="006D5A34" w:rsidRDefault="00C1528E" w:rsidP="002B55BD">
            <w:pPr>
              <w:rPr>
                <w:rFonts w:ascii="Arial" w:hAnsi="Arial" w:cs="Arial"/>
              </w:rPr>
            </w:pPr>
          </w:p>
          <w:p w14:paraId="06169C5F" w14:textId="77777777" w:rsidR="00C1528E" w:rsidRDefault="00C1528E" w:rsidP="00C1528E">
            <w:pPr>
              <w:numPr>
                <w:ilvl w:val="0"/>
                <w:numId w:val="17"/>
              </w:numPr>
              <w:rPr>
                <w:rFonts w:ascii="Arial" w:hAnsi="Arial" w:cs="Arial"/>
              </w:rPr>
            </w:pPr>
            <w:r>
              <w:rPr>
                <w:rFonts w:ascii="Arial" w:hAnsi="Arial" w:cs="Arial"/>
              </w:rPr>
              <w:t>Does the grantee have written Procurement Policies?  (Please see attachment B.)</w:t>
            </w:r>
            <w:r>
              <w:rPr>
                <w:rFonts w:ascii="Arial" w:hAnsi="Arial" w:cs="Arial"/>
              </w:rPr>
              <w:tab/>
              <w:t>Yes _______ No _______</w:t>
            </w:r>
          </w:p>
          <w:p w14:paraId="2C798BF4" w14:textId="611894D1" w:rsidR="00C1528E" w:rsidRDefault="00C1528E" w:rsidP="002B55BD">
            <w:pPr>
              <w:ind w:left="360"/>
              <w:rPr>
                <w:rFonts w:ascii="Arial" w:hAnsi="Arial" w:cs="Arial"/>
              </w:rPr>
            </w:pPr>
          </w:p>
          <w:p w14:paraId="0711F9A9" w14:textId="77777777" w:rsidR="00613E8A" w:rsidRDefault="00613E8A" w:rsidP="002B55BD">
            <w:pPr>
              <w:ind w:left="360"/>
              <w:rPr>
                <w:rFonts w:ascii="Arial" w:hAnsi="Arial" w:cs="Arial"/>
              </w:rPr>
            </w:pPr>
          </w:p>
          <w:p w14:paraId="4DFAE642" w14:textId="77777777" w:rsidR="00C1528E" w:rsidRDefault="00C1528E" w:rsidP="00C1528E">
            <w:pPr>
              <w:numPr>
                <w:ilvl w:val="0"/>
                <w:numId w:val="17"/>
              </w:numPr>
              <w:rPr>
                <w:rFonts w:ascii="Arial" w:hAnsi="Arial" w:cs="Arial"/>
              </w:rPr>
            </w:pPr>
            <w:r>
              <w:rPr>
                <w:rFonts w:ascii="Arial" w:hAnsi="Arial" w:cs="Arial"/>
              </w:rPr>
              <w:t>Date Procurement Policies were adopted:  ___________/________/__________</w:t>
            </w:r>
          </w:p>
          <w:p w14:paraId="2D604AEB" w14:textId="77777777" w:rsidR="00C1528E" w:rsidRPr="001F5365" w:rsidRDefault="00C1528E" w:rsidP="002B55BD">
            <w:pPr>
              <w:ind w:left="360"/>
              <w:rPr>
                <w:rFonts w:ascii="Arial" w:hAnsi="Arial" w:cs="Arial"/>
                <w:sz w:val="16"/>
                <w:szCs w:val="16"/>
              </w:rPr>
            </w:pPr>
            <w:r w:rsidRPr="001F5365">
              <w:rPr>
                <w:rFonts w:ascii="Arial" w:hAnsi="Arial" w:cs="Arial"/>
                <w:sz w:val="16"/>
                <w:szCs w:val="16"/>
              </w:rPr>
              <w:tab/>
            </w:r>
            <w:r w:rsidRPr="001F5365">
              <w:rPr>
                <w:rFonts w:ascii="Arial" w:hAnsi="Arial" w:cs="Arial"/>
                <w:sz w:val="16"/>
                <w:szCs w:val="16"/>
              </w:rPr>
              <w:tab/>
            </w:r>
            <w:r w:rsidRPr="001F5365">
              <w:rPr>
                <w:rFonts w:ascii="Arial" w:hAnsi="Arial" w:cs="Arial"/>
                <w:sz w:val="16"/>
                <w:szCs w:val="16"/>
              </w:rPr>
              <w:tab/>
            </w:r>
            <w:r w:rsidRPr="001F5365">
              <w:rPr>
                <w:rFonts w:ascii="Arial" w:hAnsi="Arial" w:cs="Arial"/>
                <w:sz w:val="16"/>
                <w:szCs w:val="16"/>
              </w:rPr>
              <w:tab/>
            </w:r>
            <w:r w:rsidRPr="001F5365">
              <w:rPr>
                <w:rFonts w:ascii="Arial" w:hAnsi="Arial" w:cs="Arial"/>
                <w:sz w:val="16"/>
                <w:szCs w:val="16"/>
              </w:rPr>
              <w:tab/>
            </w:r>
            <w:r w:rsidRPr="001F5365">
              <w:rPr>
                <w:rFonts w:ascii="Arial" w:hAnsi="Arial" w:cs="Arial"/>
                <w:sz w:val="16"/>
                <w:szCs w:val="16"/>
              </w:rPr>
              <w:tab/>
            </w:r>
            <w:r w:rsidRPr="001F5365">
              <w:rPr>
                <w:rFonts w:ascii="Arial" w:hAnsi="Arial" w:cs="Arial"/>
                <w:sz w:val="16"/>
                <w:szCs w:val="16"/>
              </w:rPr>
              <w:tab/>
              <w:t>(Month)</w:t>
            </w:r>
            <w:r w:rsidRPr="001F5365">
              <w:rPr>
                <w:rFonts w:ascii="Arial" w:hAnsi="Arial" w:cs="Arial"/>
                <w:sz w:val="16"/>
                <w:szCs w:val="16"/>
              </w:rPr>
              <w:tab/>
            </w:r>
            <w:r w:rsidRPr="001F5365">
              <w:rPr>
                <w:rFonts w:ascii="Arial" w:hAnsi="Arial" w:cs="Arial"/>
                <w:sz w:val="16"/>
                <w:szCs w:val="16"/>
              </w:rPr>
              <w:tab/>
              <w:t>(Day)</w:t>
            </w:r>
            <w:r w:rsidRPr="001F5365">
              <w:rPr>
                <w:rFonts w:ascii="Arial" w:hAnsi="Arial" w:cs="Arial"/>
                <w:sz w:val="16"/>
                <w:szCs w:val="16"/>
              </w:rPr>
              <w:tab/>
            </w:r>
            <w:r w:rsidRPr="001F5365">
              <w:rPr>
                <w:rFonts w:ascii="Arial" w:hAnsi="Arial" w:cs="Arial"/>
                <w:sz w:val="16"/>
                <w:szCs w:val="16"/>
              </w:rPr>
              <w:tab/>
              <w:t>(Year)</w:t>
            </w:r>
          </w:p>
          <w:p w14:paraId="6226E426" w14:textId="77777777" w:rsidR="00C1528E" w:rsidRDefault="00C1528E" w:rsidP="002B55BD">
            <w:pPr>
              <w:ind w:left="360"/>
              <w:rPr>
                <w:rFonts w:ascii="Arial" w:hAnsi="Arial" w:cs="Arial"/>
              </w:rPr>
            </w:pPr>
          </w:p>
          <w:p w14:paraId="090B6A4A" w14:textId="77777777" w:rsidR="00C1528E" w:rsidRDefault="00C1528E" w:rsidP="00C1528E">
            <w:pPr>
              <w:numPr>
                <w:ilvl w:val="0"/>
                <w:numId w:val="17"/>
              </w:numPr>
              <w:rPr>
                <w:rFonts w:ascii="Arial" w:hAnsi="Arial" w:cs="Arial"/>
              </w:rPr>
            </w:pPr>
            <w:r>
              <w:rPr>
                <w:rFonts w:ascii="Arial" w:hAnsi="Arial" w:cs="Arial"/>
              </w:rPr>
              <w:t>Has the grantee included the State of Alabama Public Works Law (Title 39, Code of Alabama), the State of Alabama Competitive Bid Law (Title 41, Code of Alabama, as amended), and the Common Rule (24 CFR 85.36) in its procurement policies?</w:t>
            </w:r>
            <w:r>
              <w:rPr>
                <w:rFonts w:ascii="Arial" w:hAnsi="Arial" w:cs="Arial"/>
              </w:rPr>
              <w:tab/>
              <w:t xml:space="preserve">  Yes ____ No ____</w:t>
            </w:r>
          </w:p>
          <w:p w14:paraId="15F93C40" w14:textId="77777777" w:rsidR="00C1528E" w:rsidRDefault="00C1528E" w:rsidP="002B55BD">
            <w:pPr>
              <w:ind w:left="360"/>
              <w:rPr>
                <w:rFonts w:ascii="Arial" w:hAnsi="Arial" w:cs="Arial"/>
              </w:rPr>
            </w:pPr>
          </w:p>
          <w:p w14:paraId="158932E7" w14:textId="77777777" w:rsidR="00C1528E" w:rsidRDefault="00C1528E" w:rsidP="00C1528E">
            <w:pPr>
              <w:numPr>
                <w:ilvl w:val="0"/>
                <w:numId w:val="17"/>
              </w:numPr>
              <w:rPr>
                <w:rFonts w:ascii="Arial" w:hAnsi="Arial" w:cs="Arial"/>
              </w:rPr>
            </w:pPr>
            <w:r>
              <w:rPr>
                <w:rFonts w:ascii="Arial" w:hAnsi="Arial" w:cs="Arial"/>
              </w:rPr>
              <w:t>Has the grantee identified a purchasing coordinator to implement its procurement procedures?  Yes _____ No _____</w:t>
            </w:r>
          </w:p>
          <w:p w14:paraId="4B727E9E" w14:textId="77777777" w:rsidR="00C1528E" w:rsidRPr="006D5A34" w:rsidRDefault="00C1528E" w:rsidP="002B55BD">
            <w:pPr>
              <w:rPr>
                <w:rFonts w:ascii="Arial" w:hAnsi="Arial" w:cs="Arial"/>
              </w:rPr>
            </w:pPr>
          </w:p>
          <w:p w14:paraId="02703DCE" w14:textId="77777777" w:rsidR="00C1528E" w:rsidRDefault="00C1528E" w:rsidP="002B55BD">
            <w:pPr>
              <w:rPr>
                <w:rFonts w:ascii="Arial" w:hAnsi="Arial" w:cs="Arial"/>
                <w:b/>
              </w:rPr>
            </w:pPr>
          </w:p>
          <w:p w14:paraId="26FFC97A" w14:textId="77777777" w:rsidR="00C1528E" w:rsidRDefault="00C1528E" w:rsidP="002B55BD">
            <w:pPr>
              <w:rPr>
                <w:rFonts w:ascii="Arial" w:hAnsi="Arial" w:cs="Arial"/>
                <w:b/>
              </w:rPr>
            </w:pPr>
            <w:r>
              <w:rPr>
                <w:rFonts w:ascii="Arial" w:hAnsi="Arial" w:cs="Arial"/>
                <w:b/>
              </w:rPr>
              <w:t>PART C:</w:t>
            </w:r>
            <w:r>
              <w:rPr>
                <w:rFonts w:ascii="Arial" w:hAnsi="Arial" w:cs="Arial"/>
                <w:b/>
              </w:rPr>
              <w:tab/>
            </w:r>
            <w:r>
              <w:rPr>
                <w:rFonts w:ascii="Arial" w:hAnsi="Arial" w:cs="Arial"/>
                <w:b/>
              </w:rPr>
              <w:tab/>
              <w:t>CERTIFICATION</w:t>
            </w:r>
          </w:p>
          <w:p w14:paraId="3DE1054B" w14:textId="77777777" w:rsidR="00C1528E" w:rsidRPr="006D5A34" w:rsidRDefault="00C1528E" w:rsidP="002B55BD">
            <w:pPr>
              <w:tabs>
                <w:tab w:val="left" w:pos="2160"/>
              </w:tabs>
              <w:rPr>
                <w:rFonts w:ascii="Arial" w:hAnsi="Arial" w:cs="Arial"/>
              </w:rPr>
            </w:pPr>
          </w:p>
          <w:p w14:paraId="7C94F305" w14:textId="77777777" w:rsidR="00C1528E" w:rsidRDefault="00C1528E" w:rsidP="002B55BD">
            <w:pPr>
              <w:tabs>
                <w:tab w:val="left" w:pos="2160"/>
              </w:tabs>
              <w:ind w:left="399"/>
              <w:jc w:val="both"/>
              <w:rPr>
                <w:rFonts w:ascii="Arial" w:hAnsi="Arial" w:cs="Arial"/>
              </w:rPr>
            </w:pPr>
            <w:r>
              <w:rPr>
                <w:rFonts w:ascii="Arial" w:hAnsi="Arial" w:cs="Arial"/>
              </w:rPr>
              <w:t>A copy of the adopted Standards of Conduct and Procurement Policies is on file and available for review at the town hall/county commission.</w:t>
            </w:r>
          </w:p>
          <w:p w14:paraId="793C12C7" w14:textId="77777777" w:rsidR="00C1528E" w:rsidRPr="006D5A34" w:rsidRDefault="00C1528E" w:rsidP="002B55BD">
            <w:pPr>
              <w:tabs>
                <w:tab w:val="left" w:pos="2160"/>
              </w:tabs>
              <w:rPr>
                <w:rFonts w:ascii="Arial" w:hAnsi="Arial" w:cs="Arial"/>
              </w:rPr>
            </w:pPr>
          </w:p>
          <w:p w14:paraId="10A96830" w14:textId="77777777" w:rsidR="00C1528E" w:rsidRPr="006D5A34" w:rsidRDefault="00C1528E" w:rsidP="002B55BD">
            <w:pPr>
              <w:tabs>
                <w:tab w:val="left" w:pos="2160"/>
              </w:tabs>
              <w:rPr>
                <w:rFonts w:ascii="Arial" w:hAnsi="Arial" w:cs="Arial"/>
              </w:rPr>
            </w:pPr>
          </w:p>
          <w:p w14:paraId="4E0EB1B5" w14:textId="77777777" w:rsidR="00C1528E" w:rsidRPr="006D5A34" w:rsidRDefault="00C1528E" w:rsidP="002B55BD">
            <w:pPr>
              <w:tabs>
                <w:tab w:val="left" w:pos="2160"/>
              </w:tabs>
              <w:rPr>
                <w:rFonts w:ascii="Arial" w:hAnsi="Arial" w:cs="Arial"/>
              </w:rPr>
            </w:pPr>
          </w:p>
          <w:p w14:paraId="24C45668" w14:textId="77777777" w:rsidR="00C1528E" w:rsidRDefault="00C1528E" w:rsidP="002B55BD">
            <w:pPr>
              <w:tabs>
                <w:tab w:val="left" w:pos="2160"/>
              </w:tabs>
              <w:rPr>
                <w:rFonts w:ascii="Arial" w:hAnsi="Arial" w:cs="Arial"/>
                <w:u w:val="single"/>
              </w:rPr>
            </w:pPr>
            <w:r>
              <w:rPr>
                <w:rFonts w:ascii="Arial" w:hAnsi="Arial" w:cs="Arial"/>
                <w:u w:val="single"/>
              </w:rPr>
              <w:t>________________________________</w:t>
            </w:r>
            <w:r>
              <w:rPr>
                <w:rFonts w:ascii="Arial" w:hAnsi="Arial" w:cs="Arial"/>
              </w:rPr>
              <w:tab/>
            </w:r>
            <w:r>
              <w:rPr>
                <w:rFonts w:ascii="Arial" w:hAnsi="Arial" w:cs="Arial"/>
              </w:rPr>
              <w:tab/>
            </w:r>
            <w:r>
              <w:rPr>
                <w:rFonts w:ascii="Arial" w:hAnsi="Arial" w:cs="Arial"/>
                <w:u w:val="single"/>
              </w:rPr>
              <w:t>_______________________________</w:t>
            </w:r>
          </w:p>
          <w:p w14:paraId="1B338B9B" w14:textId="77777777" w:rsidR="00C1528E" w:rsidRDefault="00C1528E" w:rsidP="002B55BD">
            <w:pPr>
              <w:tabs>
                <w:tab w:val="left" w:pos="2160"/>
              </w:tabs>
              <w:rPr>
                <w:rFonts w:ascii="Arial" w:hAnsi="Arial" w:cs="Arial"/>
              </w:rPr>
            </w:pPr>
            <w:r>
              <w:rPr>
                <w:rFonts w:ascii="Arial" w:hAnsi="Arial" w:cs="Arial"/>
              </w:rPr>
              <w:t>Mayor/Chairman</w:t>
            </w:r>
            <w:r>
              <w:rPr>
                <w:rFonts w:ascii="Arial" w:hAnsi="Arial" w:cs="Arial"/>
              </w:rPr>
              <w:tab/>
            </w:r>
            <w:r>
              <w:rPr>
                <w:rFonts w:ascii="Arial" w:hAnsi="Arial" w:cs="Arial"/>
              </w:rPr>
              <w:tab/>
              <w:t xml:space="preserve">         Date</w:t>
            </w:r>
            <w:r>
              <w:rPr>
                <w:rFonts w:ascii="Arial" w:hAnsi="Arial" w:cs="Arial"/>
              </w:rPr>
              <w:tab/>
            </w:r>
            <w:r>
              <w:rPr>
                <w:rFonts w:ascii="Arial" w:hAnsi="Arial" w:cs="Arial"/>
              </w:rPr>
              <w:tab/>
              <w:t>ADECA Reviewer</w:t>
            </w:r>
            <w:r>
              <w:rPr>
                <w:rFonts w:ascii="Arial" w:hAnsi="Arial" w:cs="Arial"/>
              </w:rPr>
              <w:tab/>
            </w:r>
            <w:r>
              <w:rPr>
                <w:rFonts w:ascii="Arial" w:hAnsi="Arial" w:cs="Arial"/>
              </w:rPr>
              <w:tab/>
              <w:t xml:space="preserve">        Date</w:t>
            </w:r>
          </w:p>
          <w:p w14:paraId="237F7926" w14:textId="77777777" w:rsidR="00C1528E" w:rsidRDefault="00C1528E" w:rsidP="002B55BD">
            <w:pPr>
              <w:tabs>
                <w:tab w:val="left" w:pos="2160"/>
              </w:tabs>
              <w:rPr>
                <w:rFonts w:ascii="Arial" w:hAnsi="Arial" w:cs="Arial"/>
                <w:b/>
              </w:rPr>
            </w:pPr>
          </w:p>
          <w:p w14:paraId="6C57775A" w14:textId="77777777" w:rsidR="00C1528E" w:rsidRDefault="00C1528E" w:rsidP="002B55BD">
            <w:pPr>
              <w:tabs>
                <w:tab w:val="left" w:pos="2160"/>
              </w:tabs>
              <w:rPr>
                <w:rFonts w:ascii="Arial" w:hAnsi="Arial" w:cs="Arial"/>
              </w:rPr>
            </w:pPr>
            <w:r w:rsidRPr="00760B44">
              <w:rPr>
                <w:rFonts w:ascii="Arial" w:hAnsi="Arial" w:cs="Arial"/>
                <w:b/>
              </w:rPr>
              <w:t>NOTE:  Please complete, sign, date</w:t>
            </w:r>
            <w:r>
              <w:rPr>
                <w:rFonts w:ascii="Arial" w:hAnsi="Arial" w:cs="Arial"/>
                <w:b/>
              </w:rPr>
              <w:t>, and return</w:t>
            </w:r>
            <w:r w:rsidRPr="00760B44">
              <w:rPr>
                <w:rFonts w:ascii="Arial" w:hAnsi="Arial" w:cs="Arial"/>
                <w:b/>
              </w:rPr>
              <w:t xml:space="preserve"> </w:t>
            </w:r>
            <w:r>
              <w:rPr>
                <w:rFonts w:ascii="Arial" w:hAnsi="Arial" w:cs="Arial"/>
                <w:b/>
              </w:rPr>
              <w:t>this page to ADECA</w:t>
            </w:r>
            <w:r w:rsidRPr="00760B44">
              <w:rPr>
                <w:rFonts w:ascii="Arial" w:hAnsi="Arial" w:cs="Arial"/>
                <w:b/>
              </w:rPr>
              <w:t xml:space="preserve">.  </w:t>
            </w:r>
            <w:r>
              <w:rPr>
                <w:rFonts w:ascii="Arial" w:hAnsi="Arial" w:cs="Arial"/>
                <w:b/>
              </w:rPr>
              <w:t>Attachments A and B a</w:t>
            </w:r>
            <w:r w:rsidRPr="00760B44">
              <w:rPr>
                <w:rFonts w:ascii="Arial" w:hAnsi="Arial" w:cs="Arial"/>
                <w:b/>
              </w:rPr>
              <w:t xml:space="preserve">re provided as program </w:t>
            </w:r>
            <w:r>
              <w:rPr>
                <w:rFonts w:ascii="Arial" w:hAnsi="Arial" w:cs="Arial"/>
                <w:b/>
              </w:rPr>
              <w:t>management</w:t>
            </w:r>
            <w:r w:rsidRPr="00760B44">
              <w:rPr>
                <w:rFonts w:ascii="Arial" w:hAnsi="Arial" w:cs="Arial"/>
                <w:b/>
              </w:rPr>
              <w:t xml:space="preserve"> tool</w:t>
            </w:r>
            <w:r>
              <w:rPr>
                <w:rFonts w:ascii="Arial" w:hAnsi="Arial" w:cs="Arial"/>
                <w:b/>
              </w:rPr>
              <w:t>s;</w:t>
            </w:r>
            <w:r w:rsidRPr="00760B44">
              <w:rPr>
                <w:rFonts w:ascii="Arial" w:hAnsi="Arial" w:cs="Arial"/>
                <w:b/>
              </w:rPr>
              <w:t xml:space="preserve"> </w:t>
            </w:r>
            <w:r>
              <w:rPr>
                <w:rFonts w:ascii="Arial" w:hAnsi="Arial" w:cs="Arial"/>
                <w:b/>
              </w:rPr>
              <w:t>please do</w:t>
            </w:r>
            <w:r w:rsidRPr="00760B44">
              <w:rPr>
                <w:rFonts w:ascii="Arial" w:hAnsi="Arial" w:cs="Arial"/>
                <w:b/>
              </w:rPr>
              <w:t xml:space="preserve"> not be return</w:t>
            </w:r>
            <w:r>
              <w:rPr>
                <w:rFonts w:ascii="Arial" w:hAnsi="Arial" w:cs="Arial"/>
                <w:b/>
              </w:rPr>
              <w:t xml:space="preserve"> them</w:t>
            </w:r>
            <w:r w:rsidRPr="00760B44">
              <w:rPr>
                <w:rFonts w:ascii="Arial" w:hAnsi="Arial" w:cs="Arial"/>
                <w:b/>
              </w:rPr>
              <w:t xml:space="preserve"> to ADECA.</w:t>
            </w:r>
          </w:p>
          <w:p w14:paraId="728A9BA6" w14:textId="77777777" w:rsidR="00C1528E" w:rsidRDefault="00C1528E" w:rsidP="002B55BD">
            <w:pPr>
              <w:rPr>
                <w:rFonts w:ascii="Times New Roman" w:hAnsi="Times New Roman" w:cs="Times New Roman"/>
                <w:sz w:val="24"/>
                <w:szCs w:val="24"/>
              </w:rPr>
            </w:pPr>
          </w:p>
        </w:tc>
      </w:tr>
    </w:tbl>
    <w:p w14:paraId="7B718D7E" w14:textId="10D950C5" w:rsidR="00C1528E" w:rsidRDefault="00C1528E" w:rsidP="00216D1B">
      <w:pPr>
        <w:rPr>
          <w:rFonts w:ascii="Times New Roman" w:hAnsi="Times New Roman" w:cs="Times New Roman"/>
          <w:sz w:val="24"/>
          <w:szCs w:val="24"/>
        </w:rPr>
      </w:pPr>
    </w:p>
    <w:p w14:paraId="7BFC3DF3" w14:textId="16E18FD0" w:rsidR="00216D1B" w:rsidRDefault="00216D1B" w:rsidP="00216D1B">
      <w:pPr>
        <w:rPr>
          <w:rFonts w:ascii="Times New Roman" w:hAnsi="Times New Roman" w:cs="Times New Roman"/>
          <w:sz w:val="24"/>
          <w:szCs w:val="24"/>
        </w:rPr>
      </w:pPr>
    </w:p>
    <w:p w14:paraId="6656CDD7" w14:textId="2B23A28C" w:rsidR="00216D1B" w:rsidRDefault="00216D1B" w:rsidP="00216D1B">
      <w:pPr>
        <w:rPr>
          <w:rFonts w:ascii="Times New Roman" w:hAnsi="Times New Roman" w:cs="Times New Roman"/>
          <w:sz w:val="24"/>
          <w:szCs w:val="24"/>
        </w:rPr>
      </w:pPr>
    </w:p>
    <w:p w14:paraId="111FAEDA" w14:textId="07839A72" w:rsidR="00216D1B" w:rsidRDefault="00216D1B" w:rsidP="00216D1B">
      <w:pPr>
        <w:rPr>
          <w:rFonts w:ascii="Times New Roman" w:hAnsi="Times New Roman" w:cs="Times New Roman"/>
          <w:sz w:val="24"/>
          <w:szCs w:val="24"/>
        </w:rPr>
      </w:pPr>
    </w:p>
    <w:p w14:paraId="5EC8B232" w14:textId="54691D80" w:rsidR="00216D1B" w:rsidRDefault="00216D1B" w:rsidP="00216D1B">
      <w:pPr>
        <w:rPr>
          <w:rFonts w:ascii="Times New Roman" w:hAnsi="Times New Roman" w:cs="Times New Roman"/>
          <w:sz w:val="24"/>
          <w:szCs w:val="24"/>
        </w:rPr>
      </w:pPr>
    </w:p>
    <w:p w14:paraId="5F9DA292" w14:textId="3D72AA88" w:rsidR="00216D1B" w:rsidRDefault="00216D1B" w:rsidP="00216D1B">
      <w:pPr>
        <w:rPr>
          <w:rFonts w:ascii="Times New Roman" w:hAnsi="Times New Roman" w:cs="Times New Roman"/>
          <w:sz w:val="24"/>
          <w:szCs w:val="24"/>
        </w:rPr>
      </w:pPr>
    </w:p>
    <w:p w14:paraId="73050808" w14:textId="231218F0" w:rsidR="00216D1B" w:rsidRDefault="00216D1B" w:rsidP="00216D1B">
      <w:pPr>
        <w:rPr>
          <w:rFonts w:ascii="Times New Roman" w:hAnsi="Times New Roman" w:cs="Times New Roman"/>
          <w:sz w:val="24"/>
          <w:szCs w:val="24"/>
        </w:rPr>
      </w:pPr>
    </w:p>
    <w:p w14:paraId="085376BF" w14:textId="04FF42C6" w:rsidR="00216D1B" w:rsidRDefault="00216D1B" w:rsidP="00216D1B">
      <w:pPr>
        <w:rPr>
          <w:rFonts w:ascii="Times New Roman" w:hAnsi="Times New Roman" w:cs="Times New Roman"/>
          <w:sz w:val="24"/>
          <w:szCs w:val="24"/>
        </w:rPr>
      </w:pPr>
    </w:p>
    <w:p w14:paraId="4FB1610C" w14:textId="62E4EF43" w:rsidR="00216D1B" w:rsidRDefault="00216D1B" w:rsidP="00216D1B">
      <w:pPr>
        <w:rPr>
          <w:rFonts w:ascii="Times New Roman" w:hAnsi="Times New Roman" w:cs="Times New Roman"/>
          <w:sz w:val="24"/>
          <w:szCs w:val="24"/>
        </w:rPr>
      </w:pPr>
    </w:p>
    <w:p w14:paraId="4E4E1A4D" w14:textId="77777777" w:rsidR="00C1528E" w:rsidRPr="00DD23D3" w:rsidRDefault="00C1528E" w:rsidP="00C1528E">
      <w:pPr>
        <w:ind w:firstLine="720"/>
        <w:rPr>
          <w:rFonts w:ascii="Times New Roman" w:eastAsia="Garamond" w:hAnsi="Times New Roman" w:cs="Times New Roman"/>
          <w:b/>
          <w:bCs/>
          <w:spacing w:val="-3"/>
          <w:position w:val="1"/>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DD23D3">
        <w:rPr>
          <w:rFonts w:ascii="Times New Roman" w:hAnsi="Times New Roman" w:cs="Times New Roman"/>
          <w:b/>
          <w:bCs/>
          <w:sz w:val="24"/>
          <w:szCs w:val="24"/>
        </w:rPr>
        <w:t>Bidding and Contracting Compliance Questionnaire Attachments A and B</w:t>
      </w:r>
    </w:p>
    <w:tbl>
      <w:tblPr>
        <w:tblStyle w:val="TableGrid"/>
        <w:tblW w:w="0" w:type="auto"/>
        <w:tblLook w:val="04A0" w:firstRow="1" w:lastRow="0" w:firstColumn="1" w:lastColumn="0" w:noHBand="0" w:noVBand="1"/>
      </w:tblPr>
      <w:tblGrid>
        <w:gridCol w:w="9350"/>
      </w:tblGrid>
      <w:tr w:rsidR="00C1528E" w14:paraId="602291CF" w14:textId="77777777" w:rsidTr="002B55BD">
        <w:tc>
          <w:tcPr>
            <w:tcW w:w="9350" w:type="dxa"/>
          </w:tcPr>
          <w:p w14:paraId="2553DBCF" w14:textId="77777777" w:rsidR="00C1528E" w:rsidRDefault="00C1528E" w:rsidP="002B55BD">
            <w:pPr>
              <w:tabs>
                <w:tab w:val="left" w:pos="2160"/>
              </w:tabs>
              <w:jc w:val="center"/>
              <w:rPr>
                <w:rFonts w:ascii="Arial" w:hAnsi="Arial" w:cs="Arial"/>
                <w:b/>
              </w:rPr>
            </w:pPr>
            <w:r>
              <w:rPr>
                <w:rFonts w:ascii="Arial" w:hAnsi="Arial" w:cs="Arial"/>
                <w:b/>
              </w:rPr>
              <w:t>Attachment A</w:t>
            </w:r>
          </w:p>
          <w:p w14:paraId="1D2453E4" w14:textId="77777777" w:rsidR="00C1528E" w:rsidRDefault="00C1528E" w:rsidP="002B55BD">
            <w:pPr>
              <w:tabs>
                <w:tab w:val="left" w:pos="2160"/>
              </w:tabs>
              <w:jc w:val="center"/>
              <w:rPr>
                <w:rFonts w:ascii="Arial" w:hAnsi="Arial" w:cs="Arial"/>
                <w:b/>
              </w:rPr>
            </w:pPr>
            <w:r>
              <w:rPr>
                <w:rFonts w:ascii="Arial" w:hAnsi="Arial" w:cs="Arial"/>
                <w:b/>
              </w:rPr>
              <w:t>Sample Language for Standards of Conduct</w:t>
            </w:r>
          </w:p>
          <w:p w14:paraId="15B31471" w14:textId="77777777" w:rsidR="00C1528E" w:rsidRDefault="00C1528E" w:rsidP="002B55BD">
            <w:pPr>
              <w:rPr>
                <w:rFonts w:ascii="Arial" w:hAnsi="Arial" w:cs="Arial"/>
              </w:rPr>
            </w:pPr>
          </w:p>
          <w:p w14:paraId="1223F8E3" w14:textId="77777777" w:rsidR="00C1528E" w:rsidRDefault="00C1528E" w:rsidP="002B55BD">
            <w:pPr>
              <w:ind w:left="720"/>
              <w:rPr>
                <w:rFonts w:ascii="Arial" w:hAnsi="Arial" w:cs="Arial"/>
              </w:rPr>
            </w:pPr>
            <w:r>
              <w:rPr>
                <w:rFonts w:ascii="Arial" w:hAnsi="Arial" w:cs="Arial"/>
              </w:rPr>
              <w:t xml:space="preserve">No employee, officer, or agent of the </w:t>
            </w:r>
            <w:r>
              <w:rPr>
                <w:rFonts w:ascii="Arial" w:hAnsi="Arial" w:cs="Arial"/>
                <w:highlight w:val="lightGray"/>
              </w:rPr>
              <w:t>{Community Name}</w:t>
            </w:r>
            <w:r>
              <w:rPr>
                <w:rFonts w:ascii="Arial" w:hAnsi="Arial" w:cs="Arial"/>
              </w:rPr>
              <w:t xml:space="preserve"> shall participate in selection, or in the award or administration of a contract supported by federal funds if a conflict of interest, real or apparent, would be involved (such a conflict would arise when:  the employee, officer, or agent; or any member of his immediate family, his partner, or an organization which employs, or is about to employ, any of the above, has a financial or other interest in the firm selected for award. </w:t>
            </w:r>
          </w:p>
          <w:p w14:paraId="090FDB09" w14:textId="77777777" w:rsidR="00C1528E" w:rsidRDefault="00C1528E" w:rsidP="002B55BD">
            <w:pPr>
              <w:ind w:left="720"/>
              <w:rPr>
                <w:rFonts w:ascii="Arial" w:hAnsi="Arial" w:cs="Arial"/>
              </w:rPr>
            </w:pPr>
          </w:p>
          <w:p w14:paraId="40528F15" w14:textId="77777777" w:rsidR="00C1528E" w:rsidRDefault="00C1528E" w:rsidP="002B55BD">
            <w:pPr>
              <w:ind w:left="720"/>
              <w:rPr>
                <w:rFonts w:ascii="Arial" w:hAnsi="Arial" w:cs="Arial"/>
              </w:rPr>
            </w:pPr>
            <w:r>
              <w:rPr>
                <w:rFonts w:ascii="Arial" w:hAnsi="Arial" w:cs="Arial"/>
              </w:rPr>
              <w:t xml:space="preserve">The officers, employees, or agents of the </w:t>
            </w:r>
            <w:r>
              <w:rPr>
                <w:rFonts w:ascii="Arial" w:hAnsi="Arial" w:cs="Arial"/>
                <w:highlight w:val="lightGray"/>
              </w:rPr>
              <w:t>{Community Name}</w:t>
            </w:r>
            <w:r>
              <w:rPr>
                <w:rFonts w:ascii="Arial" w:hAnsi="Arial" w:cs="Arial"/>
              </w:rPr>
              <w:t xml:space="preserve">, will neither solicit nor accept gratuities, favors, or anything of monetary value from contractors, potential contractors, or parties to sub-agreements.  (The </w:t>
            </w:r>
            <w:r>
              <w:rPr>
                <w:rFonts w:ascii="Arial" w:hAnsi="Arial" w:cs="Arial"/>
                <w:highlight w:val="lightGray"/>
              </w:rPr>
              <w:t>{Community Name}</w:t>
            </w:r>
            <w:r>
              <w:rPr>
                <w:rFonts w:ascii="Arial" w:hAnsi="Arial" w:cs="Arial"/>
              </w:rPr>
              <w:t xml:space="preserve"> may set minimum rules where the financial interest is not substantial or the gift is an unsolicited item of nominal intrinsic value.)</w:t>
            </w:r>
          </w:p>
          <w:p w14:paraId="3A47F5EA" w14:textId="77777777" w:rsidR="00C1528E" w:rsidRDefault="00C1528E" w:rsidP="002B55BD">
            <w:pPr>
              <w:rPr>
                <w:rFonts w:ascii="Arial" w:hAnsi="Arial" w:cs="Arial"/>
              </w:rPr>
            </w:pPr>
          </w:p>
          <w:p w14:paraId="75B1F150" w14:textId="77777777" w:rsidR="00C1528E" w:rsidRDefault="00C1528E" w:rsidP="002B55BD">
            <w:pPr>
              <w:ind w:left="720"/>
              <w:rPr>
                <w:rFonts w:ascii="Arial" w:hAnsi="Arial" w:cs="Arial"/>
              </w:rPr>
            </w:pPr>
            <w:r>
              <w:rPr>
                <w:rFonts w:ascii="Arial" w:hAnsi="Arial" w:cs="Arial"/>
              </w:rPr>
              <w:t xml:space="preserve">To the extent permitted by state (Title 36, Chapter 25, Alabama Code) or local law or regulations, such standards of conduct will provide for penalties, sanctions, or other disciplinary actions for violations of such standards by the officers or employees of the </w:t>
            </w:r>
            <w:r>
              <w:rPr>
                <w:rFonts w:ascii="Arial" w:hAnsi="Arial" w:cs="Arial"/>
                <w:highlight w:val="lightGray"/>
              </w:rPr>
              <w:t>{Community Name}</w:t>
            </w:r>
            <w:r>
              <w:rPr>
                <w:rFonts w:ascii="Arial" w:hAnsi="Arial" w:cs="Arial"/>
              </w:rPr>
              <w:t xml:space="preserve">, or agents, or by contractors or their agents.  </w:t>
            </w:r>
          </w:p>
          <w:p w14:paraId="46838C10" w14:textId="77777777" w:rsidR="00C1528E" w:rsidRDefault="00C1528E" w:rsidP="002B55BD">
            <w:pPr>
              <w:rPr>
                <w:rFonts w:ascii="Arial" w:hAnsi="Arial" w:cs="Arial"/>
              </w:rPr>
            </w:pPr>
          </w:p>
          <w:p w14:paraId="3FA12159" w14:textId="77777777" w:rsidR="00C1528E" w:rsidRDefault="00C1528E" w:rsidP="002B55BD">
            <w:pPr>
              <w:tabs>
                <w:tab w:val="left" w:pos="2160"/>
              </w:tabs>
              <w:jc w:val="center"/>
              <w:rPr>
                <w:rFonts w:ascii="Arial" w:hAnsi="Arial" w:cs="Arial"/>
                <w:b/>
              </w:rPr>
            </w:pPr>
            <w:r>
              <w:rPr>
                <w:rFonts w:ascii="Arial" w:hAnsi="Arial" w:cs="Arial"/>
              </w:rPr>
              <w:br w:type="page"/>
            </w:r>
            <w:r>
              <w:rPr>
                <w:rFonts w:ascii="Arial" w:hAnsi="Arial" w:cs="Arial"/>
                <w:b/>
              </w:rPr>
              <w:t>Attachment B</w:t>
            </w:r>
          </w:p>
          <w:p w14:paraId="23891D83" w14:textId="77777777" w:rsidR="00C1528E" w:rsidRDefault="00C1528E" w:rsidP="002B55BD">
            <w:pPr>
              <w:tabs>
                <w:tab w:val="left" w:pos="2160"/>
              </w:tabs>
              <w:jc w:val="center"/>
              <w:rPr>
                <w:rFonts w:ascii="Arial" w:hAnsi="Arial" w:cs="Arial"/>
                <w:b/>
              </w:rPr>
            </w:pPr>
            <w:r>
              <w:rPr>
                <w:rFonts w:ascii="Arial" w:hAnsi="Arial" w:cs="Arial"/>
                <w:b/>
              </w:rPr>
              <w:t>Sample Language for Methods of Procurement</w:t>
            </w:r>
          </w:p>
          <w:p w14:paraId="5E3DFDAF" w14:textId="77777777" w:rsidR="00C1528E" w:rsidRDefault="00C1528E" w:rsidP="002B55BD">
            <w:pPr>
              <w:rPr>
                <w:rFonts w:ascii="Arial" w:hAnsi="Arial" w:cs="Arial"/>
              </w:rPr>
            </w:pPr>
          </w:p>
          <w:p w14:paraId="0B3A0D47" w14:textId="77777777" w:rsidR="00C1528E" w:rsidRDefault="00C1528E" w:rsidP="002B55BD">
            <w:pPr>
              <w:tabs>
                <w:tab w:val="left" w:pos="2160"/>
              </w:tabs>
              <w:ind w:left="342"/>
              <w:rPr>
                <w:rFonts w:ascii="Arial" w:hAnsi="Arial" w:cs="Arial"/>
              </w:rPr>
            </w:pPr>
            <w:r>
              <w:rPr>
                <w:rFonts w:ascii="Arial" w:hAnsi="Arial" w:cs="Arial"/>
              </w:rPr>
              <w:t xml:space="preserve">The </w:t>
            </w:r>
            <w:r>
              <w:rPr>
                <w:rFonts w:ascii="Arial" w:hAnsi="Arial" w:cs="Arial"/>
                <w:highlight w:val="lightGray"/>
              </w:rPr>
              <w:t>{Community Name}</w:t>
            </w:r>
            <w:r>
              <w:rPr>
                <w:rFonts w:ascii="Arial" w:hAnsi="Arial" w:cs="Arial"/>
              </w:rPr>
              <w:t xml:space="preserve">, will follow the procurement methods described below and will ensure that all contracts will be in writing, include the appropriate state, federal, and local clauses, and that all contracts will be authorized by the </w:t>
            </w:r>
            <w:r>
              <w:rPr>
                <w:rFonts w:ascii="Arial" w:hAnsi="Arial" w:cs="Arial"/>
                <w:highlight w:val="lightGray"/>
              </w:rPr>
              <w:t>{Community’s Elected Body}</w:t>
            </w:r>
            <w:r>
              <w:rPr>
                <w:rFonts w:ascii="Arial" w:hAnsi="Arial" w:cs="Arial"/>
              </w:rPr>
              <w:t xml:space="preserve">.  The </w:t>
            </w:r>
            <w:r w:rsidRPr="00676809">
              <w:rPr>
                <w:rFonts w:ascii="Arial" w:hAnsi="Arial" w:cs="Arial"/>
                <w:highlight w:val="lightGray"/>
              </w:rPr>
              <w:t>{Community Name}</w:t>
            </w:r>
            <w:r>
              <w:rPr>
                <w:rFonts w:ascii="Arial" w:hAnsi="Arial" w:cs="Arial"/>
              </w:rPr>
              <w:t xml:space="preserve"> has identified </w:t>
            </w:r>
            <w:r w:rsidRPr="00676809">
              <w:rPr>
                <w:rFonts w:ascii="Arial" w:hAnsi="Arial" w:cs="Arial"/>
                <w:highlight w:val="lightGray"/>
              </w:rPr>
              <w:t>{Procurement Officer}</w:t>
            </w:r>
            <w:r>
              <w:rPr>
                <w:rFonts w:ascii="Arial" w:hAnsi="Arial" w:cs="Arial"/>
              </w:rPr>
              <w:t xml:space="preserve"> as the person with the authority </w:t>
            </w:r>
            <w:r w:rsidRPr="00676809">
              <w:rPr>
                <w:rFonts w:ascii="Arial" w:hAnsi="Arial" w:cs="Arial"/>
              </w:rPr>
              <w:t>to initiate purchase requests and enter into contracts</w:t>
            </w:r>
            <w:r>
              <w:rPr>
                <w:rFonts w:ascii="Arial" w:hAnsi="Arial" w:cs="Arial"/>
              </w:rPr>
              <w:t xml:space="preserve">.  Further, the </w:t>
            </w:r>
            <w:r>
              <w:rPr>
                <w:rFonts w:ascii="Arial" w:hAnsi="Arial" w:cs="Arial"/>
                <w:highlight w:val="lightGray"/>
              </w:rPr>
              <w:t>{Community Name}</w:t>
            </w:r>
            <w:r>
              <w:rPr>
                <w:rFonts w:ascii="Arial" w:hAnsi="Arial" w:cs="Arial"/>
              </w:rPr>
              <w:t xml:space="preserve"> will ensure that the procurement of labor, services, or materials will be conducted in accordance with these local written procedures that conform to 24 CFR 85.36 (Common Rule), Title 41, Code of Alabama (Bid Law), and Title 39, Code of Alabama (Public Works Law).  All procurement follows one of the following methods:</w:t>
            </w:r>
            <w:r w:rsidRPr="00676809">
              <w:t xml:space="preserve"> </w:t>
            </w:r>
          </w:p>
          <w:p w14:paraId="4D1C0315" w14:textId="77777777" w:rsidR="00C1528E" w:rsidRDefault="00C1528E" w:rsidP="002B55BD">
            <w:pPr>
              <w:rPr>
                <w:rFonts w:ascii="Arial" w:hAnsi="Arial" w:cs="Arial"/>
              </w:rPr>
            </w:pPr>
          </w:p>
          <w:p w14:paraId="46AF0F80" w14:textId="77777777" w:rsidR="00C1528E" w:rsidRDefault="00C1528E" w:rsidP="00C1528E">
            <w:pPr>
              <w:numPr>
                <w:ilvl w:val="0"/>
                <w:numId w:val="19"/>
              </w:numPr>
              <w:tabs>
                <w:tab w:val="num" w:pos="741"/>
              </w:tabs>
              <w:ind w:left="741" w:hanging="342"/>
              <w:rPr>
                <w:rFonts w:ascii="Arial" w:hAnsi="Arial" w:cs="Arial"/>
              </w:rPr>
            </w:pPr>
            <w:r>
              <w:rPr>
                <w:rFonts w:ascii="Arial" w:hAnsi="Arial" w:cs="Arial"/>
                <w:u w:val="single"/>
              </w:rPr>
              <w:t>Small Purchase</w:t>
            </w:r>
          </w:p>
          <w:p w14:paraId="44F2774B" w14:textId="77777777" w:rsidR="00C1528E" w:rsidRDefault="00C1528E" w:rsidP="002B55BD">
            <w:pPr>
              <w:rPr>
                <w:rFonts w:ascii="Arial" w:hAnsi="Arial" w:cs="Arial"/>
              </w:rPr>
            </w:pPr>
          </w:p>
          <w:p w14:paraId="24D75143" w14:textId="77777777" w:rsidR="00C1528E" w:rsidRDefault="00C1528E" w:rsidP="00C1528E">
            <w:pPr>
              <w:numPr>
                <w:ilvl w:val="0"/>
                <w:numId w:val="20"/>
              </w:numPr>
              <w:jc w:val="both"/>
              <w:rPr>
                <w:rFonts w:ascii="Arial" w:hAnsi="Arial" w:cs="Arial"/>
              </w:rPr>
            </w:pPr>
            <w:smartTag w:uri="urn:schemas-microsoft-com:office:smarttags" w:element="PlaceName">
              <w:r>
                <w:rPr>
                  <w:rFonts w:ascii="Arial" w:hAnsi="Arial" w:cs="Arial"/>
                </w:rPr>
                <w:t>See</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Bid Law (Title 41, Code of </w:t>
            </w:r>
            <w:smartTag w:uri="urn:schemas-microsoft-com:office:smarttags" w:element="place">
              <w:smartTag w:uri="urn:schemas-microsoft-com:office:smarttags" w:element="State">
                <w:r>
                  <w:rPr>
                    <w:rFonts w:ascii="Arial" w:hAnsi="Arial" w:cs="Arial"/>
                  </w:rPr>
                  <w:t>Alabama</w:t>
                </w:r>
              </w:smartTag>
            </w:smartTag>
            <w:r>
              <w:rPr>
                <w:rFonts w:ascii="Arial" w:hAnsi="Arial" w:cs="Arial"/>
              </w:rPr>
              <w:t>) Common Rule (24CFR85.36),</w:t>
            </w:r>
          </w:p>
          <w:p w14:paraId="73554915" w14:textId="77777777" w:rsidR="00C1528E" w:rsidRDefault="00C1528E" w:rsidP="002B55BD">
            <w:pPr>
              <w:ind w:left="1440"/>
              <w:jc w:val="both"/>
              <w:rPr>
                <w:rFonts w:ascii="Arial" w:hAnsi="Arial" w:cs="Arial"/>
              </w:rPr>
            </w:pPr>
          </w:p>
          <w:p w14:paraId="29E1B15A" w14:textId="77777777" w:rsidR="00C1528E" w:rsidRDefault="00C1528E" w:rsidP="00C1528E">
            <w:pPr>
              <w:numPr>
                <w:ilvl w:val="1"/>
                <w:numId w:val="20"/>
              </w:numPr>
              <w:rPr>
                <w:rFonts w:ascii="Arial" w:hAnsi="Arial" w:cs="Arial"/>
              </w:rPr>
            </w:pPr>
            <w:r>
              <w:rPr>
                <w:rFonts w:ascii="Arial" w:hAnsi="Arial" w:cs="Arial"/>
              </w:rPr>
              <w:t>Price or rate quotations for purchases or contracts with an aggregate cost $15,000 or less must be obtained from at least three (3) qualified sources.  (No purchase or contract involving an amount in excess of $15,000 shall be divided into parts involving amounts $15,000 or less for the purpose of avoiding the requirements of the Bid Law.) File documentation is required.</w:t>
            </w:r>
          </w:p>
          <w:p w14:paraId="525D93F3" w14:textId="77777777" w:rsidR="00C1528E" w:rsidRDefault="00C1528E" w:rsidP="002B55BD">
            <w:pPr>
              <w:ind w:left="1800"/>
              <w:rPr>
                <w:rFonts w:ascii="Arial" w:hAnsi="Arial" w:cs="Arial"/>
              </w:rPr>
            </w:pPr>
          </w:p>
          <w:p w14:paraId="6B01AB57" w14:textId="77777777" w:rsidR="00C1528E" w:rsidRDefault="00C1528E" w:rsidP="00C1528E">
            <w:pPr>
              <w:numPr>
                <w:ilvl w:val="0"/>
                <w:numId w:val="20"/>
              </w:numPr>
              <w:jc w:val="both"/>
              <w:rPr>
                <w:rFonts w:ascii="Arial" w:hAnsi="Arial" w:cs="Arial"/>
              </w:rPr>
            </w:pPr>
            <w:r>
              <w:rPr>
                <w:rFonts w:ascii="Arial" w:hAnsi="Arial" w:cs="Arial"/>
              </w:rPr>
              <w:t xml:space="preserve">See Public Works Law (Title 39, Code of </w:t>
            </w:r>
            <w:smartTag w:uri="urn:schemas-microsoft-com:office:smarttags" w:element="place">
              <w:smartTag w:uri="urn:schemas-microsoft-com:office:smarttags" w:element="State">
                <w:r>
                  <w:rPr>
                    <w:rFonts w:ascii="Arial" w:hAnsi="Arial" w:cs="Arial"/>
                  </w:rPr>
                  <w:t>Alabama</w:t>
                </w:r>
              </w:smartTag>
            </w:smartTag>
            <w:r>
              <w:rPr>
                <w:rFonts w:ascii="Arial" w:hAnsi="Arial" w:cs="Arial"/>
              </w:rPr>
              <w:t>) and Common Rule (24CFR85.36),</w:t>
            </w:r>
          </w:p>
          <w:p w14:paraId="3A170F2F" w14:textId="77777777" w:rsidR="00C1528E" w:rsidRDefault="00C1528E" w:rsidP="002B55BD">
            <w:pPr>
              <w:rPr>
                <w:rFonts w:ascii="Arial" w:hAnsi="Arial" w:cs="Arial"/>
              </w:rPr>
            </w:pPr>
          </w:p>
          <w:p w14:paraId="21AE4B2D" w14:textId="77777777" w:rsidR="00C1528E" w:rsidRDefault="00C1528E" w:rsidP="00C1528E">
            <w:pPr>
              <w:numPr>
                <w:ilvl w:val="0"/>
                <w:numId w:val="21"/>
              </w:numPr>
              <w:tabs>
                <w:tab w:val="num" w:pos="2907"/>
              </w:tabs>
              <w:ind w:left="2907" w:hanging="399"/>
              <w:rPr>
                <w:rFonts w:ascii="Arial" w:hAnsi="Arial" w:cs="Arial"/>
              </w:rPr>
            </w:pPr>
            <w:r>
              <w:rPr>
                <w:rFonts w:ascii="Arial" w:hAnsi="Arial" w:cs="Arial"/>
              </w:rPr>
              <w:t>Price or rate quotations for professional services with an aggregate cost of $100,000 or less must be obtained from at least three (3) qualified sources.  File documentation and contract for professional services are required.</w:t>
            </w:r>
          </w:p>
          <w:p w14:paraId="3686D3AA" w14:textId="77777777" w:rsidR="00C1528E" w:rsidRDefault="00C1528E" w:rsidP="002B55BD">
            <w:pPr>
              <w:tabs>
                <w:tab w:val="num" w:pos="2907"/>
              </w:tabs>
              <w:ind w:left="2148"/>
              <w:rPr>
                <w:rFonts w:ascii="Arial" w:hAnsi="Arial" w:cs="Arial"/>
              </w:rPr>
            </w:pPr>
          </w:p>
          <w:p w14:paraId="6D73042F" w14:textId="77777777" w:rsidR="00C1528E" w:rsidRDefault="00C1528E" w:rsidP="00C1528E">
            <w:pPr>
              <w:numPr>
                <w:ilvl w:val="0"/>
                <w:numId w:val="21"/>
              </w:numPr>
              <w:tabs>
                <w:tab w:val="num" w:pos="2907"/>
              </w:tabs>
              <w:ind w:left="2907" w:hanging="399"/>
              <w:rPr>
                <w:rFonts w:ascii="Arial" w:hAnsi="Arial" w:cs="Arial"/>
              </w:rPr>
            </w:pPr>
            <w:r>
              <w:rPr>
                <w:rFonts w:ascii="Arial" w:hAnsi="Arial" w:cs="Arial"/>
              </w:rPr>
              <w:t>Contracts for public works involving $50,000 or less may be let without advertising or sealed bids.  Price or rate quotations must be obtained from at least three (3) sources.  (No public work involving a sum in excess of $50,000 shall be split into parts involving sums of $50,000 or less for the purposes of evading the Public Works Law.)  File documentation is required.</w:t>
            </w:r>
          </w:p>
          <w:p w14:paraId="707480B3" w14:textId="77777777" w:rsidR="00C1528E" w:rsidRDefault="00C1528E" w:rsidP="002B55BD">
            <w:pPr>
              <w:rPr>
                <w:rFonts w:ascii="Arial" w:hAnsi="Arial" w:cs="Arial"/>
              </w:rPr>
            </w:pPr>
          </w:p>
          <w:p w14:paraId="407A3628" w14:textId="77777777" w:rsidR="00C1528E" w:rsidRDefault="00C1528E" w:rsidP="00C1528E">
            <w:pPr>
              <w:numPr>
                <w:ilvl w:val="0"/>
                <w:numId w:val="19"/>
              </w:numPr>
              <w:tabs>
                <w:tab w:val="num" w:pos="741"/>
              </w:tabs>
              <w:ind w:left="741" w:hanging="285"/>
              <w:rPr>
                <w:rFonts w:ascii="Arial" w:hAnsi="Arial" w:cs="Arial"/>
              </w:rPr>
            </w:pPr>
            <w:r>
              <w:rPr>
                <w:rFonts w:ascii="Arial" w:hAnsi="Arial" w:cs="Arial"/>
                <w:u w:val="single"/>
              </w:rPr>
              <w:br w:type="page"/>
              <w:t>Sealed Bids</w:t>
            </w:r>
          </w:p>
          <w:p w14:paraId="2B7C825C" w14:textId="77777777" w:rsidR="00C1528E" w:rsidRDefault="00C1528E" w:rsidP="002B55BD">
            <w:pPr>
              <w:rPr>
                <w:rFonts w:ascii="Arial" w:hAnsi="Arial" w:cs="Arial"/>
                <w:u w:val="single"/>
              </w:rPr>
            </w:pPr>
          </w:p>
          <w:p w14:paraId="62A1D77D" w14:textId="77777777" w:rsidR="00C1528E" w:rsidRDefault="00C1528E" w:rsidP="00C1528E">
            <w:pPr>
              <w:numPr>
                <w:ilvl w:val="1"/>
                <w:numId w:val="22"/>
              </w:numPr>
              <w:rPr>
                <w:rFonts w:ascii="Arial" w:hAnsi="Arial" w:cs="Arial"/>
              </w:rPr>
            </w:pPr>
            <w:smartTag w:uri="urn:schemas-microsoft-com:office:smarttags" w:element="PlaceName">
              <w:r>
                <w:rPr>
                  <w:rFonts w:ascii="Arial" w:hAnsi="Arial" w:cs="Arial"/>
                </w:rPr>
                <w:t>See</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Bid Law (Title 41, Code of </w:t>
            </w:r>
            <w:smartTag w:uri="urn:schemas-microsoft-com:office:smarttags" w:element="place">
              <w:smartTag w:uri="urn:schemas-microsoft-com:office:smarttags" w:element="State">
                <w:r>
                  <w:rPr>
                    <w:rFonts w:ascii="Arial" w:hAnsi="Arial" w:cs="Arial"/>
                  </w:rPr>
                  <w:t>Alabama</w:t>
                </w:r>
              </w:smartTag>
            </w:smartTag>
            <w:r>
              <w:rPr>
                <w:rFonts w:ascii="Arial" w:hAnsi="Arial" w:cs="Arial"/>
              </w:rPr>
              <w:t>),</w:t>
            </w:r>
          </w:p>
          <w:p w14:paraId="75D4CEF8" w14:textId="77777777" w:rsidR="00C1528E" w:rsidRDefault="00C1528E" w:rsidP="002B55BD">
            <w:pPr>
              <w:ind w:left="360"/>
              <w:rPr>
                <w:rFonts w:ascii="Arial" w:hAnsi="Arial" w:cs="Arial"/>
              </w:rPr>
            </w:pPr>
          </w:p>
          <w:p w14:paraId="0014E3E7" w14:textId="77777777" w:rsidR="00C1528E" w:rsidRDefault="00C1528E" w:rsidP="002B55BD">
            <w:pPr>
              <w:ind w:left="3021" w:hanging="456"/>
              <w:rPr>
                <w:rFonts w:ascii="Arial" w:hAnsi="Arial" w:cs="Arial"/>
              </w:rPr>
            </w:pPr>
            <w:r>
              <w:rPr>
                <w:rFonts w:ascii="Arial" w:hAnsi="Arial" w:cs="Arial"/>
              </w:rPr>
              <w:t>1.</w:t>
            </w:r>
            <w:r>
              <w:rPr>
                <w:rFonts w:ascii="Arial" w:hAnsi="Arial" w:cs="Arial"/>
              </w:rPr>
              <w:tab/>
              <w:t xml:space="preserve">All purchases in excess of $15,000 shall be advertised by posting notice thereof on a bulletin board maintained outside the purchasing office and in any other manner and for any length of time as may be determined.  Sealed bids shall also be solicited by sending notice by mail or other electronic means to all persons, firms, or corporations who have filed a request in writing that they be listed for solicitation on bids for the particular items that are set forth in the request. All bids shall be sealed when received and shall be opened in public at the hour stated in the notice.  </w:t>
            </w:r>
          </w:p>
          <w:p w14:paraId="3C77C64C" w14:textId="77777777" w:rsidR="00C1528E" w:rsidRDefault="00C1528E" w:rsidP="002B55BD">
            <w:pPr>
              <w:tabs>
                <w:tab w:val="num" w:pos="4680"/>
              </w:tabs>
              <w:ind w:left="2205"/>
              <w:rPr>
                <w:rFonts w:ascii="Arial" w:hAnsi="Arial" w:cs="Arial"/>
              </w:rPr>
            </w:pPr>
          </w:p>
          <w:p w14:paraId="59FF1FFC" w14:textId="77777777" w:rsidR="00C1528E" w:rsidRDefault="00C1528E" w:rsidP="002B55BD">
            <w:pPr>
              <w:tabs>
                <w:tab w:val="num" w:pos="3021"/>
              </w:tabs>
              <w:ind w:left="3021" w:hanging="456"/>
              <w:rPr>
                <w:rFonts w:ascii="Arial" w:hAnsi="Arial" w:cs="Arial"/>
              </w:rPr>
            </w:pPr>
            <w:r>
              <w:rPr>
                <w:rFonts w:ascii="Arial" w:hAnsi="Arial" w:cs="Arial"/>
              </w:rPr>
              <w:t>2.</w:t>
            </w:r>
            <w:r>
              <w:rPr>
                <w:rFonts w:ascii="Arial" w:hAnsi="Arial" w:cs="Arial"/>
              </w:rPr>
              <w:tab/>
              <w:t xml:space="preserve">All original bids together with all documents pertaining to the award of the contract shall be retained in accordance with a retention period of at least seven years established by the Local Government Records Commission and shall be open to public inspection.  </w:t>
            </w:r>
          </w:p>
          <w:p w14:paraId="2B7AEDE0" w14:textId="77777777" w:rsidR="00C1528E" w:rsidRDefault="00C1528E" w:rsidP="002B55BD">
            <w:pPr>
              <w:ind w:left="1800"/>
              <w:rPr>
                <w:rFonts w:ascii="Arial" w:hAnsi="Arial" w:cs="Arial"/>
              </w:rPr>
            </w:pPr>
          </w:p>
          <w:p w14:paraId="2604705C" w14:textId="77777777" w:rsidR="00C1528E" w:rsidRDefault="00C1528E" w:rsidP="00C1528E">
            <w:pPr>
              <w:numPr>
                <w:ilvl w:val="1"/>
                <w:numId w:val="22"/>
              </w:numPr>
              <w:rPr>
                <w:rFonts w:ascii="Arial" w:hAnsi="Arial" w:cs="Arial"/>
              </w:rPr>
            </w:pPr>
            <w:r>
              <w:rPr>
                <w:rFonts w:ascii="Arial" w:hAnsi="Arial" w:cs="Arial"/>
              </w:rPr>
              <w:t xml:space="preserve">See Public Works Law (Title 39, Code of </w:t>
            </w:r>
            <w:smartTag w:uri="urn:schemas-microsoft-com:office:smarttags" w:element="place">
              <w:smartTag w:uri="urn:schemas-microsoft-com:office:smarttags" w:element="State">
                <w:r>
                  <w:rPr>
                    <w:rFonts w:ascii="Arial" w:hAnsi="Arial" w:cs="Arial"/>
                  </w:rPr>
                  <w:t>Alabama</w:t>
                </w:r>
              </w:smartTag>
            </w:smartTag>
            <w:r>
              <w:rPr>
                <w:rFonts w:ascii="Arial" w:hAnsi="Arial" w:cs="Arial"/>
              </w:rPr>
              <w:t>),</w:t>
            </w:r>
          </w:p>
          <w:p w14:paraId="135745ED" w14:textId="77777777" w:rsidR="00C1528E" w:rsidRDefault="00C1528E" w:rsidP="002B55BD">
            <w:pPr>
              <w:rPr>
                <w:rFonts w:ascii="Arial" w:hAnsi="Arial" w:cs="Arial"/>
              </w:rPr>
            </w:pPr>
          </w:p>
          <w:p w14:paraId="16225A09" w14:textId="77777777" w:rsidR="00C1528E" w:rsidRDefault="00C1528E" w:rsidP="00C1528E">
            <w:pPr>
              <w:numPr>
                <w:ilvl w:val="0"/>
                <w:numId w:val="23"/>
              </w:numPr>
              <w:tabs>
                <w:tab w:val="left" w:pos="2508"/>
                <w:tab w:val="num" w:pos="2964"/>
              </w:tabs>
              <w:ind w:left="2964" w:hanging="456"/>
              <w:rPr>
                <w:rFonts w:ascii="Arial" w:hAnsi="Arial" w:cs="Arial"/>
              </w:rPr>
            </w:pPr>
            <w:r>
              <w:rPr>
                <w:rFonts w:ascii="Arial" w:hAnsi="Arial" w:cs="Arial"/>
              </w:rPr>
              <w:t xml:space="preserve">Definition of Public Works:  The construction, repair, renovation, or maintenance of public buildings, structures, sewers, waterworks, roads, bridges, docks, underpasses, and viaducts as well as any other improvement to be constructed, repaired, renovated, or maintained on public property and to be paid, in whole or in part, with public funds or with financing to be retired with public funds in the form of lease payments or otherwise.  </w:t>
            </w:r>
          </w:p>
          <w:p w14:paraId="3EE4C2F1" w14:textId="77777777" w:rsidR="00C1528E" w:rsidRDefault="00C1528E" w:rsidP="002B55BD">
            <w:pPr>
              <w:tabs>
                <w:tab w:val="left" w:pos="2508"/>
                <w:tab w:val="num" w:pos="2964"/>
              </w:tabs>
              <w:ind w:left="2508"/>
              <w:rPr>
                <w:rFonts w:ascii="Arial" w:hAnsi="Arial" w:cs="Arial"/>
              </w:rPr>
            </w:pPr>
          </w:p>
          <w:p w14:paraId="69176FD0" w14:textId="77777777" w:rsidR="00C1528E" w:rsidRDefault="00C1528E" w:rsidP="00C1528E">
            <w:pPr>
              <w:numPr>
                <w:ilvl w:val="0"/>
                <w:numId w:val="23"/>
              </w:numPr>
              <w:tabs>
                <w:tab w:val="left" w:pos="2508"/>
                <w:tab w:val="num" w:pos="2964"/>
              </w:tabs>
              <w:ind w:left="2964" w:hanging="456"/>
              <w:rPr>
                <w:rFonts w:ascii="Arial" w:hAnsi="Arial" w:cs="Arial"/>
              </w:rPr>
            </w:pPr>
            <w:r>
              <w:rPr>
                <w:rFonts w:ascii="Arial" w:hAnsi="Arial" w:cs="Arial"/>
              </w:rPr>
              <w:t xml:space="preserve">Before entering into any contract for a public works involving an amount in excess of $50,000, the awarding authority shall advertise for sealed bids. If the awarding authority is the state or a county, or an instrumentality thereof, it shall advertise for sealed bids at least once each week for three consecutive weeks in a newspaper of general circulation in the county or </w:t>
            </w:r>
            <w:r>
              <w:rPr>
                <w:rFonts w:ascii="Arial" w:hAnsi="Arial" w:cs="Arial"/>
              </w:rPr>
              <w:lastRenderedPageBreak/>
              <w:t xml:space="preserve">counties in which the improvement or some part thereof, is to be made.  If the awarding authority is a municipality, or an instrumentality thereof, it shall advertise for sealed bids at least once in a newspaper of general circulation published in the municipality where the awarding authority is located. If no newspaper is published in the municipality, the awarding authority shall advertise by posting notice thereof on a bulletin board maintained outside the purchasing office and in any other manner and for the length of time as may be determined. In addition to bulletin board notice, sealed bids shall also be solicited by sending notice by mail to all persons who have filed a request in writing with the official designated by the awarding authority that they be listed for solicitation on bids for the public works contracts indicated in the request.  For all public works contracts involving an estimated amount in excess of $500,000, awarding authorities shall also advertise for sealed bids at least once in three newspapers of general circulation throughout the state. </w:t>
            </w:r>
          </w:p>
          <w:p w14:paraId="43297DB7" w14:textId="77777777" w:rsidR="00C1528E" w:rsidRDefault="00C1528E" w:rsidP="002B55BD">
            <w:pPr>
              <w:tabs>
                <w:tab w:val="left" w:pos="2508"/>
              </w:tabs>
              <w:ind w:left="2508"/>
              <w:rPr>
                <w:rFonts w:ascii="Arial" w:hAnsi="Arial" w:cs="Arial"/>
              </w:rPr>
            </w:pPr>
          </w:p>
          <w:p w14:paraId="29C8B8B0" w14:textId="77777777" w:rsidR="00C1528E" w:rsidRDefault="00C1528E" w:rsidP="00C1528E">
            <w:pPr>
              <w:numPr>
                <w:ilvl w:val="0"/>
                <w:numId w:val="23"/>
              </w:numPr>
              <w:tabs>
                <w:tab w:val="left" w:pos="2508"/>
                <w:tab w:val="num" w:pos="2964"/>
              </w:tabs>
              <w:ind w:left="2964" w:hanging="456"/>
              <w:rPr>
                <w:rFonts w:ascii="Arial" w:hAnsi="Arial" w:cs="Arial"/>
              </w:rPr>
            </w:pPr>
            <w:r>
              <w:rPr>
                <w:rFonts w:ascii="Arial" w:hAnsi="Arial" w:cs="Arial"/>
              </w:rPr>
              <w:t>The advertisements shall briefly describe the improvement, state that plans and specifications for the improvement are on file for examination in a designated office of the awarding authority, state the procedure for obtaining plans and specifications, state the time and place in which bids shall be received and opened, and identify whether prequalification is required and where all written prequalification information is available for review. All bids shall be opened publicly at the advertised time and place.</w:t>
            </w:r>
          </w:p>
          <w:p w14:paraId="1461FE4C" w14:textId="77777777" w:rsidR="00C1528E" w:rsidRDefault="00C1528E" w:rsidP="002B55BD">
            <w:pPr>
              <w:tabs>
                <w:tab w:val="left" w:pos="2508"/>
              </w:tabs>
              <w:ind w:left="2508"/>
              <w:rPr>
                <w:rFonts w:ascii="Arial" w:hAnsi="Arial" w:cs="Arial"/>
              </w:rPr>
            </w:pPr>
          </w:p>
          <w:p w14:paraId="0E657298" w14:textId="77777777" w:rsidR="00C1528E" w:rsidRDefault="00C1528E" w:rsidP="00C1528E">
            <w:pPr>
              <w:numPr>
                <w:ilvl w:val="0"/>
                <w:numId w:val="19"/>
              </w:numPr>
              <w:tabs>
                <w:tab w:val="clear" w:pos="1080"/>
                <w:tab w:val="num" w:pos="741"/>
                <w:tab w:val="left" w:pos="2160"/>
              </w:tabs>
              <w:ind w:left="741" w:hanging="285"/>
              <w:rPr>
                <w:rFonts w:ascii="Arial" w:hAnsi="Arial" w:cs="Arial"/>
              </w:rPr>
            </w:pPr>
            <w:r>
              <w:rPr>
                <w:rFonts w:ascii="Arial" w:hAnsi="Arial" w:cs="Arial"/>
                <w:u w:val="single"/>
              </w:rPr>
              <w:t>Competitive Negotiations</w:t>
            </w:r>
          </w:p>
          <w:p w14:paraId="64E9E18C" w14:textId="77777777" w:rsidR="00C1528E" w:rsidRDefault="00C1528E" w:rsidP="002B55BD">
            <w:pPr>
              <w:tabs>
                <w:tab w:val="left" w:pos="2160"/>
              </w:tabs>
              <w:ind w:left="1440"/>
              <w:rPr>
                <w:rFonts w:ascii="Arial" w:hAnsi="Arial" w:cs="Arial"/>
              </w:rPr>
            </w:pPr>
          </w:p>
          <w:p w14:paraId="7B7E97C4" w14:textId="77777777" w:rsidR="00C1528E" w:rsidRDefault="00C1528E" w:rsidP="002B55BD">
            <w:pPr>
              <w:tabs>
                <w:tab w:val="left" w:pos="2160"/>
              </w:tabs>
              <w:ind w:left="741"/>
              <w:rPr>
                <w:rFonts w:ascii="Arial" w:hAnsi="Arial" w:cs="Arial"/>
              </w:rPr>
            </w:pPr>
            <w:r>
              <w:rPr>
                <w:rFonts w:ascii="Arial" w:hAnsi="Arial" w:cs="Arial"/>
              </w:rPr>
              <w:t>The technique of competitive proposals is normally conducted with more than one source submitting an offer, and either a fixed-price or cost-reimbursement type contract is awarded. It is generally used when conditions are not appropriate for the use of sealed bids. If this method is used, the following requirements apply:</w:t>
            </w:r>
          </w:p>
          <w:p w14:paraId="42912739" w14:textId="77777777" w:rsidR="00C1528E" w:rsidRDefault="00C1528E" w:rsidP="002B55BD">
            <w:pPr>
              <w:tabs>
                <w:tab w:val="left" w:pos="2160"/>
              </w:tabs>
              <w:ind w:left="1080"/>
              <w:rPr>
                <w:rFonts w:ascii="Arial" w:hAnsi="Arial" w:cs="Arial"/>
              </w:rPr>
            </w:pPr>
          </w:p>
          <w:p w14:paraId="559A9AA2" w14:textId="77777777" w:rsidR="00C1528E" w:rsidRDefault="00C1528E" w:rsidP="00C1528E">
            <w:pPr>
              <w:numPr>
                <w:ilvl w:val="2"/>
                <w:numId w:val="19"/>
              </w:numPr>
              <w:tabs>
                <w:tab w:val="num" w:pos="2166"/>
              </w:tabs>
              <w:ind w:hanging="948"/>
              <w:rPr>
                <w:rFonts w:ascii="Arial" w:hAnsi="Arial" w:cs="Arial"/>
              </w:rPr>
            </w:pPr>
            <w:r>
              <w:rPr>
                <w:rFonts w:ascii="Arial" w:hAnsi="Arial" w:cs="Arial"/>
              </w:rPr>
              <w:t>See Common Rule (24CFR85.36)</w:t>
            </w:r>
          </w:p>
          <w:p w14:paraId="272B2C65" w14:textId="77777777" w:rsidR="00C1528E" w:rsidRDefault="00C1528E" w:rsidP="002B55BD">
            <w:pPr>
              <w:tabs>
                <w:tab w:val="num" w:pos="4680"/>
              </w:tabs>
              <w:ind w:left="1464"/>
              <w:rPr>
                <w:rFonts w:ascii="Arial" w:hAnsi="Arial" w:cs="Arial"/>
              </w:rPr>
            </w:pPr>
          </w:p>
          <w:p w14:paraId="3E52D59D" w14:textId="77777777" w:rsidR="00C1528E" w:rsidRDefault="00C1528E" w:rsidP="00C1528E">
            <w:pPr>
              <w:numPr>
                <w:ilvl w:val="2"/>
                <w:numId w:val="19"/>
              </w:numPr>
              <w:tabs>
                <w:tab w:val="num" w:pos="2166"/>
              </w:tabs>
              <w:ind w:left="2166" w:hanging="342"/>
              <w:rPr>
                <w:rFonts w:ascii="Arial" w:hAnsi="Arial" w:cs="Arial"/>
              </w:rPr>
            </w:pPr>
            <w:r>
              <w:rPr>
                <w:rFonts w:ascii="Arial" w:hAnsi="Arial" w:cs="Arial"/>
              </w:rPr>
              <w:t xml:space="preserve">Requests for proposals will be publicized and identify all evaluation factors and their relative importance. </w:t>
            </w:r>
          </w:p>
          <w:p w14:paraId="0AD9C759" w14:textId="77777777" w:rsidR="00C1528E" w:rsidRDefault="00C1528E" w:rsidP="002B55BD">
            <w:pPr>
              <w:tabs>
                <w:tab w:val="num" w:pos="2700"/>
              </w:tabs>
              <w:rPr>
                <w:rFonts w:ascii="Arial" w:hAnsi="Arial" w:cs="Arial"/>
              </w:rPr>
            </w:pPr>
          </w:p>
          <w:p w14:paraId="5FC1569B" w14:textId="77777777" w:rsidR="00C1528E" w:rsidRDefault="00C1528E" w:rsidP="00C1528E">
            <w:pPr>
              <w:numPr>
                <w:ilvl w:val="2"/>
                <w:numId w:val="19"/>
              </w:numPr>
              <w:tabs>
                <w:tab w:val="num" w:pos="2166"/>
              </w:tabs>
              <w:ind w:left="2166" w:hanging="342"/>
              <w:rPr>
                <w:rFonts w:ascii="Arial" w:hAnsi="Arial" w:cs="Arial"/>
              </w:rPr>
            </w:pPr>
            <w:r>
              <w:rPr>
                <w:rFonts w:ascii="Arial" w:hAnsi="Arial" w:cs="Arial"/>
              </w:rPr>
              <w:t>Proposals will be solicited from an adequate number of qualified sources.</w:t>
            </w:r>
          </w:p>
          <w:p w14:paraId="172457C5" w14:textId="77777777" w:rsidR="00C1528E" w:rsidRDefault="00C1528E" w:rsidP="002B55BD">
            <w:pPr>
              <w:tabs>
                <w:tab w:val="num" w:pos="2166"/>
              </w:tabs>
              <w:ind w:left="2166" w:hanging="342"/>
              <w:rPr>
                <w:rFonts w:ascii="Arial" w:hAnsi="Arial" w:cs="Arial"/>
              </w:rPr>
            </w:pPr>
          </w:p>
          <w:p w14:paraId="6847E3C6" w14:textId="77777777" w:rsidR="00C1528E" w:rsidRDefault="00C1528E" w:rsidP="00C1528E">
            <w:pPr>
              <w:numPr>
                <w:ilvl w:val="2"/>
                <w:numId w:val="19"/>
              </w:numPr>
              <w:tabs>
                <w:tab w:val="num" w:pos="2166"/>
              </w:tabs>
              <w:ind w:left="2166" w:hanging="342"/>
              <w:rPr>
                <w:rFonts w:ascii="Arial" w:hAnsi="Arial" w:cs="Arial"/>
              </w:rPr>
            </w:pPr>
            <w:r>
              <w:rPr>
                <w:rFonts w:ascii="Arial" w:hAnsi="Arial" w:cs="Arial"/>
              </w:rPr>
              <w:t>Grantees will have a method for conducting technical evaluations of the proposals received and for selecting awardees.</w:t>
            </w:r>
          </w:p>
          <w:p w14:paraId="28FA2083" w14:textId="77777777" w:rsidR="00C1528E" w:rsidRDefault="00C1528E" w:rsidP="002B55BD">
            <w:pPr>
              <w:tabs>
                <w:tab w:val="num" w:pos="2166"/>
              </w:tabs>
              <w:ind w:left="2166" w:hanging="342"/>
              <w:rPr>
                <w:rFonts w:ascii="Arial" w:hAnsi="Arial" w:cs="Arial"/>
              </w:rPr>
            </w:pPr>
          </w:p>
          <w:p w14:paraId="1EBE058D" w14:textId="77777777" w:rsidR="00C1528E" w:rsidRDefault="00C1528E" w:rsidP="00C1528E">
            <w:pPr>
              <w:numPr>
                <w:ilvl w:val="2"/>
                <w:numId w:val="19"/>
              </w:numPr>
              <w:tabs>
                <w:tab w:val="num" w:pos="2166"/>
              </w:tabs>
              <w:ind w:left="2166" w:hanging="342"/>
              <w:rPr>
                <w:rFonts w:ascii="Arial" w:hAnsi="Arial" w:cs="Arial"/>
              </w:rPr>
            </w:pPr>
            <w:r>
              <w:rPr>
                <w:rFonts w:ascii="Arial" w:hAnsi="Arial" w:cs="Arial"/>
              </w:rPr>
              <w:t>Awards will be made to the responsible firm whose proposal is most advantageous to the program, with price and other factors considered.</w:t>
            </w:r>
          </w:p>
          <w:p w14:paraId="7AE7C265" w14:textId="77777777" w:rsidR="00C1528E" w:rsidRDefault="00C1528E" w:rsidP="002B55BD">
            <w:pPr>
              <w:tabs>
                <w:tab w:val="num" w:pos="2166"/>
              </w:tabs>
              <w:ind w:left="2166" w:hanging="342"/>
              <w:rPr>
                <w:rFonts w:ascii="Arial" w:hAnsi="Arial" w:cs="Arial"/>
              </w:rPr>
            </w:pPr>
          </w:p>
          <w:p w14:paraId="2819842B" w14:textId="77777777" w:rsidR="00C1528E" w:rsidRDefault="00C1528E" w:rsidP="00C1528E">
            <w:pPr>
              <w:numPr>
                <w:ilvl w:val="2"/>
                <w:numId w:val="19"/>
              </w:numPr>
              <w:tabs>
                <w:tab w:val="num" w:pos="2166"/>
              </w:tabs>
              <w:ind w:left="2166" w:hanging="342"/>
              <w:rPr>
                <w:rFonts w:ascii="Arial" w:hAnsi="Arial" w:cs="Arial"/>
              </w:rPr>
            </w:pPr>
            <w:r>
              <w:rPr>
                <w:rFonts w:ascii="Arial" w:hAnsi="Arial" w:cs="Arial"/>
              </w:rPr>
              <w:lastRenderedPageBreak/>
              <w:t>Grantees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p w14:paraId="75F0399D" w14:textId="77777777" w:rsidR="00C1528E" w:rsidRDefault="00C1528E" w:rsidP="002B55BD">
            <w:pPr>
              <w:tabs>
                <w:tab w:val="left" w:pos="2160"/>
              </w:tabs>
              <w:ind w:left="360"/>
              <w:rPr>
                <w:rFonts w:ascii="Arial" w:hAnsi="Arial" w:cs="Arial"/>
              </w:rPr>
            </w:pPr>
          </w:p>
          <w:p w14:paraId="1BDF2DA1" w14:textId="77777777" w:rsidR="00C1528E" w:rsidRDefault="00C1528E" w:rsidP="00C1528E">
            <w:pPr>
              <w:numPr>
                <w:ilvl w:val="0"/>
                <w:numId w:val="19"/>
              </w:numPr>
              <w:tabs>
                <w:tab w:val="clear" w:pos="1080"/>
                <w:tab w:val="num" w:pos="741"/>
                <w:tab w:val="left" w:pos="2160"/>
              </w:tabs>
              <w:ind w:left="741" w:hanging="285"/>
              <w:rPr>
                <w:rFonts w:ascii="Arial" w:hAnsi="Arial" w:cs="Arial"/>
              </w:rPr>
            </w:pPr>
            <w:r>
              <w:rPr>
                <w:rFonts w:ascii="Arial" w:hAnsi="Arial" w:cs="Arial"/>
                <w:u w:val="single"/>
              </w:rPr>
              <w:t>Noncompetitive Negotiations</w:t>
            </w:r>
          </w:p>
          <w:p w14:paraId="5BE63B0D" w14:textId="77777777" w:rsidR="00C1528E" w:rsidRDefault="00C1528E" w:rsidP="002B55BD">
            <w:pPr>
              <w:tabs>
                <w:tab w:val="left" w:pos="2160"/>
              </w:tabs>
              <w:ind w:left="342"/>
              <w:rPr>
                <w:rFonts w:ascii="Arial" w:hAnsi="Arial" w:cs="Arial"/>
              </w:rPr>
            </w:pPr>
          </w:p>
          <w:p w14:paraId="2A743917" w14:textId="77777777" w:rsidR="00C1528E" w:rsidRDefault="00C1528E" w:rsidP="002B55BD">
            <w:pPr>
              <w:tabs>
                <w:tab w:val="left" w:pos="2160"/>
              </w:tabs>
              <w:ind w:left="741"/>
              <w:rPr>
                <w:rFonts w:ascii="Arial" w:hAnsi="Arial" w:cs="Arial"/>
              </w:rPr>
            </w:pPr>
            <w:r>
              <w:rPr>
                <w:rFonts w:ascii="Arial" w:hAnsi="Arial" w:cs="Arial"/>
              </w:rPr>
              <w:t>Procurement by noncompetitive proposals or “sole source” is procurement through solicitation of a proposal from only one source, or after solicitation of a number of sources, competition is determined inadequate.  Procurement by noncompetitive proposals may be used only when the award of a contract is infeasible under small purchase procedures, sealed bids or competitive proposals and one of the following circumstances applies: the item is available only from a single source; the public exigency or emergency for the requirement will not permit a delay resulting from competitive solicitation; the awarding agency authorizes noncompetitive proposals; and after solicitation of a number of sources, competition is determined inadequate.</w:t>
            </w:r>
          </w:p>
          <w:p w14:paraId="47BEF940" w14:textId="77777777" w:rsidR="00C1528E" w:rsidRDefault="00C1528E" w:rsidP="002B55BD">
            <w:pPr>
              <w:tabs>
                <w:tab w:val="left" w:pos="2160"/>
              </w:tabs>
              <w:rPr>
                <w:rFonts w:ascii="Arial" w:hAnsi="Arial" w:cs="Arial"/>
              </w:rPr>
            </w:pPr>
          </w:p>
          <w:p w14:paraId="046CFA8C" w14:textId="77777777" w:rsidR="00C1528E" w:rsidRDefault="00C1528E" w:rsidP="00C1528E">
            <w:pPr>
              <w:numPr>
                <w:ilvl w:val="0"/>
                <w:numId w:val="24"/>
              </w:numPr>
              <w:rPr>
                <w:rFonts w:ascii="Arial" w:hAnsi="Arial" w:cs="Arial"/>
              </w:rPr>
            </w:pPr>
            <w:r>
              <w:rPr>
                <w:rFonts w:ascii="Arial" w:hAnsi="Arial" w:cs="Arial"/>
              </w:rPr>
              <w:t>Proper documentation that one or more of the above circumstances existed.</w:t>
            </w:r>
          </w:p>
          <w:p w14:paraId="63D48EB8" w14:textId="77777777" w:rsidR="00C1528E" w:rsidRDefault="00C1528E" w:rsidP="002B55BD">
            <w:pPr>
              <w:ind w:left="1800"/>
              <w:rPr>
                <w:rFonts w:ascii="Arial" w:hAnsi="Arial" w:cs="Arial"/>
              </w:rPr>
            </w:pPr>
          </w:p>
          <w:p w14:paraId="6C741C15" w14:textId="77777777" w:rsidR="00C1528E" w:rsidRDefault="00C1528E" w:rsidP="00C1528E">
            <w:pPr>
              <w:numPr>
                <w:ilvl w:val="0"/>
                <w:numId w:val="24"/>
              </w:numPr>
              <w:rPr>
                <w:rFonts w:ascii="Arial" w:hAnsi="Arial" w:cs="Arial"/>
              </w:rPr>
            </w:pPr>
            <w:r>
              <w:rPr>
                <w:rFonts w:ascii="Arial" w:hAnsi="Arial" w:cs="Arial"/>
              </w:rPr>
              <w:t>There is no conflict of interest by the parties involved.</w:t>
            </w:r>
          </w:p>
          <w:p w14:paraId="3D663968" w14:textId="77777777" w:rsidR="00C1528E" w:rsidRDefault="00C1528E" w:rsidP="002B55BD">
            <w:pPr>
              <w:ind w:left="1800"/>
              <w:rPr>
                <w:rFonts w:ascii="Arial" w:hAnsi="Arial" w:cs="Arial"/>
              </w:rPr>
            </w:pPr>
          </w:p>
          <w:p w14:paraId="15B5144A" w14:textId="77777777" w:rsidR="00C1528E" w:rsidRDefault="00C1528E" w:rsidP="00C1528E">
            <w:pPr>
              <w:numPr>
                <w:ilvl w:val="0"/>
                <w:numId w:val="24"/>
              </w:numPr>
              <w:rPr>
                <w:rFonts w:ascii="Arial" w:hAnsi="Arial" w:cs="Arial"/>
              </w:rPr>
            </w:pPr>
            <w:r>
              <w:rPr>
                <w:rFonts w:ascii="Arial" w:hAnsi="Arial" w:cs="Arial"/>
              </w:rPr>
              <w:t>Cost analysis, i.e., verifying the proposed cost data, the projections of the data, and the evaluation of the specific elements of costs and profits, is required.</w:t>
            </w:r>
          </w:p>
          <w:p w14:paraId="5ED815A0" w14:textId="77777777" w:rsidR="00C1528E" w:rsidRDefault="00C1528E" w:rsidP="002B55BD">
            <w:pPr>
              <w:rPr>
                <w:rFonts w:ascii="Arial" w:hAnsi="Arial" w:cs="Arial"/>
                <w:b/>
              </w:rPr>
            </w:pPr>
          </w:p>
          <w:p w14:paraId="22C2848D" w14:textId="77777777" w:rsidR="00C1528E" w:rsidRDefault="00C1528E" w:rsidP="002B55BD">
            <w:pPr>
              <w:ind w:left="741" w:hanging="285"/>
              <w:rPr>
                <w:rFonts w:ascii="Arial" w:hAnsi="Arial" w:cs="Arial"/>
              </w:rPr>
            </w:pPr>
            <w:r>
              <w:rPr>
                <w:rFonts w:ascii="Arial" w:hAnsi="Arial" w:cs="Arial"/>
              </w:rPr>
              <w:t>5.</w:t>
            </w:r>
            <w:r>
              <w:rPr>
                <w:rFonts w:ascii="Arial" w:hAnsi="Arial" w:cs="Arial"/>
              </w:rPr>
              <w:tab/>
            </w:r>
            <w:r>
              <w:rPr>
                <w:rFonts w:ascii="Arial" w:hAnsi="Arial" w:cs="Arial"/>
                <w:u w:val="single"/>
              </w:rPr>
              <w:t>Price/Cost Analysis</w:t>
            </w:r>
          </w:p>
          <w:p w14:paraId="1B63DE81" w14:textId="77777777" w:rsidR="00C1528E" w:rsidRDefault="00C1528E" w:rsidP="002B55BD">
            <w:pPr>
              <w:rPr>
                <w:rFonts w:ascii="Arial" w:hAnsi="Arial" w:cs="Arial"/>
                <w:b/>
              </w:rPr>
            </w:pPr>
          </w:p>
          <w:p w14:paraId="615BC710" w14:textId="77777777" w:rsidR="00C1528E" w:rsidRDefault="00C1528E" w:rsidP="002B55BD">
            <w:pPr>
              <w:ind w:left="741"/>
              <w:rPr>
                <w:rFonts w:ascii="Arial" w:hAnsi="Arial" w:cs="Arial"/>
              </w:rPr>
            </w:pPr>
            <w:r>
              <w:rPr>
                <w:rFonts w:ascii="Arial" w:hAnsi="Arial" w:cs="Arial"/>
              </w:rPr>
              <w:t xml:space="preserve">Grantees must perform a cost or price analysis in connection with every procurement action including contract modifications. The method and degree of analysis is dependent on the facts surrounding the particular procurement situation, but as a starting point, grantees must make independent estimates before receiving bids or proposals. </w:t>
            </w:r>
          </w:p>
          <w:p w14:paraId="18F0A69A" w14:textId="77777777" w:rsidR="00C1528E" w:rsidRDefault="00C1528E" w:rsidP="002B55BD">
            <w:pPr>
              <w:rPr>
                <w:rFonts w:ascii="Arial" w:hAnsi="Arial" w:cs="Arial"/>
              </w:rPr>
            </w:pPr>
          </w:p>
          <w:p w14:paraId="63342A19" w14:textId="77777777" w:rsidR="00C1528E" w:rsidRDefault="00C1528E" w:rsidP="00C1528E">
            <w:pPr>
              <w:numPr>
                <w:ilvl w:val="0"/>
                <w:numId w:val="25"/>
              </w:numPr>
              <w:tabs>
                <w:tab w:val="clear" w:pos="1872"/>
                <w:tab w:val="num" w:pos="2166"/>
              </w:tabs>
              <w:ind w:left="2166" w:hanging="342"/>
              <w:rPr>
                <w:rFonts w:ascii="Arial" w:hAnsi="Arial" w:cs="Arial"/>
              </w:rPr>
            </w:pPr>
            <w:r>
              <w:rPr>
                <w:rFonts w:ascii="Arial" w:hAnsi="Arial" w:cs="Arial"/>
              </w:rPr>
              <w:t xml:space="preserve">A cost analysis must be performed when the offeror is required to submit the elements of his estimated cost, e.g., under professional, consulting, and architectural engineering services contracts. </w:t>
            </w:r>
          </w:p>
          <w:p w14:paraId="633FFE36" w14:textId="77777777" w:rsidR="00C1528E" w:rsidRDefault="00C1528E" w:rsidP="002B55BD">
            <w:pPr>
              <w:rPr>
                <w:rFonts w:ascii="Arial" w:hAnsi="Arial" w:cs="Arial"/>
              </w:rPr>
            </w:pPr>
          </w:p>
          <w:p w14:paraId="2908447F" w14:textId="77777777" w:rsidR="00C1528E" w:rsidRDefault="00C1528E" w:rsidP="00C1528E">
            <w:pPr>
              <w:numPr>
                <w:ilvl w:val="0"/>
                <w:numId w:val="25"/>
              </w:numPr>
              <w:tabs>
                <w:tab w:val="clear" w:pos="1872"/>
                <w:tab w:val="num" w:pos="2166"/>
              </w:tabs>
              <w:ind w:left="2166" w:hanging="342"/>
              <w:rPr>
                <w:rFonts w:ascii="Arial" w:hAnsi="Arial" w:cs="Arial"/>
              </w:rPr>
            </w:pPr>
            <w:r>
              <w:rPr>
                <w:rFonts w:ascii="Arial" w:hAnsi="Arial" w:cs="Arial"/>
              </w:rPr>
              <w:t xml:space="preserve">A cost analysis will be necessary when adequate price competition is lacking, and for sole source procurements, including contract modifications or change orders, unless price reasonableness can be established on the basis of a catalog or market price of a commercial product sold in substantial quantities to the general public or based on prices set by law or regulation. </w:t>
            </w:r>
          </w:p>
          <w:p w14:paraId="3D387EAC" w14:textId="77777777" w:rsidR="00C1528E" w:rsidRDefault="00C1528E" w:rsidP="002B55BD">
            <w:pPr>
              <w:rPr>
                <w:rFonts w:ascii="Arial" w:hAnsi="Arial" w:cs="Arial"/>
              </w:rPr>
            </w:pPr>
          </w:p>
          <w:p w14:paraId="3B6071B7" w14:textId="77777777" w:rsidR="00C1528E" w:rsidRDefault="00C1528E" w:rsidP="00C1528E">
            <w:pPr>
              <w:numPr>
                <w:ilvl w:val="0"/>
                <w:numId w:val="25"/>
              </w:numPr>
              <w:tabs>
                <w:tab w:val="clear" w:pos="1872"/>
                <w:tab w:val="num" w:pos="2166"/>
              </w:tabs>
              <w:ind w:left="2166" w:hanging="342"/>
              <w:rPr>
                <w:rFonts w:ascii="Arial" w:hAnsi="Arial" w:cs="Arial"/>
              </w:rPr>
            </w:pPr>
            <w:r>
              <w:rPr>
                <w:rFonts w:ascii="Arial" w:hAnsi="Arial" w:cs="Arial"/>
              </w:rPr>
              <w:t>A price analysis will be used in all other instances to determine the reasonableness of the proposed contract price.</w:t>
            </w:r>
          </w:p>
          <w:p w14:paraId="7DF73C2A" w14:textId="77777777" w:rsidR="00C1528E" w:rsidRDefault="00C1528E" w:rsidP="002B55BD">
            <w:pPr>
              <w:rPr>
                <w:rFonts w:ascii="Arial" w:hAnsi="Arial" w:cs="Arial"/>
              </w:rPr>
            </w:pPr>
          </w:p>
          <w:p w14:paraId="10CC0A6D" w14:textId="77777777" w:rsidR="00C1528E" w:rsidRDefault="00C1528E" w:rsidP="00C1528E">
            <w:pPr>
              <w:numPr>
                <w:ilvl w:val="0"/>
                <w:numId w:val="25"/>
              </w:numPr>
              <w:tabs>
                <w:tab w:val="clear" w:pos="1872"/>
                <w:tab w:val="num" w:pos="2166"/>
              </w:tabs>
              <w:ind w:left="2166" w:hanging="342"/>
              <w:rPr>
                <w:rFonts w:ascii="Arial" w:hAnsi="Arial" w:cs="Arial"/>
              </w:rPr>
            </w:pPr>
            <w:r>
              <w:rPr>
                <w:rFonts w:ascii="Arial" w:hAnsi="Arial" w:cs="Arial"/>
              </w:rPr>
              <w:t xml:space="preserve">Grantees will negotiate profit as a separate element of the price for each contract in which there is no price competition and in all cases where cost analysis is performed. </w:t>
            </w:r>
          </w:p>
          <w:p w14:paraId="7EB8B21D" w14:textId="77777777" w:rsidR="00C1528E" w:rsidRDefault="00C1528E" w:rsidP="002B55BD">
            <w:pPr>
              <w:ind w:left="2166" w:hanging="342"/>
              <w:rPr>
                <w:rFonts w:ascii="Arial" w:hAnsi="Arial" w:cs="Arial"/>
              </w:rPr>
            </w:pPr>
          </w:p>
          <w:p w14:paraId="0E95FD6C" w14:textId="77777777" w:rsidR="00C1528E" w:rsidRDefault="00C1528E" w:rsidP="00C1528E">
            <w:pPr>
              <w:numPr>
                <w:ilvl w:val="0"/>
                <w:numId w:val="25"/>
              </w:numPr>
              <w:ind w:left="2166" w:hanging="342"/>
              <w:rPr>
                <w:rFonts w:ascii="Arial" w:hAnsi="Arial" w:cs="Arial"/>
              </w:rPr>
            </w:pPr>
            <w:r>
              <w:rPr>
                <w:rFonts w:ascii="Arial" w:hAnsi="Arial" w:cs="Arial"/>
              </w:rPr>
              <w:t xml:space="preserve">To establish a fair and reasonable profit, consideration will be given to the complexity of the work to be performed, the risk borne by the contractor, the contractor's investment, the amount of subcontracting, the quality of its record of past performance, and industry profit rates in the surrounding geographical area for similar work.  </w:t>
            </w:r>
          </w:p>
          <w:p w14:paraId="2B27C784" w14:textId="77777777" w:rsidR="00C1528E" w:rsidRDefault="00C1528E" w:rsidP="002B55BD">
            <w:pPr>
              <w:ind w:left="2166" w:hanging="342"/>
              <w:rPr>
                <w:rFonts w:ascii="Arial" w:hAnsi="Arial" w:cs="Arial"/>
              </w:rPr>
            </w:pPr>
          </w:p>
          <w:p w14:paraId="301DDE08" w14:textId="77777777" w:rsidR="00C1528E" w:rsidRDefault="00C1528E" w:rsidP="00C1528E">
            <w:pPr>
              <w:numPr>
                <w:ilvl w:val="0"/>
                <w:numId w:val="25"/>
              </w:numPr>
              <w:ind w:left="2166" w:hanging="342"/>
              <w:rPr>
                <w:rFonts w:ascii="Arial" w:hAnsi="Arial" w:cs="Arial"/>
              </w:rPr>
            </w:pPr>
            <w:r>
              <w:rPr>
                <w:rFonts w:ascii="Arial" w:hAnsi="Arial" w:cs="Arial"/>
              </w:rPr>
              <w:t xml:space="preserve">Costs or prices based on estimated costs for contracts under grants will be allowable only to the extent that costs incurred or cost estimates included in negotiated prices are consistent with Federal cost principles (see Sec. 85.22). Grantees may reference their own cost principles that comply with the applicable Federal cost principles.  </w:t>
            </w:r>
          </w:p>
          <w:p w14:paraId="04DBB2E6" w14:textId="77777777" w:rsidR="00C1528E" w:rsidRDefault="00C1528E" w:rsidP="002B55BD">
            <w:pPr>
              <w:ind w:left="2166" w:hanging="342"/>
              <w:rPr>
                <w:rFonts w:ascii="Arial" w:hAnsi="Arial" w:cs="Arial"/>
              </w:rPr>
            </w:pPr>
          </w:p>
          <w:p w14:paraId="7B6ADACC" w14:textId="77777777" w:rsidR="00C1528E" w:rsidRDefault="00C1528E" w:rsidP="00C1528E">
            <w:pPr>
              <w:numPr>
                <w:ilvl w:val="0"/>
                <w:numId w:val="25"/>
              </w:numPr>
              <w:ind w:left="2166" w:hanging="342"/>
              <w:rPr>
                <w:rFonts w:ascii="Arial" w:hAnsi="Arial" w:cs="Arial"/>
              </w:rPr>
            </w:pPr>
            <w:r>
              <w:rPr>
                <w:rFonts w:ascii="Arial" w:hAnsi="Arial" w:cs="Arial"/>
              </w:rPr>
              <w:t>The cost plus a percentage of cost and percentage of construction cost methods of contracting shall not be used.</w:t>
            </w:r>
          </w:p>
          <w:p w14:paraId="4D58BB9F" w14:textId="77777777" w:rsidR="00C1528E" w:rsidRDefault="00C1528E" w:rsidP="002B55BD">
            <w:pPr>
              <w:rPr>
                <w:rFonts w:ascii="Times New Roman" w:hAnsi="Times New Roman" w:cs="Times New Roman"/>
                <w:sz w:val="24"/>
                <w:szCs w:val="24"/>
              </w:rPr>
            </w:pPr>
          </w:p>
        </w:tc>
      </w:tr>
    </w:tbl>
    <w:p w14:paraId="2940A43E" w14:textId="6EBA895D" w:rsidR="00C1528E" w:rsidRDefault="00C1528E" w:rsidP="00C1528E">
      <w:pPr>
        <w:rPr>
          <w:rFonts w:ascii="Times New Roman" w:hAnsi="Times New Roman" w:cs="Times New Roman"/>
          <w:sz w:val="24"/>
          <w:szCs w:val="24"/>
        </w:rPr>
      </w:pPr>
    </w:p>
    <w:p w14:paraId="0534A81B" w14:textId="5021B5E6" w:rsidR="00C8233A" w:rsidRDefault="00C8233A" w:rsidP="00C1528E">
      <w:pPr>
        <w:rPr>
          <w:rFonts w:ascii="Times New Roman" w:hAnsi="Times New Roman" w:cs="Times New Roman"/>
          <w:sz w:val="24"/>
          <w:szCs w:val="24"/>
        </w:rPr>
      </w:pPr>
    </w:p>
    <w:p w14:paraId="2FE9A389" w14:textId="77777777" w:rsidR="00C1528E" w:rsidRPr="007F4497" w:rsidRDefault="00C1528E" w:rsidP="00C1528E">
      <w:pPr>
        <w:ind w:firstLine="720"/>
        <w:rPr>
          <w:rFonts w:ascii="Times New Roman" w:hAnsi="Times New Roman" w:cs="Times New Roman"/>
          <w:sz w:val="24"/>
          <w:szCs w:val="24"/>
        </w:rPr>
      </w:pPr>
      <w:r w:rsidRPr="007F4497">
        <w:rPr>
          <w:rFonts w:ascii="Times New Roman" w:hAnsi="Times New Roman" w:cs="Times New Roman"/>
          <w:sz w:val="24"/>
          <w:szCs w:val="24"/>
        </w:rPr>
        <w:t xml:space="preserve">Also, pursuant to the ADECA CDBG Program’s compliance monitoring procedures (posted online on the ADECA website </w:t>
      </w:r>
      <w:hyperlink r:id="rId144" w:history="1">
        <w:r w:rsidRPr="007F4497">
          <w:rPr>
            <w:rStyle w:val="Hyperlink"/>
            <w:rFonts w:ascii="Times New Roman" w:hAnsi="Times New Roman" w:cs="Times New Roman"/>
            <w:sz w:val="24"/>
            <w:szCs w:val="24"/>
          </w:rPr>
          <w:t>www.adeca.alabama.gov</w:t>
        </w:r>
      </w:hyperlink>
      <w:r w:rsidRPr="007F4497">
        <w:rPr>
          <w:rFonts w:ascii="Times New Roman" w:hAnsi="Times New Roman" w:cs="Times New Roman"/>
          <w:sz w:val="24"/>
          <w:szCs w:val="24"/>
        </w:rPr>
        <w:t xml:space="preserve"> at the link </w:t>
      </w:r>
      <w:hyperlink r:id="rId145" w:history="1">
        <w:r w:rsidRPr="007F4497">
          <w:rPr>
            <w:rStyle w:val="Hyperlink"/>
            <w:rFonts w:ascii="Times New Roman" w:hAnsi="Times New Roman" w:cs="Times New Roman"/>
            <w:sz w:val="24"/>
            <w:szCs w:val="24"/>
          </w:rPr>
          <w:t>https://adeca.alabama.gov/compliance-plans/</w:t>
        </w:r>
      </w:hyperlink>
      <w:r w:rsidRPr="007F4497">
        <w:rPr>
          <w:rFonts w:ascii="Times New Roman" w:hAnsi="Times New Roman" w:cs="Times New Roman"/>
          <w:sz w:val="24"/>
          <w:szCs w:val="24"/>
        </w:rPr>
        <w:t xml:space="preserve">) and accompanying compliance monitoring checklists (also posted online on the ADECA website at the link </w:t>
      </w:r>
      <w:hyperlink r:id="rId146" w:history="1">
        <w:r w:rsidRPr="007F4497">
          <w:rPr>
            <w:rStyle w:val="Hyperlink"/>
            <w:rFonts w:ascii="Times New Roman" w:hAnsi="Times New Roman" w:cs="Times New Roman"/>
            <w:sz w:val="24"/>
            <w:szCs w:val="24"/>
          </w:rPr>
          <w:t>https://adeca.alabama.gov/cdbg/monitoring-and-compliance-checklists/</w:t>
        </w:r>
      </w:hyperlink>
      <w:r w:rsidRPr="007F4497">
        <w:rPr>
          <w:rFonts w:ascii="Times New Roman" w:hAnsi="Times New Roman" w:cs="Times New Roman"/>
          <w:sz w:val="24"/>
          <w:szCs w:val="24"/>
        </w:rPr>
        <w:t>), these procedures and checklists will be utilized to monitor the CDBG-DR Grant Program for Hurricanes Sally and Zeta subgrant recipients for compliance with procurement.  See below and the ADECA website (</w:t>
      </w:r>
      <w:hyperlink r:id="rId147" w:history="1">
        <w:r w:rsidRPr="007F4497">
          <w:rPr>
            <w:rStyle w:val="Hyperlink"/>
            <w:rFonts w:ascii="Times New Roman" w:hAnsi="Times New Roman" w:cs="Times New Roman"/>
            <w:sz w:val="24"/>
            <w:szCs w:val="24"/>
          </w:rPr>
          <w:t>www.adeca.alabama.gov</w:t>
        </w:r>
      </w:hyperlink>
      <w:r w:rsidRPr="007F4497">
        <w:rPr>
          <w:rFonts w:ascii="Times New Roman" w:hAnsi="Times New Roman" w:cs="Times New Roman"/>
          <w:sz w:val="24"/>
          <w:szCs w:val="24"/>
        </w:rPr>
        <w:t xml:space="preserve">) at the link </w:t>
      </w:r>
      <w:hyperlink r:id="rId148" w:history="1">
        <w:r w:rsidRPr="007F4497">
          <w:rPr>
            <w:rStyle w:val="Hyperlink"/>
            <w:rFonts w:ascii="Times New Roman" w:hAnsi="Times New Roman" w:cs="Times New Roman"/>
            <w:sz w:val="24"/>
            <w:szCs w:val="24"/>
          </w:rPr>
          <w:t>https://adeca.alabama.gov/cdbg/monitoring-and-compliance-checklists/</w:t>
        </w:r>
      </w:hyperlink>
      <w:r w:rsidRPr="007F4497">
        <w:rPr>
          <w:rFonts w:ascii="Times New Roman" w:hAnsi="Times New Roman" w:cs="Times New Roman"/>
          <w:sz w:val="24"/>
          <w:szCs w:val="24"/>
        </w:rPr>
        <w:t xml:space="preserve"> for the ADECA CDBG Program’s</w:t>
      </w:r>
    </w:p>
    <w:p w14:paraId="31337D69" w14:textId="77777777" w:rsidR="00C1528E" w:rsidRPr="007F4497" w:rsidRDefault="00C1528E" w:rsidP="00C1528E">
      <w:pPr>
        <w:ind w:firstLine="720"/>
        <w:rPr>
          <w:rFonts w:ascii="Times New Roman" w:eastAsia="Garamond" w:hAnsi="Times New Roman" w:cs="Times New Roman"/>
          <w:spacing w:val="-3"/>
          <w:position w:val="1"/>
          <w:sz w:val="24"/>
          <w:szCs w:val="24"/>
        </w:rPr>
      </w:pPr>
      <w:r w:rsidRPr="007F4497">
        <w:rPr>
          <w:rFonts w:ascii="Times New Roman" w:hAnsi="Times New Roman" w:cs="Times New Roman"/>
          <w:sz w:val="24"/>
          <w:szCs w:val="24"/>
        </w:rPr>
        <w:t xml:space="preserve">(i) </w:t>
      </w:r>
      <w:r w:rsidRPr="007F4497">
        <w:rPr>
          <w:rFonts w:ascii="Times New Roman" w:eastAsia="Garamond" w:hAnsi="Times New Roman" w:cs="Times New Roman"/>
          <w:spacing w:val="-3"/>
          <w:position w:val="1"/>
          <w:sz w:val="24"/>
          <w:szCs w:val="24"/>
        </w:rPr>
        <w:t>Professional Services Contracts Monitoring Checklist,</w:t>
      </w:r>
    </w:p>
    <w:p w14:paraId="1F5EF94B" w14:textId="77777777" w:rsidR="00C1528E" w:rsidRPr="007F4497" w:rsidRDefault="00C1528E" w:rsidP="00C1528E">
      <w:pPr>
        <w:ind w:firstLine="720"/>
        <w:rPr>
          <w:rFonts w:ascii="Times New Roman" w:eastAsia="Garamond" w:hAnsi="Times New Roman" w:cs="Times New Roman"/>
          <w:spacing w:val="-3"/>
          <w:position w:val="1"/>
          <w:sz w:val="24"/>
          <w:szCs w:val="24"/>
        </w:rPr>
      </w:pPr>
      <w:r w:rsidRPr="007F4497">
        <w:rPr>
          <w:rFonts w:ascii="Times New Roman" w:eastAsia="Garamond" w:hAnsi="Times New Roman" w:cs="Times New Roman"/>
          <w:spacing w:val="-3"/>
          <w:position w:val="1"/>
          <w:sz w:val="24"/>
          <w:szCs w:val="24"/>
        </w:rPr>
        <w:t xml:space="preserve"> (ii) Bidding and Contracting – Construction Monitoring Checklist, and</w:t>
      </w:r>
    </w:p>
    <w:p w14:paraId="198E650D" w14:textId="77777777" w:rsidR="00C1528E" w:rsidRPr="007F4497" w:rsidRDefault="00C1528E" w:rsidP="00C1528E">
      <w:pPr>
        <w:ind w:firstLine="720"/>
        <w:rPr>
          <w:rFonts w:ascii="Times New Roman" w:eastAsia="Garamond" w:hAnsi="Times New Roman" w:cs="Times New Roman"/>
          <w:spacing w:val="-3"/>
          <w:position w:val="1"/>
          <w:sz w:val="24"/>
          <w:szCs w:val="24"/>
        </w:rPr>
      </w:pPr>
      <w:r w:rsidRPr="007F4497">
        <w:rPr>
          <w:rFonts w:ascii="Times New Roman" w:eastAsia="Garamond" w:hAnsi="Times New Roman" w:cs="Times New Roman"/>
          <w:spacing w:val="-3"/>
          <w:position w:val="1"/>
          <w:sz w:val="24"/>
          <w:szCs w:val="24"/>
        </w:rPr>
        <w:t>(iii) Bidding and Contracting – Other Procurement Methods Monitoring Checklist.</w:t>
      </w:r>
    </w:p>
    <w:p w14:paraId="06C75D0C" w14:textId="77777777" w:rsidR="00C1528E" w:rsidRPr="007F4497" w:rsidRDefault="00C1528E" w:rsidP="00C1528E">
      <w:pPr>
        <w:ind w:firstLine="720"/>
        <w:rPr>
          <w:rFonts w:ascii="Times New Roman" w:hAnsi="Times New Roman" w:cs="Times New Roman"/>
          <w:sz w:val="24"/>
          <w:szCs w:val="24"/>
        </w:rPr>
      </w:pPr>
      <w:r w:rsidRPr="007F4497">
        <w:rPr>
          <w:rFonts w:ascii="Times New Roman" w:hAnsi="Times New Roman" w:cs="Times New Roman"/>
          <w:sz w:val="24"/>
          <w:szCs w:val="24"/>
        </w:rPr>
        <w:t>These checklists follow the ADECA CDBG Program’s compliance monitoring procedures.</w:t>
      </w:r>
    </w:p>
    <w:p w14:paraId="2949471D" w14:textId="67A2C2BE" w:rsidR="00C1528E" w:rsidRDefault="00C1528E" w:rsidP="00C1528E">
      <w:pPr>
        <w:spacing w:line="240" w:lineRule="auto"/>
        <w:rPr>
          <w:rFonts w:ascii="Times New Roman" w:eastAsia="Garamond" w:hAnsi="Times New Roman" w:cs="Times New Roman"/>
          <w:b/>
          <w:bCs/>
          <w:spacing w:val="-3"/>
          <w:position w:val="1"/>
          <w:sz w:val="24"/>
          <w:szCs w:val="24"/>
        </w:rPr>
      </w:pPr>
    </w:p>
    <w:p w14:paraId="6A15D327" w14:textId="62528118" w:rsidR="00216D1B" w:rsidRDefault="00216D1B" w:rsidP="00C1528E">
      <w:pPr>
        <w:spacing w:line="240" w:lineRule="auto"/>
        <w:rPr>
          <w:rFonts w:ascii="Times New Roman" w:eastAsia="Garamond" w:hAnsi="Times New Roman" w:cs="Times New Roman"/>
          <w:b/>
          <w:bCs/>
          <w:spacing w:val="-3"/>
          <w:position w:val="1"/>
          <w:sz w:val="24"/>
          <w:szCs w:val="24"/>
        </w:rPr>
      </w:pPr>
    </w:p>
    <w:p w14:paraId="122F4E36" w14:textId="3BD834F3" w:rsidR="00216D1B" w:rsidRDefault="00216D1B" w:rsidP="00C1528E">
      <w:pPr>
        <w:spacing w:line="240" w:lineRule="auto"/>
        <w:rPr>
          <w:rFonts w:ascii="Times New Roman" w:eastAsia="Garamond" w:hAnsi="Times New Roman" w:cs="Times New Roman"/>
          <w:b/>
          <w:bCs/>
          <w:spacing w:val="-3"/>
          <w:position w:val="1"/>
          <w:sz w:val="24"/>
          <w:szCs w:val="24"/>
        </w:rPr>
      </w:pPr>
    </w:p>
    <w:p w14:paraId="7074251E" w14:textId="32C0DDBF" w:rsidR="00216D1B" w:rsidRDefault="00216D1B" w:rsidP="00C1528E">
      <w:pPr>
        <w:spacing w:line="240" w:lineRule="auto"/>
        <w:rPr>
          <w:rFonts w:ascii="Times New Roman" w:eastAsia="Garamond" w:hAnsi="Times New Roman" w:cs="Times New Roman"/>
          <w:b/>
          <w:bCs/>
          <w:spacing w:val="-3"/>
          <w:position w:val="1"/>
          <w:sz w:val="24"/>
          <w:szCs w:val="24"/>
        </w:rPr>
      </w:pPr>
    </w:p>
    <w:p w14:paraId="1A853BEE" w14:textId="77777777" w:rsidR="00C1528E" w:rsidRDefault="00C1528E" w:rsidP="00C1528E">
      <w:pPr>
        <w:spacing w:line="240" w:lineRule="auto"/>
        <w:ind w:firstLine="720"/>
        <w:rPr>
          <w:rFonts w:ascii="Times New Roman" w:eastAsia="Garamond" w:hAnsi="Times New Roman" w:cs="Times New Roman"/>
          <w:b/>
          <w:bCs/>
          <w:spacing w:val="-3"/>
          <w:position w:val="1"/>
          <w:sz w:val="24"/>
          <w:szCs w:val="24"/>
        </w:rPr>
      </w:pPr>
      <w:r w:rsidRPr="00642B0F">
        <w:rPr>
          <w:rFonts w:ascii="Times New Roman" w:eastAsia="Garamond" w:hAnsi="Times New Roman" w:cs="Times New Roman"/>
          <w:b/>
          <w:bCs/>
          <w:spacing w:val="-3"/>
          <w:position w:val="1"/>
          <w:sz w:val="24"/>
          <w:szCs w:val="24"/>
        </w:rPr>
        <w:lastRenderedPageBreak/>
        <w:tab/>
        <w:t xml:space="preserve">     </w:t>
      </w:r>
      <w:r w:rsidRPr="00CD6F62">
        <w:rPr>
          <w:rFonts w:ascii="Times New Roman" w:eastAsia="Garamond" w:hAnsi="Times New Roman" w:cs="Times New Roman"/>
          <w:b/>
          <w:bCs/>
          <w:spacing w:val="-3"/>
          <w:position w:val="1"/>
          <w:sz w:val="24"/>
          <w:szCs w:val="24"/>
        </w:rPr>
        <w:t>Professional Services Contracts Monitoring Checklist</w:t>
      </w:r>
    </w:p>
    <w:tbl>
      <w:tblPr>
        <w:tblStyle w:val="TableGrid"/>
        <w:tblW w:w="0" w:type="auto"/>
        <w:tblLook w:val="04A0" w:firstRow="1" w:lastRow="0" w:firstColumn="1" w:lastColumn="0" w:noHBand="0" w:noVBand="1"/>
      </w:tblPr>
      <w:tblGrid>
        <w:gridCol w:w="9350"/>
      </w:tblGrid>
      <w:tr w:rsidR="00C1528E" w14:paraId="6AB49A3E" w14:textId="77777777" w:rsidTr="002B55BD">
        <w:tc>
          <w:tcPr>
            <w:tcW w:w="9350"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C1528E" w14:paraId="5E10DAD7" w14:textId="77777777" w:rsidTr="002B55BD">
              <w:trPr>
                <w:trHeight w:hRule="exact" w:val="400"/>
              </w:trPr>
              <w:tc>
                <w:tcPr>
                  <w:tcW w:w="3330" w:type="dxa"/>
                  <w:tcBorders>
                    <w:top w:val="nil"/>
                    <w:left w:val="nil"/>
                    <w:bottom w:val="nil"/>
                    <w:right w:val="nil"/>
                  </w:tcBorders>
                  <w:vAlign w:val="bottom"/>
                </w:tcPr>
                <w:p w14:paraId="0458CBE4" w14:textId="77777777" w:rsidR="00C1528E" w:rsidRDefault="00C1528E" w:rsidP="002B55BD">
                  <w:pPr>
                    <w:pStyle w:val="Footer"/>
                  </w:pPr>
                  <w:r>
                    <w:t>Grantee Name</w:t>
                  </w:r>
                </w:p>
              </w:tc>
              <w:tc>
                <w:tcPr>
                  <w:tcW w:w="3780" w:type="dxa"/>
                  <w:tcBorders>
                    <w:top w:val="nil"/>
                    <w:left w:val="nil"/>
                    <w:bottom w:val="single" w:sz="4" w:space="0" w:color="auto"/>
                    <w:right w:val="nil"/>
                  </w:tcBorders>
                </w:tcPr>
                <w:p w14:paraId="5D92A6AB" w14:textId="77777777" w:rsidR="00C1528E" w:rsidRDefault="00C1528E" w:rsidP="002B55BD">
                  <w:pPr>
                    <w:pStyle w:val="Footer"/>
                  </w:pPr>
                </w:p>
              </w:tc>
            </w:tr>
            <w:tr w:rsidR="00C1528E" w14:paraId="5F9A4680" w14:textId="77777777" w:rsidTr="002B55BD">
              <w:trPr>
                <w:trHeight w:hRule="exact" w:val="400"/>
              </w:trPr>
              <w:tc>
                <w:tcPr>
                  <w:tcW w:w="3330" w:type="dxa"/>
                  <w:tcBorders>
                    <w:top w:val="nil"/>
                    <w:left w:val="nil"/>
                    <w:bottom w:val="nil"/>
                    <w:right w:val="nil"/>
                  </w:tcBorders>
                  <w:vAlign w:val="bottom"/>
                </w:tcPr>
                <w:p w14:paraId="47A85973" w14:textId="77777777" w:rsidR="00C1528E" w:rsidRDefault="00C1528E" w:rsidP="002B55BD">
                  <w:r>
                    <w:t>Project No.</w:t>
                  </w:r>
                </w:p>
              </w:tc>
              <w:tc>
                <w:tcPr>
                  <w:tcW w:w="3780" w:type="dxa"/>
                  <w:tcBorders>
                    <w:top w:val="nil"/>
                    <w:left w:val="nil"/>
                    <w:bottom w:val="single" w:sz="4" w:space="0" w:color="auto"/>
                    <w:right w:val="nil"/>
                  </w:tcBorders>
                </w:tcPr>
                <w:p w14:paraId="207C6779" w14:textId="77777777" w:rsidR="00C1528E" w:rsidRDefault="00C1528E" w:rsidP="002B55BD"/>
              </w:tc>
            </w:tr>
            <w:tr w:rsidR="00C1528E" w14:paraId="11299632" w14:textId="77777777" w:rsidTr="002B55BD">
              <w:trPr>
                <w:trHeight w:hRule="exact" w:val="400"/>
              </w:trPr>
              <w:tc>
                <w:tcPr>
                  <w:tcW w:w="3330" w:type="dxa"/>
                  <w:tcBorders>
                    <w:top w:val="nil"/>
                    <w:left w:val="nil"/>
                    <w:bottom w:val="nil"/>
                    <w:right w:val="nil"/>
                  </w:tcBorders>
                  <w:vAlign w:val="bottom"/>
                </w:tcPr>
                <w:p w14:paraId="3C8F8985" w14:textId="77777777" w:rsidR="00C1528E" w:rsidRDefault="00C1528E" w:rsidP="002B55BD">
                  <w:r>
                    <w:t>Preparer</w:t>
                  </w:r>
                </w:p>
              </w:tc>
              <w:tc>
                <w:tcPr>
                  <w:tcW w:w="3780" w:type="dxa"/>
                  <w:tcBorders>
                    <w:top w:val="nil"/>
                    <w:left w:val="nil"/>
                    <w:bottom w:val="nil"/>
                    <w:right w:val="nil"/>
                  </w:tcBorders>
                </w:tcPr>
                <w:p w14:paraId="699B982B" w14:textId="77777777" w:rsidR="00C1528E" w:rsidRDefault="00C1528E" w:rsidP="002B55BD"/>
              </w:tc>
            </w:tr>
            <w:tr w:rsidR="00C1528E" w14:paraId="35794F99" w14:textId="77777777" w:rsidTr="002B55BD">
              <w:trPr>
                <w:trHeight w:hRule="exact" w:val="400"/>
              </w:trPr>
              <w:tc>
                <w:tcPr>
                  <w:tcW w:w="3330" w:type="dxa"/>
                  <w:tcBorders>
                    <w:top w:val="nil"/>
                    <w:left w:val="nil"/>
                    <w:bottom w:val="nil"/>
                    <w:right w:val="nil"/>
                  </w:tcBorders>
                  <w:vAlign w:val="bottom"/>
                </w:tcPr>
                <w:p w14:paraId="0373B736" w14:textId="77777777" w:rsidR="00C1528E" w:rsidRDefault="00C1528E" w:rsidP="002B55BD">
                  <w:r>
                    <w:t>Date Prepared</w:t>
                  </w:r>
                </w:p>
              </w:tc>
              <w:tc>
                <w:tcPr>
                  <w:tcW w:w="3780" w:type="dxa"/>
                  <w:tcBorders>
                    <w:top w:val="single" w:sz="4" w:space="0" w:color="auto"/>
                    <w:left w:val="nil"/>
                    <w:bottom w:val="single" w:sz="4" w:space="0" w:color="auto"/>
                    <w:right w:val="nil"/>
                  </w:tcBorders>
                </w:tcPr>
                <w:p w14:paraId="09484B31" w14:textId="77777777" w:rsidR="00C1528E" w:rsidRDefault="00C1528E" w:rsidP="002B55BD"/>
              </w:tc>
            </w:tr>
            <w:tr w:rsidR="00C1528E" w14:paraId="1A426563" w14:textId="77777777" w:rsidTr="002B55BD">
              <w:trPr>
                <w:trHeight w:hRule="exact" w:val="400"/>
              </w:trPr>
              <w:tc>
                <w:tcPr>
                  <w:tcW w:w="3330" w:type="dxa"/>
                  <w:tcBorders>
                    <w:top w:val="nil"/>
                    <w:left w:val="nil"/>
                    <w:bottom w:val="nil"/>
                    <w:right w:val="nil"/>
                  </w:tcBorders>
                  <w:vAlign w:val="bottom"/>
                </w:tcPr>
                <w:p w14:paraId="09EF6E49" w14:textId="77777777" w:rsidR="00C1528E" w:rsidRDefault="00C1528E" w:rsidP="002B55BD">
                  <w:r>
                    <w:t>Follow-up Review Indicated</w:t>
                  </w:r>
                </w:p>
              </w:tc>
              <w:tc>
                <w:tcPr>
                  <w:tcW w:w="3780" w:type="dxa"/>
                  <w:tcBorders>
                    <w:top w:val="nil"/>
                    <w:left w:val="nil"/>
                    <w:bottom w:val="single" w:sz="4" w:space="0" w:color="auto"/>
                    <w:right w:val="nil"/>
                  </w:tcBorders>
                </w:tcPr>
                <w:p w14:paraId="4166A7DB" w14:textId="77777777" w:rsidR="00C1528E" w:rsidRDefault="00C1528E" w:rsidP="002B55BD"/>
              </w:tc>
            </w:tr>
          </w:tbl>
          <w:p w14:paraId="00383EDE" w14:textId="4498BF28" w:rsidR="00C1528E" w:rsidRDefault="00C1528E" w:rsidP="002B55BD"/>
          <w:p w14:paraId="08D06B19" w14:textId="77777777" w:rsidR="00C1528E" w:rsidRPr="00F63305" w:rsidRDefault="00C1528E" w:rsidP="002B55BD">
            <w:pPr>
              <w:pStyle w:val="Heading1"/>
              <w:outlineLvl w:val="0"/>
              <w:rPr>
                <w:rFonts w:ascii="Arial" w:hAnsi="Arial" w:cs="Arial"/>
                <w:b w:val="0"/>
                <w:bCs w:val="0"/>
                <w:sz w:val="24"/>
                <w:szCs w:val="24"/>
              </w:rPr>
            </w:pPr>
            <w:r w:rsidRPr="00F63305">
              <w:rPr>
                <w:rFonts w:ascii="Arial" w:hAnsi="Arial" w:cs="Arial"/>
                <w:b w:val="0"/>
                <w:bCs w:val="0"/>
                <w:sz w:val="24"/>
                <w:szCs w:val="24"/>
              </w:rPr>
              <w:t>Professional Services Contracts Compliance Checklist (Engineering/Architecture, Administration, Appraisals, Legal, and Audit)</w:t>
            </w:r>
          </w:p>
          <w:p w14:paraId="3EA94426" w14:textId="77777777" w:rsidR="00C1528E" w:rsidRDefault="00C1528E" w:rsidP="002B55BD">
            <w:pPr>
              <w:pStyle w:val="Footer"/>
              <w:rPr>
                <w:b/>
              </w:rPr>
            </w:pPr>
            <w:r>
              <w:rPr>
                <w:b/>
              </w:rPr>
              <w:t>I.     Preagreement Costs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4355"/>
              <w:gridCol w:w="682"/>
              <w:gridCol w:w="680"/>
              <w:gridCol w:w="684"/>
              <w:gridCol w:w="2092"/>
            </w:tblGrid>
            <w:tr w:rsidR="00C1528E" w14:paraId="02D1F130" w14:textId="77777777" w:rsidTr="002B55BD">
              <w:trPr>
                <w:trHeight w:val="350"/>
              </w:trPr>
              <w:tc>
                <w:tcPr>
                  <w:tcW w:w="540" w:type="dxa"/>
                  <w:tcBorders>
                    <w:top w:val="nil"/>
                    <w:left w:val="nil"/>
                    <w:bottom w:val="nil"/>
                    <w:right w:val="nil"/>
                  </w:tcBorders>
                </w:tcPr>
                <w:p w14:paraId="7EA83225" w14:textId="77777777" w:rsidR="00C1528E" w:rsidRDefault="00C1528E" w:rsidP="002B55BD">
                  <w:pPr>
                    <w:jc w:val="center"/>
                  </w:pPr>
                </w:p>
              </w:tc>
              <w:tc>
                <w:tcPr>
                  <w:tcW w:w="4500" w:type="dxa"/>
                  <w:tcBorders>
                    <w:top w:val="nil"/>
                    <w:left w:val="nil"/>
                    <w:bottom w:val="nil"/>
                    <w:right w:val="nil"/>
                  </w:tcBorders>
                </w:tcPr>
                <w:p w14:paraId="1598A9E2" w14:textId="77777777" w:rsidR="00C1528E" w:rsidRDefault="00C1528E" w:rsidP="002B55BD"/>
              </w:tc>
              <w:tc>
                <w:tcPr>
                  <w:tcW w:w="690" w:type="dxa"/>
                  <w:tcBorders>
                    <w:top w:val="nil"/>
                    <w:left w:val="nil"/>
                    <w:bottom w:val="nil"/>
                    <w:right w:val="nil"/>
                  </w:tcBorders>
                </w:tcPr>
                <w:p w14:paraId="1CBA0112" w14:textId="77777777" w:rsidR="00C1528E" w:rsidRDefault="00C1528E" w:rsidP="002B55BD">
                  <w:pPr>
                    <w:jc w:val="center"/>
                  </w:pPr>
                  <w:r>
                    <w:t>Yes</w:t>
                  </w:r>
                </w:p>
              </w:tc>
              <w:tc>
                <w:tcPr>
                  <w:tcW w:w="690" w:type="dxa"/>
                  <w:tcBorders>
                    <w:top w:val="nil"/>
                    <w:left w:val="nil"/>
                    <w:bottom w:val="nil"/>
                    <w:right w:val="nil"/>
                  </w:tcBorders>
                </w:tcPr>
                <w:p w14:paraId="26C7CB55" w14:textId="77777777" w:rsidR="00C1528E" w:rsidRDefault="00C1528E" w:rsidP="002B55BD">
                  <w:pPr>
                    <w:jc w:val="center"/>
                  </w:pPr>
                  <w:r>
                    <w:t>No</w:t>
                  </w:r>
                </w:p>
              </w:tc>
              <w:tc>
                <w:tcPr>
                  <w:tcW w:w="690" w:type="dxa"/>
                  <w:tcBorders>
                    <w:top w:val="nil"/>
                    <w:left w:val="nil"/>
                    <w:bottom w:val="nil"/>
                    <w:right w:val="nil"/>
                  </w:tcBorders>
                </w:tcPr>
                <w:p w14:paraId="59D053C5" w14:textId="77777777" w:rsidR="00C1528E" w:rsidRDefault="00C1528E" w:rsidP="002B55BD">
                  <w:pPr>
                    <w:jc w:val="center"/>
                  </w:pPr>
                  <w:r>
                    <w:t>N/A</w:t>
                  </w:r>
                </w:p>
              </w:tc>
              <w:tc>
                <w:tcPr>
                  <w:tcW w:w="2160" w:type="dxa"/>
                  <w:tcBorders>
                    <w:top w:val="nil"/>
                    <w:left w:val="nil"/>
                    <w:bottom w:val="nil"/>
                    <w:right w:val="nil"/>
                  </w:tcBorders>
                </w:tcPr>
                <w:p w14:paraId="282A88E1" w14:textId="77777777" w:rsidR="00C1528E" w:rsidRDefault="00C1528E" w:rsidP="002B55BD">
                  <w:pPr>
                    <w:jc w:val="center"/>
                  </w:pPr>
                  <w:r>
                    <w:t>Notes</w:t>
                  </w:r>
                </w:p>
              </w:tc>
            </w:tr>
            <w:tr w:rsidR="00C1528E" w14:paraId="3796B8E9" w14:textId="77777777" w:rsidTr="002B55BD">
              <w:trPr>
                <w:trHeight w:hRule="exact" w:val="1288"/>
              </w:trPr>
              <w:tc>
                <w:tcPr>
                  <w:tcW w:w="540" w:type="dxa"/>
                </w:tcPr>
                <w:p w14:paraId="4B1E82EC" w14:textId="77777777" w:rsidR="00C1528E" w:rsidRDefault="00C1528E" w:rsidP="002B55BD">
                  <w:pPr>
                    <w:pStyle w:val="Footer"/>
                  </w:pPr>
                  <w:r>
                    <w:t>A.</w:t>
                  </w:r>
                </w:p>
              </w:tc>
              <w:tc>
                <w:tcPr>
                  <w:tcW w:w="4500" w:type="dxa"/>
                  <w:vAlign w:val="center"/>
                </w:tcPr>
                <w:p w14:paraId="6C917253" w14:textId="77777777" w:rsidR="00C1528E" w:rsidRDefault="00C1528E" w:rsidP="002B55BD">
                  <w:r>
                    <w:t>Were preagreement costs identified in the application and approved budget?</w:t>
                  </w:r>
                </w:p>
                <w:p w14:paraId="22DBBBC9" w14:textId="77777777" w:rsidR="00C1528E" w:rsidRDefault="00C1528E" w:rsidP="002B55BD">
                  <w:r>
                    <w:t>If so, list each cost item and the amount paid from grant/match funds:</w:t>
                  </w:r>
                </w:p>
                <w:p w14:paraId="62BFDB92" w14:textId="77777777" w:rsidR="00C1528E" w:rsidRDefault="00C1528E" w:rsidP="002B55BD"/>
              </w:tc>
              <w:tc>
                <w:tcPr>
                  <w:tcW w:w="690" w:type="dxa"/>
                </w:tcPr>
                <w:p w14:paraId="755749CD" w14:textId="77777777" w:rsidR="00C1528E" w:rsidRDefault="00C1528E" w:rsidP="002B55BD"/>
              </w:tc>
              <w:tc>
                <w:tcPr>
                  <w:tcW w:w="690" w:type="dxa"/>
                </w:tcPr>
                <w:p w14:paraId="30B72E8A" w14:textId="77777777" w:rsidR="00C1528E" w:rsidRDefault="00C1528E" w:rsidP="002B55BD"/>
              </w:tc>
              <w:tc>
                <w:tcPr>
                  <w:tcW w:w="690" w:type="dxa"/>
                </w:tcPr>
                <w:p w14:paraId="7E8141B7" w14:textId="77777777" w:rsidR="00C1528E" w:rsidRDefault="00C1528E" w:rsidP="002B55BD"/>
              </w:tc>
              <w:tc>
                <w:tcPr>
                  <w:tcW w:w="2160" w:type="dxa"/>
                  <w:tcBorders>
                    <w:bottom w:val="single" w:sz="4" w:space="0" w:color="auto"/>
                  </w:tcBorders>
                </w:tcPr>
                <w:p w14:paraId="3FC304AA" w14:textId="77777777" w:rsidR="00C1528E" w:rsidRDefault="00C1528E" w:rsidP="002B55BD"/>
              </w:tc>
            </w:tr>
            <w:tr w:rsidR="00C1528E" w14:paraId="60587345" w14:textId="77777777" w:rsidTr="002B55BD">
              <w:trPr>
                <w:trHeight w:hRule="exact" w:val="1280"/>
              </w:trPr>
              <w:tc>
                <w:tcPr>
                  <w:tcW w:w="540" w:type="dxa"/>
                </w:tcPr>
                <w:p w14:paraId="2C40A39A" w14:textId="77777777" w:rsidR="00C1528E" w:rsidRDefault="00C1528E" w:rsidP="002B55BD">
                  <w:r>
                    <w:t>B.</w:t>
                  </w:r>
                </w:p>
              </w:tc>
              <w:tc>
                <w:tcPr>
                  <w:tcW w:w="4500" w:type="dxa"/>
                  <w:vAlign w:val="center"/>
                </w:tcPr>
                <w:p w14:paraId="46D1266F" w14:textId="77777777" w:rsidR="00C1528E" w:rsidRDefault="00C1528E" w:rsidP="002B55BD">
                  <w:r>
                    <w:t>Was a separate procurement process used (RFP or small purchase procedures) and contract awarded for application preparation?</w:t>
                  </w:r>
                </w:p>
                <w:p w14:paraId="60BC41D8" w14:textId="77777777" w:rsidR="00C1528E" w:rsidRDefault="00C1528E" w:rsidP="002B55BD"/>
              </w:tc>
              <w:tc>
                <w:tcPr>
                  <w:tcW w:w="690" w:type="dxa"/>
                </w:tcPr>
                <w:p w14:paraId="3136ED49" w14:textId="77777777" w:rsidR="00C1528E" w:rsidRDefault="00C1528E" w:rsidP="002B55BD"/>
              </w:tc>
              <w:tc>
                <w:tcPr>
                  <w:tcW w:w="690" w:type="dxa"/>
                </w:tcPr>
                <w:p w14:paraId="2339DFFD" w14:textId="77777777" w:rsidR="00C1528E" w:rsidRDefault="00C1528E" w:rsidP="002B55BD"/>
              </w:tc>
              <w:tc>
                <w:tcPr>
                  <w:tcW w:w="690" w:type="dxa"/>
                </w:tcPr>
                <w:p w14:paraId="7E52B7E9" w14:textId="77777777" w:rsidR="00C1528E" w:rsidRDefault="00C1528E" w:rsidP="002B55BD"/>
              </w:tc>
              <w:tc>
                <w:tcPr>
                  <w:tcW w:w="2160" w:type="dxa"/>
                  <w:tcBorders>
                    <w:top w:val="nil"/>
                  </w:tcBorders>
                </w:tcPr>
                <w:p w14:paraId="46665F07" w14:textId="77777777" w:rsidR="00C1528E" w:rsidRDefault="00C1528E" w:rsidP="002B55BD"/>
              </w:tc>
            </w:tr>
            <w:tr w:rsidR="00C1528E" w14:paraId="32D48893" w14:textId="77777777" w:rsidTr="002B55BD">
              <w:trPr>
                <w:trHeight w:hRule="exact" w:val="883"/>
              </w:trPr>
              <w:tc>
                <w:tcPr>
                  <w:tcW w:w="540" w:type="dxa"/>
                </w:tcPr>
                <w:p w14:paraId="3C4B1534" w14:textId="77777777" w:rsidR="00C1528E" w:rsidRDefault="00C1528E" w:rsidP="002B55BD">
                  <w:r>
                    <w:t>C.</w:t>
                  </w:r>
                </w:p>
              </w:tc>
              <w:tc>
                <w:tcPr>
                  <w:tcW w:w="4500" w:type="dxa"/>
                  <w:vAlign w:val="center"/>
                </w:tcPr>
                <w:p w14:paraId="27793E63" w14:textId="77777777" w:rsidR="00C1528E" w:rsidRDefault="00C1528E" w:rsidP="002B55BD">
                  <w:r>
                    <w:t>Were all payments associated with approved preagreement costs properly documented and invoiced?</w:t>
                  </w:r>
                </w:p>
                <w:p w14:paraId="715B3547" w14:textId="77777777" w:rsidR="00C1528E" w:rsidRDefault="00C1528E" w:rsidP="002B55BD">
                  <w:pPr>
                    <w:pStyle w:val="Footer"/>
                  </w:pPr>
                </w:p>
              </w:tc>
              <w:tc>
                <w:tcPr>
                  <w:tcW w:w="690" w:type="dxa"/>
                </w:tcPr>
                <w:p w14:paraId="5317D26A" w14:textId="77777777" w:rsidR="00C1528E" w:rsidRDefault="00C1528E" w:rsidP="002B55BD"/>
              </w:tc>
              <w:tc>
                <w:tcPr>
                  <w:tcW w:w="690" w:type="dxa"/>
                </w:tcPr>
                <w:p w14:paraId="53EFFC75" w14:textId="77777777" w:rsidR="00C1528E" w:rsidRDefault="00C1528E" w:rsidP="002B55BD"/>
              </w:tc>
              <w:tc>
                <w:tcPr>
                  <w:tcW w:w="690" w:type="dxa"/>
                </w:tcPr>
                <w:p w14:paraId="38B4E713" w14:textId="77777777" w:rsidR="00C1528E" w:rsidRDefault="00C1528E" w:rsidP="002B55BD"/>
              </w:tc>
              <w:tc>
                <w:tcPr>
                  <w:tcW w:w="2160" w:type="dxa"/>
                </w:tcPr>
                <w:p w14:paraId="0F11A430" w14:textId="77777777" w:rsidR="00C1528E" w:rsidRDefault="00C1528E" w:rsidP="002B55BD"/>
              </w:tc>
            </w:tr>
          </w:tbl>
          <w:p w14:paraId="1E883FA7" w14:textId="77777777" w:rsidR="00C1528E" w:rsidRDefault="00C1528E" w:rsidP="002B55BD"/>
          <w:p w14:paraId="6BFEB1BF" w14:textId="77777777" w:rsidR="00C1528E" w:rsidRDefault="00C1528E" w:rsidP="002B55BD">
            <w:pPr>
              <w:pStyle w:val="Footer"/>
              <w:rPr>
                <w:b/>
              </w:rPr>
            </w:pPr>
            <w:r>
              <w:rPr>
                <w:b/>
              </w:rPr>
              <w:t>II.     Post Award Professional Services</w:t>
            </w:r>
          </w:p>
          <w:p w14:paraId="24F5E28D" w14:textId="77777777" w:rsidR="00C1528E" w:rsidRDefault="00C1528E" w:rsidP="002B55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85"/>
              <w:gridCol w:w="671"/>
              <w:gridCol w:w="671"/>
              <w:gridCol w:w="671"/>
              <w:gridCol w:w="2083"/>
            </w:tblGrid>
            <w:tr w:rsidR="00C1528E" w14:paraId="46E0BB8D" w14:textId="77777777" w:rsidTr="002B55BD">
              <w:trPr>
                <w:trHeight w:hRule="exact" w:val="514"/>
              </w:trPr>
              <w:tc>
                <w:tcPr>
                  <w:tcW w:w="540" w:type="dxa"/>
                  <w:tcBorders>
                    <w:top w:val="single" w:sz="4" w:space="0" w:color="auto"/>
                  </w:tcBorders>
                </w:tcPr>
                <w:p w14:paraId="0800FFF0" w14:textId="77777777" w:rsidR="00C1528E" w:rsidRDefault="00C1528E" w:rsidP="002B55BD">
                  <w:pPr>
                    <w:pStyle w:val="Footer"/>
                  </w:pPr>
                  <w:r>
                    <w:t>A.</w:t>
                  </w:r>
                </w:p>
              </w:tc>
              <w:tc>
                <w:tcPr>
                  <w:tcW w:w="4500" w:type="dxa"/>
                  <w:tcBorders>
                    <w:top w:val="single" w:sz="4" w:space="0" w:color="auto"/>
                  </w:tcBorders>
                  <w:vAlign w:val="center"/>
                </w:tcPr>
                <w:p w14:paraId="29673CF5" w14:textId="77777777" w:rsidR="00C1528E" w:rsidRDefault="00C1528E" w:rsidP="002B55BD">
                  <w:r>
                    <w:t>Were all contracts properly executed?</w:t>
                  </w:r>
                </w:p>
                <w:p w14:paraId="789A4144" w14:textId="77777777" w:rsidR="00C1528E" w:rsidRDefault="00C1528E" w:rsidP="002B55BD"/>
              </w:tc>
              <w:tc>
                <w:tcPr>
                  <w:tcW w:w="690" w:type="dxa"/>
                  <w:tcBorders>
                    <w:top w:val="single" w:sz="4" w:space="0" w:color="auto"/>
                  </w:tcBorders>
                </w:tcPr>
                <w:p w14:paraId="50C6CBBB" w14:textId="77777777" w:rsidR="00C1528E" w:rsidRDefault="00C1528E" w:rsidP="002B55BD"/>
              </w:tc>
              <w:tc>
                <w:tcPr>
                  <w:tcW w:w="690" w:type="dxa"/>
                  <w:tcBorders>
                    <w:top w:val="single" w:sz="4" w:space="0" w:color="auto"/>
                  </w:tcBorders>
                </w:tcPr>
                <w:p w14:paraId="7582B2DA" w14:textId="77777777" w:rsidR="00C1528E" w:rsidRDefault="00C1528E" w:rsidP="002B55BD"/>
              </w:tc>
              <w:tc>
                <w:tcPr>
                  <w:tcW w:w="690" w:type="dxa"/>
                  <w:tcBorders>
                    <w:top w:val="single" w:sz="4" w:space="0" w:color="auto"/>
                  </w:tcBorders>
                </w:tcPr>
                <w:p w14:paraId="321440F2" w14:textId="77777777" w:rsidR="00C1528E" w:rsidRDefault="00C1528E" w:rsidP="002B55BD"/>
              </w:tc>
              <w:tc>
                <w:tcPr>
                  <w:tcW w:w="2160" w:type="dxa"/>
                  <w:tcBorders>
                    <w:top w:val="single" w:sz="4" w:space="0" w:color="auto"/>
                  </w:tcBorders>
                </w:tcPr>
                <w:p w14:paraId="4E0C3F2F" w14:textId="77777777" w:rsidR="00C1528E" w:rsidRDefault="00C1528E" w:rsidP="002B55BD"/>
              </w:tc>
            </w:tr>
            <w:tr w:rsidR="00C1528E" w14:paraId="5328725A" w14:textId="77777777" w:rsidTr="002B55BD">
              <w:trPr>
                <w:trHeight w:hRule="exact" w:val="1162"/>
              </w:trPr>
              <w:tc>
                <w:tcPr>
                  <w:tcW w:w="540" w:type="dxa"/>
                </w:tcPr>
                <w:p w14:paraId="3687E305" w14:textId="77777777" w:rsidR="00C1528E" w:rsidRDefault="00C1528E" w:rsidP="002B55BD">
                  <w:pPr>
                    <w:pStyle w:val="Footer"/>
                  </w:pPr>
                  <w:r>
                    <w:t>B.</w:t>
                  </w:r>
                </w:p>
              </w:tc>
              <w:tc>
                <w:tcPr>
                  <w:tcW w:w="4500" w:type="dxa"/>
                  <w:vAlign w:val="center"/>
                </w:tcPr>
                <w:p w14:paraId="161D05A5" w14:textId="77777777" w:rsidR="00C1528E" w:rsidRDefault="00C1528E" w:rsidP="002B55BD">
                  <w:r>
                    <w:t>Were all services properly procured? (Request for Proposals or small purchase procedures if less than or equal to $100,000)</w:t>
                  </w:r>
                </w:p>
                <w:p w14:paraId="726E41B6" w14:textId="77777777" w:rsidR="00C1528E" w:rsidRDefault="00C1528E" w:rsidP="002B55BD"/>
              </w:tc>
              <w:tc>
                <w:tcPr>
                  <w:tcW w:w="690" w:type="dxa"/>
                </w:tcPr>
                <w:p w14:paraId="0ADBDADB" w14:textId="77777777" w:rsidR="00C1528E" w:rsidRDefault="00C1528E" w:rsidP="002B55BD"/>
              </w:tc>
              <w:tc>
                <w:tcPr>
                  <w:tcW w:w="690" w:type="dxa"/>
                </w:tcPr>
                <w:p w14:paraId="2F67C13A" w14:textId="77777777" w:rsidR="00C1528E" w:rsidRDefault="00C1528E" w:rsidP="002B55BD"/>
              </w:tc>
              <w:tc>
                <w:tcPr>
                  <w:tcW w:w="690" w:type="dxa"/>
                </w:tcPr>
                <w:p w14:paraId="3A6C945B" w14:textId="77777777" w:rsidR="00C1528E" w:rsidRDefault="00C1528E" w:rsidP="002B55BD"/>
              </w:tc>
              <w:tc>
                <w:tcPr>
                  <w:tcW w:w="2160" w:type="dxa"/>
                </w:tcPr>
                <w:p w14:paraId="72842911" w14:textId="77777777" w:rsidR="00C1528E" w:rsidRDefault="00C1528E" w:rsidP="002B55BD"/>
              </w:tc>
            </w:tr>
            <w:tr w:rsidR="00C1528E" w14:paraId="409A558B" w14:textId="77777777" w:rsidTr="002B55BD">
              <w:trPr>
                <w:trHeight w:hRule="exact" w:val="640"/>
              </w:trPr>
              <w:tc>
                <w:tcPr>
                  <w:tcW w:w="540" w:type="dxa"/>
                </w:tcPr>
                <w:p w14:paraId="51B7C63A" w14:textId="77777777" w:rsidR="00C1528E" w:rsidRDefault="00C1528E" w:rsidP="002B55BD">
                  <w:pPr>
                    <w:jc w:val="center"/>
                  </w:pPr>
                </w:p>
              </w:tc>
              <w:tc>
                <w:tcPr>
                  <w:tcW w:w="4500" w:type="dxa"/>
                  <w:vAlign w:val="center"/>
                </w:tcPr>
                <w:p w14:paraId="123C8F9E" w14:textId="77777777" w:rsidR="00C1528E" w:rsidRDefault="00C1528E" w:rsidP="00C1528E">
                  <w:pPr>
                    <w:numPr>
                      <w:ilvl w:val="0"/>
                      <w:numId w:val="1"/>
                    </w:numPr>
                    <w:spacing w:after="0" w:line="240" w:lineRule="auto"/>
                  </w:pPr>
                  <w:r>
                    <w:t>Do services provided in contracts coincide with those advertised?</w:t>
                  </w:r>
                </w:p>
                <w:p w14:paraId="385E4D22" w14:textId="77777777" w:rsidR="00C1528E" w:rsidRDefault="00C1528E" w:rsidP="002B55BD"/>
              </w:tc>
              <w:tc>
                <w:tcPr>
                  <w:tcW w:w="690" w:type="dxa"/>
                </w:tcPr>
                <w:p w14:paraId="14C1D5B0" w14:textId="77777777" w:rsidR="00C1528E" w:rsidRDefault="00C1528E" w:rsidP="002B55BD"/>
              </w:tc>
              <w:tc>
                <w:tcPr>
                  <w:tcW w:w="690" w:type="dxa"/>
                </w:tcPr>
                <w:p w14:paraId="6B2F8D96" w14:textId="77777777" w:rsidR="00C1528E" w:rsidRDefault="00C1528E" w:rsidP="002B55BD"/>
              </w:tc>
              <w:tc>
                <w:tcPr>
                  <w:tcW w:w="690" w:type="dxa"/>
                </w:tcPr>
                <w:p w14:paraId="1A57ACBB" w14:textId="77777777" w:rsidR="00C1528E" w:rsidRDefault="00C1528E" w:rsidP="002B55BD"/>
              </w:tc>
              <w:tc>
                <w:tcPr>
                  <w:tcW w:w="2160" w:type="dxa"/>
                </w:tcPr>
                <w:p w14:paraId="308A3184" w14:textId="77777777" w:rsidR="00C1528E" w:rsidRDefault="00C1528E" w:rsidP="002B55BD"/>
              </w:tc>
            </w:tr>
            <w:tr w:rsidR="00C1528E" w14:paraId="67A945F8" w14:textId="77777777" w:rsidTr="002B55BD">
              <w:trPr>
                <w:trHeight w:hRule="exact" w:val="910"/>
              </w:trPr>
              <w:tc>
                <w:tcPr>
                  <w:tcW w:w="540" w:type="dxa"/>
                </w:tcPr>
                <w:p w14:paraId="7BD07EFF" w14:textId="77777777" w:rsidR="00C1528E" w:rsidRDefault="00C1528E" w:rsidP="002B55BD">
                  <w:pPr>
                    <w:pStyle w:val="Footer"/>
                    <w:jc w:val="center"/>
                  </w:pPr>
                </w:p>
              </w:tc>
              <w:tc>
                <w:tcPr>
                  <w:tcW w:w="4500" w:type="dxa"/>
                  <w:vAlign w:val="center"/>
                </w:tcPr>
                <w:p w14:paraId="08A5041C" w14:textId="77777777" w:rsidR="00C1528E" w:rsidRDefault="00C1528E" w:rsidP="00C1528E">
                  <w:pPr>
                    <w:numPr>
                      <w:ilvl w:val="0"/>
                      <w:numId w:val="1"/>
                    </w:numPr>
                    <w:spacing w:after="0" w:line="240" w:lineRule="auto"/>
                  </w:pPr>
                  <w:r>
                    <w:t>Were services advertised and solicited from an adequate number of providers?</w:t>
                  </w:r>
                </w:p>
              </w:tc>
              <w:tc>
                <w:tcPr>
                  <w:tcW w:w="690" w:type="dxa"/>
                </w:tcPr>
                <w:p w14:paraId="3D9B693C" w14:textId="77777777" w:rsidR="00C1528E" w:rsidRDefault="00C1528E" w:rsidP="002B55BD"/>
              </w:tc>
              <w:tc>
                <w:tcPr>
                  <w:tcW w:w="690" w:type="dxa"/>
                </w:tcPr>
                <w:p w14:paraId="0E20EC15" w14:textId="77777777" w:rsidR="00C1528E" w:rsidRDefault="00C1528E" w:rsidP="002B55BD"/>
              </w:tc>
              <w:tc>
                <w:tcPr>
                  <w:tcW w:w="690" w:type="dxa"/>
                </w:tcPr>
                <w:p w14:paraId="200D8778" w14:textId="77777777" w:rsidR="00C1528E" w:rsidRDefault="00C1528E" w:rsidP="002B55BD"/>
              </w:tc>
              <w:tc>
                <w:tcPr>
                  <w:tcW w:w="2160" w:type="dxa"/>
                </w:tcPr>
                <w:p w14:paraId="4212D605" w14:textId="77777777" w:rsidR="00C1528E" w:rsidRDefault="00C1528E" w:rsidP="002B55BD"/>
              </w:tc>
            </w:tr>
          </w:tbl>
          <w:p w14:paraId="63EE3839" w14:textId="77777777" w:rsidR="00C1528E" w:rsidRDefault="00C1528E" w:rsidP="002B55BD">
            <w:pPr>
              <w:pStyle w:val="Foote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4363"/>
              <w:gridCol w:w="681"/>
              <w:gridCol w:w="679"/>
              <w:gridCol w:w="684"/>
              <w:gridCol w:w="2086"/>
            </w:tblGrid>
            <w:tr w:rsidR="00C1528E" w14:paraId="5D44CCCB" w14:textId="77777777" w:rsidTr="002B55BD">
              <w:trPr>
                <w:trHeight w:hRule="exact" w:val="280"/>
              </w:trPr>
              <w:tc>
                <w:tcPr>
                  <w:tcW w:w="540" w:type="dxa"/>
                  <w:tcBorders>
                    <w:top w:val="nil"/>
                    <w:left w:val="nil"/>
                    <w:bottom w:val="nil"/>
                    <w:right w:val="nil"/>
                  </w:tcBorders>
                </w:tcPr>
                <w:p w14:paraId="44EFC995" w14:textId="77777777" w:rsidR="00C1528E" w:rsidRDefault="00C1528E" w:rsidP="002B55BD">
                  <w:pPr>
                    <w:jc w:val="center"/>
                  </w:pPr>
                </w:p>
              </w:tc>
              <w:tc>
                <w:tcPr>
                  <w:tcW w:w="4500" w:type="dxa"/>
                  <w:tcBorders>
                    <w:top w:val="nil"/>
                    <w:left w:val="nil"/>
                    <w:bottom w:val="nil"/>
                    <w:right w:val="nil"/>
                  </w:tcBorders>
                  <w:vAlign w:val="center"/>
                </w:tcPr>
                <w:p w14:paraId="3E154207" w14:textId="77777777" w:rsidR="00C1528E" w:rsidRDefault="00C1528E" w:rsidP="002B55BD">
                  <w:pPr>
                    <w:jc w:val="center"/>
                  </w:pPr>
                </w:p>
              </w:tc>
              <w:tc>
                <w:tcPr>
                  <w:tcW w:w="690" w:type="dxa"/>
                  <w:tcBorders>
                    <w:top w:val="nil"/>
                    <w:left w:val="nil"/>
                    <w:bottom w:val="nil"/>
                    <w:right w:val="nil"/>
                  </w:tcBorders>
                </w:tcPr>
                <w:p w14:paraId="5092EBC5" w14:textId="77777777" w:rsidR="00C1528E" w:rsidRDefault="00C1528E" w:rsidP="002B55BD">
                  <w:pPr>
                    <w:jc w:val="center"/>
                  </w:pPr>
                  <w:r>
                    <w:t>Yes</w:t>
                  </w:r>
                </w:p>
              </w:tc>
              <w:tc>
                <w:tcPr>
                  <w:tcW w:w="690" w:type="dxa"/>
                  <w:tcBorders>
                    <w:top w:val="nil"/>
                    <w:left w:val="nil"/>
                    <w:bottom w:val="nil"/>
                    <w:right w:val="nil"/>
                  </w:tcBorders>
                </w:tcPr>
                <w:p w14:paraId="2F6BCD9E" w14:textId="77777777" w:rsidR="00C1528E" w:rsidRDefault="00C1528E" w:rsidP="002B55BD">
                  <w:pPr>
                    <w:jc w:val="center"/>
                  </w:pPr>
                  <w:r>
                    <w:t>No</w:t>
                  </w:r>
                </w:p>
              </w:tc>
              <w:tc>
                <w:tcPr>
                  <w:tcW w:w="690" w:type="dxa"/>
                  <w:tcBorders>
                    <w:top w:val="nil"/>
                    <w:left w:val="nil"/>
                    <w:bottom w:val="nil"/>
                    <w:right w:val="nil"/>
                  </w:tcBorders>
                </w:tcPr>
                <w:p w14:paraId="55BBF333" w14:textId="77777777" w:rsidR="00C1528E" w:rsidRDefault="00C1528E" w:rsidP="002B55BD">
                  <w:pPr>
                    <w:jc w:val="center"/>
                  </w:pPr>
                  <w:r>
                    <w:t>N/A</w:t>
                  </w:r>
                </w:p>
              </w:tc>
              <w:tc>
                <w:tcPr>
                  <w:tcW w:w="2160" w:type="dxa"/>
                  <w:tcBorders>
                    <w:top w:val="nil"/>
                    <w:left w:val="nil"/>
                    <w:bottom w:val="nil"/>
                    <w:right w:val="nil"/>
                  </w:tcBorders>
                </w:tcPr>
                <w:p w14:paraId="266DCC56" w14:textId="77777777" w:rsidR="00C1528E" w:rsidRDefault="00C1528E" w:rsidP="002B55BD">
                  <w:pPr>
                    <w:jc w:val="center"/>
                  </w:pPr>
                  <w:r>
                    <w:t>Notes</w:t>
                  </w:r>
                </w:p>
              </w:tc>
            </w:tr>
            <w:tr w:rsidR="00C1528E" w14:paraId="154ACBCA" w14:textId="77777777" w:rsidTr="002B55BD">
              <w:trPr>
                <w:trHeight w:hRule="exact" w:val="631"/>
              </w:trPr>
              <w:tc>
                <w:tcPr>
                  <w:tcW w:w="540" w:type="dxa"/>
                  <w:tcBorders>
                    <w:top w:val="single" w:sz="4" w:space="0" w:color="auto"/>
                  </w:tcBorders>
                </w:tcPr>
                <w:p w14:paraId="33716183" w14:textId="77777777" w:rsidR="00C1528E" w:rsidRDefault="00C1528E" w:rsidP="002B55BD">
                  <w:pPr>
                    <w:jc w:val="center"/>
                  </w:pPr>
                </w:p>
              </w:tc>
              <w:tc>
                <w:tcPr>
                  <w:tcW w:w="4500" w:type="dxa"/>
                  <w:tcBorders>
                    <w:top w:val="single" w:sz="4" w:space="0" w:color="auto"/>
                  </w:tcBorders>
                  <w:vAlign w:val="center"/>
                </w:tcPr>
                <w:p w14:paraId="1FB6A94C" w14:textId="77777777" w:rsidR="00C1528E" w:rsidRDefault="00C1528E" w:rsidP="00C1528E">
                  <w:pPr>
                    <w:numPr>
                      <w:ilvl w:val="0"/>
                      <w:numId w:val="2"/>
                    </w:numPr>
                    <w:spacing w:after="0" w:line="240" w:lineRule="auto"/>
                  </w:pPr>
                  <w:r>
                    <w:t>Were RFP’s evaluated consistently with published system?</w:t>
                  </w:r>
                </w:p>
                <w:p w14:paraId="3D897FC2" w14:textId="77777777" w:rsidR="00C1528E" w:rsidRDefault="00C1528E" w:rsidP="002B55BD"/>
              </w:tc>
              <w:tc>
                <w:tcPr>
                  <w:tcW w:w="690" w:type="dxa"/>
                  <w:tcBorders>
                    <w:top w:val="single" w:sz="4" w:space="0" w:color="auto"/>
                  </w:tcBorders>
                </w:tcPr>
                <w:p w14:paraId="5EF70353" w14:textId="77777777" w:rsidR="00C1528E" w:rsidRDefault="00C1528E" w:rsidP="002B55BD"/>
              </w:tc>
              <w:tc>
                <w:tcPr>
                  <w:tcW w:w="690" w:type="dxa"/>
                  <w:tcBorders>
                    <w:top w:val="single" w:sz="4" w:space="0" w:color="auto"/>
                  </w:tcBorders>
                </w:tcPr>
                <w:p w14:paraId="45477CCA" w14:textId="77777777" w:rsidR="00C1528E" w:rsidRDefault="00C1528E" w:rsidP="002B55BD"/>
              </w:tc>
              <w:tc>
                <w:tcPr>
                  <w:tcW w:w="690" w:type="dxa"/>
                  <w:tcBorders>
                    <w:top w:val="single" w:sz="4" w:space="0" w:color="auto"/>
                  </w:tcBorders>
                </w:tcPr>
                <w:p w14:paraId="628B31F7" w14:textId="77777777" w:rsidR="00C1528E" w:rsidRDefault="00C1528E" w:rsidP="002B55BD"/>
              </w:tc>
              <w:tc>
                <w:tcPr>
                  <w:tcW w:w="2160" w:type="dxa"/>
                  <w:tcBorders>
                    <w:top w:val="single" w:sz="4" w:space="0" w:color="auto"/>
                  </w:tcBorders>
                </w:tcPr>
                <w:p w14:paraId="1108AFBE" w14:textId="77777777" w:rsidR="00C1528E" w:rsidRDefault="00C1528E" w:rsidP="002B55BD">
                  <w:pPr>
                    <w:pStyle w:val="Footer"/>
                  </w:pPr>
                </w:p>
              </w:tc>
            </w:tr>
            <w:tr w:rsidR="00C1528E" w14:paraId="06D601D1" w14:textId="77777777" w:rsidTr="002B55BD">
              <w:trPr>
                <w:trHeight w:hRule="exact" w:val="892"/>
              </w:trPr>
              <w:tc>
                <w:tcPr>
                  <w:tcW w:w="540" w:type="dxa"/>
                </w:tcPr>
                <w:p w14:paraId="7178CDF6" w14:textId="77777777" w:rsidR="00C1528E" w:rsidRDefault="00C1528E" w:rsidP="002B55BD">
                  <w:pPr>
                    <w:pStyle w:val="Header"/>
                  </w:pPr>
                  <w:r>
                    <w:t>C.</w:t>
                  </w:r>
                </w:p>
              </w:tc>
              <w:tc>
                <w:tcPr>
                  <w:tcW w:w="4500" w:type="dxa"/>
                  <w:vAlign w:val="center"/>
                </w:tcPr>
                <w:p w14:paraId="42823E71" w14:textId="77777777" w:rsidR="00C1528E" w:rsidRDefault="00C1528E" w:rsidP="002B55BD">
                  <w:r>
                    <w:t>Was price part of RFP?  If no, is there a cost/price analysis and/or do costs fall within accepted industry standards?</w:t>
                  </w:r>
                </w:p>
              </w:tc>
              <w:tc>
                <w:tcPr>
                  <w:tcW w:w="690" w:type="dxa"/>
                </w:tcPr>
                <w:p w14:paraId="19A25A6E" w14:textId="77777777" w:rsidR="00C1528E" w:rsidRDefault="00C1528E" w:rsidP="002B55BD"/>
              </w:tc>
              <w:tc>
                <w:tcPr>
                  <w:tcW w:w="690" w:type="dxa"/>
                </w:tcPr>
                <w:p w14:paraId="0473FE96" w14:textId="77777777" w:rsidR="00C1528E" w:rsidRDefault="00C1528E" w:rsidP="002B55BD"/>
              </w:tc>
              <w:tc>
                <w:tcPr>
                  <w:tcW w:w="690" w:type="dxa"/>
                </w:tcPr>
                <w:p w14:paraId="70FA850D" w14:textId="77777777" w:rsidR="00C1528E" w:rsidRDefault="00C1528E" w:rsidP="002B55BD"/>
              </w:tc>
              <w:tc>
                <w:tcPr>
                  <w:tcW w:w="2160" w:type="dxa"/>
                </w:tcPr>
                <w:p w14:paraId="55CF2547" w14:textId="77777777" w:rsidR="00C1528E" w:rsidRDefault="00C1528E" w:rsidP="002B55BD"/>
              </w:tc>
            </w:tr>
            <w:tr w:rsidR="00C1528E" w14:paraId="40CDAB02" w14:textId="77777777" w:rsidTr="002B55BD">
              <w:trPr>
                <w:trHeight w:hRule="exact" w:val="712"/>
              </w:trPr>
              <w:tc>
                <w:tcPr>
                  <w:tcW w:w="540" w:type="dxa"/>
                </w:tcPr>
                <w:p w14:paraId="5B106D6A" w14:textId="77777777" w:rsidR="00C1528E" w:rsidRDefault="00C1528E" w:rsidP="002B55BD">
                  <w:pPr>
                    <w:pStyle w:val="Header"/>
                  </w:pPr>
                  <w:r>
                    <w:t>D.</w:t>
                  </w:r>
                </w:p>
              </w:tc>
              <w:tc>
                <w:tcPr>
                  <w:tcW w:w="4500" w:type="dxa"/>
                  <w:vAlign w:val="center"/>
                </w:tcPr>
                <w:p w14:paraId="20426815" w14:textId="77777777" w:rsidR="00C1528E" w:rsidRDefault="00C1528E" w:rsidP="002B55BD">
                  <w:r>
                    <w:t>Was debarred status verified?</w:t>
                  </w:r>
                </w:p>
              </w:tc>
              <w:tc>
                <w:tcPr>
                  <w:tcW w:w="690" w:type="dxa"/>
                </w:tcPr>
                <w:p w14:paraId="2E9FA8AC" w14:textId="77777777" w:rsidR="00C1528E" w:rsidRDefault="00C1528E" w:rsidP="002B55BD"/>
              </w:tc>
              <w:tc>
                <w:tcPr>
                  <w:tcW w:w="690" w:type="dxa"/>
                </w:tcPr>
                <w:p w14:paraId="3E16AD6B" w14:textId="77777777" w:rsidR="00C1528E" w:rsidRDefault="00C1528E" w:rsidP="002B55BD"/>
              </w:tc>
              <w:tc>
                <w:tcPr>
                  <w:tcW w:w="690" w:type="dxa"/>
                </w:tcPr>
                <w:p w14:paraId="0707C109" w14:textId="77777777" w:rsidR="00C1528E" w:rsidRDefault="00C1528E" w:rsidP="002B55BD"/>
              </w:tc>
              <w:tc>
                <w:tcPr>
                  <w:tcW w:w="2160" w:type="dxa"/>
                </w:tcPr>
                <w:p w14:paraId="4F851D9B" w14:textId="77777777" w:rsidR="00C1528E" w:rsidRDefault="00C1528E" w:rsidP="002B55BD"/>
              </w:tc>
            </w:tr>
            <w:tr w:rsidR="00C1528E" w14:paraId="034ABA00" w14:textId="77777777" w:rsidTr="002B55BD">
              <w:trPr>
                <w:trHeight w:hRule="exact" w:val="712"/>
              </w:trPr>
              <w:tc>
                <w:tcPr>
                  <w:tcW w:w="540" w:type="dxa"/>
                </w:tcPr>
                <w:p w14:paraId="2D26548D" w14:textId="77777777" w:rsidR="00C1528E" w:rsidRDefault="00C1528E" w:rsidP="002B55BD">
                  <w:pPr>
                    <w:pStyle w:val="Header"/>
                  </w:pPr>
                  <w:r>
                    <w:t>E.</w:t>
                  </w:r>
                </w:p>
              </w:tc>
              <w:tc>
                <w:tcPr>
                  <w:tcW w:w="4500" w:type="dxa"/>
                  <w:vAlign w:val="center"/>
                </w:tcPr>
                <w:p w14:paraId="3286837C" w14:textId="77777777" w:rsidR="00C1528E" w:rsidRDefault="00C1528E" w:rsidP="002B55BD">
                  <w:r>
                    <w:t>Are contracts dated after the effective date of the State’s Grant Agreement?</w:t>
                  </w:r>
                </w:p>
                <w:p w14:paraId="6D6EF2DA" w14:textId="77777777" w:rsidR="00C1528E" w:rsidRDefault="00C1528E" w:rsidP="002B55BD"/>
              </w:tc>
              <w:tc>
                <w:tcPr>
                  <w:tcW w:w="690" w:type="dxa"/>
                </w:tcPr>
                <w:p w14:paraId="546787FC" w14:textId="77777777" w:rsidR="00C1528E" w:rsidRDefault="00C1528E" w:rsidP="002B55BD"/>
              </w:tc>
              <w:tc>
                <w:tcPr>
                  <w:tcW w:w="690" w:type="dxa"/>
                </w:tcPr>
                <w:p w14:paraId="22D8B2E1" w14:textId="77777777" w:rsidR="00C1528E" w:rsidRDefault="00C1528E" w:rsidP="002B55BD"/>
              </w:tc>
              <w:tc>
                <w:tcPr>
                  <w:tcW w:w="690" w:type="dxa"/>
                </w:tcPr>
                <w:p w14:paraId="6E531D87" w14:textId="77777777" w:rsidR="00C1528E" w:rsidRDefault="00C1528E" w:rsidP="002B55BD"/>
              </w:tc>
              <w:tc>
                <w:tcPr>
                  <w:tcW w:w="2160" w:type="dxa"/>
                </w:tcPr>
                <w:p w14:paraId="05A0C24D" w14:textId="77777777" w:rsidR="00C1528E" w:rsidRDefault="00C1528E" w:rsidP="002B55BD"/>
              </w:tc>
            </w:tr>
            <w:tr w:rsidR="00C1528E" w14:paraId="4DC4ED3A" w14:textId="77777777" w:rsidTr="002B55BD">
              <w:trPr>
                <w:trHeight w:hRule="exact" w:val="982"/>
              </w:trPr>
              <w:tc>
                <w:tcPr>
                  <w:tcW w:w="540" w:type="dxa"/>
                </w:tcPr>
                <w:p w14:paraId="64CE440D" w14:textId="77777777" w:rsidR="00C1528E" w:rsidRDefault="00C1528E" w:rsidP="002B55BD">
                  <w:r>
                    <w:t>F.</w:t>
                  </w:r>
                </w:p>
              </w:tc>
              <w:tc>
                <w:tcPr>
                  <w:tcW w:w="4500" w:type="dxa"/>
                  <w:vAlign w:val="center"/>
                </w:tcPr>
                <w:p w14:paraId="58158D73" w14:textId="77777777" w:rsidR="00C1528E" w:rsidRDefault="00C1528E" w:rsidP="002B55BD">
                  <w:r>
                    <w:t>Are contract services provided on a fixed fee basis rather than a percentage?</w:t>
                  </w:r>
                </w:p>
                <w:p w14:paraId="4DE066BE" w14:textId="77777777" w:rsidR="00C1528E" w:rsidRDefault="00C1528E" w:rsidP="002B55BD"/>
              </w:tc>
              <w:tc>
                <w:tcPr>
                  <w:tcW w:w="690" w:type="dxa"/>
                </w:tcPr>
                <w:p w14:paraId="34D26B6E" w14:textId="77777777" w:rsidR="00C1528E" w:rsidRDefault="00C1528E" w:rsidP="002B55BD"/>
              </w:tc>
              <w:tc>
                <w:tcPr>
                  <w:tcW w:w="690" w:type="dxa"/>
                </w:tcPr>
                <w:p w14:paraId="07701DBA" w14:textId="77777777" w:rsidR="00C1528E" w:rsidRDefault="00C1528E" w:rsidP="002B55BD"/>
              </w:tc>
              <w:tc>
                <w:tcPr>
                  <w:tcW w:w="690" w:type="dxa"/>
                </w:tcPr>
                <w:p w14:paraId="733115F9" w14:textId="77777777" w:rsidR="00C1528E" w:rsidRDefault="00C1528E" w:rsidP="002B55BD"/>
              </w:tc>
              <w:tc>
                <w:tcPr>
                  <w:tcW w:w="2160" w:type="dxa"/>
                </w:tcPr>
                <w:p w14:paraId="3D24F482" w14:textId="77777777" w:rsidR="00C1528E" w:rsidRDefault="00C1528E" w:rsidP="002B55BD"/>
              </w:tc>
            </w:tr>
            <w:tr w:rsidR="00C1528E" w14:paraId="25A7CBEE" w14:textId="77777777" w:rsidTr="002B55BD">
              <w:trPr>
                <w:trHeight w:hRule="exact" w:val="631"/>
              </w:trPr>
              <w:tc>
                <w:tcPr>
                  <w:tcW w:w="540" w:type="dxa"/>
                </w:tcPr>
                <w:p w14:paraId="16CDA749" w14:textId="77777777" w:rsidR="00C1528E" w:rsidRDefault="00C1528E" w:rsidP="002B55BD">
                  <w:r>
                    <w:t>G.</w:t>
                  </w:r>
                </w:p>
              </w:tc>
              <w:tc>
                <w:tcPr>
                  <w:tcW w:w="4500" w:type="dxa"/>
                  <w:vAlign w:val="center"/>
                </w:tcPr>
                <w:p w14:paraId="6A974D7F" w14:textId="77777777" w:rsidR="00C1528E" w:rsidRDefault="00C1528E" w:rsidP="002B55BD">
                  <w:r>
                    <w:t>Do contracts include required CDBG clauses?</w:t>
                  </w:r>
                </w:p>
                <w:p w14:paraId="4984E0E5" w14:textId="77777777" w:rsidR="00C1528E" w:rsidRDefault="00C1528E" w:rsidP="002B55BD"/>
              </w:tc>
              <w:tc>
                <w:tcPr>
                  <w:tcW w:w="690" w:type="dxa"/>
                </w:tcPr>
                <w:p w14:paraId="09B49047" w14:textId="77777777" w:rsidR="00C1528E" w:rsidRDefault="00C1528E" w:rsidP="002B55BD"/>
              </w:tc>
              <w:tc>
                <w:tcPr>
                  <w:tcW w:w="690" w:type="dxa"/>
                </w:tcPr>
                <w:p w14:paraId="6F0FBA86" w14:textId="77777777" w:rsidR="00C1528E" w:rsidRDefault="00C1528E" w:rsidP="002B55BD"/>
              </w:tc>
              <w:tc>
                <w:tcPr>
                  <w:tcW w:w="690" w:type="dxa"/>
                </w:tcPr>
                <w:p w14:paraId="49739280" w14:textId="77777777" w:rsidR="00C1528E" w:rsidRDefault="00C1528E" w:rsidP="002B55BD"/>
              </w:tc>
              <w:tc>
                <w:tcPr>
                  <w:tcW w:w="2160" w:type="dxa"/>
                </w:tcPr>
                <w:p w14:paraId="71C82106" w14:textId="77777777" w:rsidR="00C1528E" w:rsidRDefault="00C1528E" w:rsidP="002B55BD"/>
              </w:tc>
            </w:tr>
            <w:tr w:rsidR="00C1528E" w14:paraId="52E025F9" w14:textId="77777777" w:rsidTr="002B55BD">
              <w:trPr>
                <w:trHeight w:hRule="exact" w:val="712"/>
              </w:trPr>
              <w:tc>
                <w:tcPr>
                  <w:tcW w:w="540" w:type="dxa"/>
                  <w:tcBorders>
                    <w:top w:val="single" w:sz="4" w:space="0" w:color="auto"/>
                    <w:bottom w:val="nil"/>
                  </w:tcBorders>
                </w:tcPr>
                <w:p w14:paraId="314740E7" w14:textId="77777777" w:rsidR="00C1528E" w:rsidRDefault="00C1528E" w:rsidP="002B55BD">
                  <w:pPr>
                    <w:pStyle w:val="Footer"/>
                    <w:jc w:val="center"/>
                  </w:pPr>
                </w:p>
              </w:tc>
              <w:tc>
                <w:tcPr>
                  <w:tcW w:w="4500" w:type="dxa"/>
                  <w:tcBorders>
                    <w:top w:val="single" w:sz="4" w:space="0" w:color="auto"/>
                    <w:bottom w:val="nil"/>
                  </w:tcBorders>
                  <w:vAlign w:val="center"/>
                </w:tcPr>
                <w:p w14:paraId="1591B6C9" w14:textId="77777777" w:rsidR="00C1528E" w:rsidRDefault="00C1528E" w:rsidP="00C1528E">
                  <w:pPr>
                    <w:numPr>
                      <w:ilvl w:val="0"/>
                      <w:numId w:val="3"/>
                    </w:numPr>
                    <w:spacing w:after="0" w:line="240" w:lineRule="auto"/>
                  </w:pPr>
                  <w:r>
                    <w:t>Termination for cause/breach of contract.</w:t>
                  </w:r>
                </w:p>
              </w:tc>
              <w:tc>
                <w:tcPr>
                  <w:tcW w:w="690" w:type="dxa"/>
                  <w:tcBorders>
                    <w:top w:val="single" w:sz="4" w:space="0" w:color="auto"/>
                    <w:bottom w:val="nil"/>
                  </w:tcBorders>
                </w:tcPr>
                <w:p w14:paraId="121E00D5" w14:textId="77777777" w:rsidR="00C1528E" w:rsidRDefault="00C1528E" w:rsidP="002B55BD"/>
              </w:tc>
              <w:tc>
                <w:tcPr>
                  <w:tcW w:w="690" w:type="dxa"/>
                  <w:tcBorders>
                    <w:top w:val="single" w:sz="4" w:space="0" w:color="auto"/>
                    <w:bottom w:val="nil"/>
                  </w:tcBorders>
                </w:tcPr>
                <w:p w14:paraId="2412AD9E" w14:textId="77777777" w:rsidR="00C1528E" w:rsidRDefault="00C1528E" w:rsidP="002B55BD"/>
              </w:tc>
              <w:tc>
                <w:tcPr>
                  <w:tcW w:w="690" w:type="dxa"/>
                  <w:tcBorders>
                    <w:top w:val="single" w:sz="4" w:space="0" w:color="auto"/>
                    <w:bottom w:val="nil"/>
                  </w:tcBorders>
                </w:tcPr>
                <w:p w14:paraId="7B9B4FC0" w14:textId="77777777" w:rsidR="00C1528E" w:rsidRDefault="00C1528E" w:rsidP="002B55BD"/>
              </w:tc>
              <w:tc>
                <w:tcPr>
                  <w:tcW w:w="2160" w:type="dxa"/>
                  <w:tcBorders>
                    <w:top w:val="single" w:sz="4" w:space="0" w:color="auto"/>
                    <w:bottom w:val="nil"/>
                  </w:tcBorders>
                </w:tcPr>
                <w:p w14:paraId="104F7249" w14:textId="77777777" w:rsidR="00C1528E" w:rsidRDefault="00C1528E" w:rsidP="002B55BD"/>
              </w:tc>
            </w:tr>
            <w:tr w:rsidR="00C1528E" w14:paraId="13EF3C03" w14:textId="77777777" w:rsidTr="002B55BD">
              <w:trPr>
                <w:trHeight w:hRule="exact" w:val="442"/>
              </w:trPr>
              <w:tc>
                <w:tcPr>
                  <w:tcW w:w="540" w:type="dxa"/>
                  <w:tcBorders>
                    <w:bottom w:val="single" w:sz="4" w:space="0" w:color="auto"/>
                  </w:tcBorders>
                </w:tcPr>
                <w:p w14:paraId="7C1D97EC" w14:textId="77777777" w:rsidR="00C1528E" w:rsidRDefault="00C1528E" w:rsidP="002B55BD">
                  <w:pPr>
                    <w:jc w:val="center"/>
                  </w:pPr>
                </w:p>
              </w:tc>
              <w:tc>
                <w:tcPr>
                  <w:tcW w:w="4500" w:type="dxa"/>
                  <w:tcBorders>
                    <w:bottom w:val="single" w:sz="4" w:space="0" w:color="auto"/>
                  </w:tcBorders>
                  <w:vAlign w:val="center"/>
                </w:tcPr>
                <w:p w14:paraId="165A2A1B" w14:textId="77777777" w:rsidR="00C1528E" w:rsidRDefault="00C1528E" w:rsidP="00C1528E">
                  <w:pPr>
                    <w:numPr>
                      <w:ilvl w:val="0"/>
                      <w:numId w:val="3"/>
                    </w:numPr>
                    <w:spacing w:after="0" w:line="240" w:lineRule="auto"/>
                  </w:pPr>
                  <w:r>
                    <w:t>Termination for convenience.</w:t>
                  </w:r>
                </w:p>
                <w:p w14:paraId="1C0DFA8B" w14:textId="77777777" w:rsidR="00C1528E" w:rsidRDefault="00C1528E" w:rsidP="002B55BD"/>
              </w:tc>
              <w:tc>
                <w:tcPr>
                  <w:tcW w:w="690" w:type="dxa"/>
                  <w:tcBorders>
                    <w:bottom w:val="single" w:sz="4" w:space="0" w:color="auto"/>
                  </w:tcBorders>
                </w:tcPr>
                <w:p w14:paraId="5F516AD4" w14:textId="77777777" w:rsidR="00C1528E" w:rsidRDefault="00C1528E" w:rsidP="002B55BD"/>
              </w:tc>
              <w:tc>
                <w:tcPr>
                  <w:tcW w:w="690" w:type="dxa"/>
                  <w:tcBorders>
                    <w:bottom w:val="single" w:sz="4" w:space="0" w:color="auto"/>
                  </w:tcBorders>
                </w:tcPr>
                <w:p w14:paraId="517C3A08" w14:textId="77777777" w:rsidR="00C1528E" w:rsidRDefault="00C1528E" w:rsidP="002B55BD"/>
              </w:tc>
              <w:tc>
                <w:tcPr>
                  <w:tcW w:w="690" w:type="dxa"/>
                  <w:tcBorders>
                    <w:bottom w:val="single" w:sz="4" w:space="0" w:color="auto"/>
                  </w:tcBorders>
                </w:tcPr>
                <w:p w14:paraId="25CB17C7" w14:textId="77777777" w:rsidR="00C1528E" w:rsidRDefault="00C1528E" w:rsidP="002B55BD"/>
              </w:tc>
              <w:tc>
                <w:tcPr>
                  <w:tcW w:w="2160" w:type="dxa"/>
                  <w:tcBorders>
                    <w:bottom w:val="single" w:sz="4" w:space="0" w:color="auto"/>
                  </w:tcBorders>
                </w:tcPr>
                <w:p w14:paraId="7B5C0315" w14:textId="77777777" w:rsidR="00C1528E" w:rsidRDefault="00C1528E" w:rsidP="002B55BD"/>
              </w:tc>
            </w:tr>
            <w:tr w:rsidR="00C1528E" w14:paraId="2175C7EE" w14:textId="77777777" w:rsidTr="002B55BD">
              <w:trPr>
                <w:trHeight w:hRule="exact" w:val="910"/>
              </w:trPr>
              <w:tc>
                <w:tcPr>
                  <w:tcW w:w="540" w:type="dxa"/>
                  <w:tcBorders>
                    <w:top w:val="single" w:sz="4" w:space="0" w:color="auto"/>
                  </w:tcBorders>
                </w:tcPr>
                <w:p w14:paraId="5BDDEA79" w14:textId="77777777" w:rsidR="00C1528E" w:rsidRDefault="00C1528E" w:rsidP="002B55BD">
                  <w:pPr>
                    <w:pStyle w:val="Header"/>
                    <w:jc w:val="center"/>
                  </w:pPr>
                </w:p>
              </w:tc>
              <w:tc>
                <w:tcPr>
                  <w:tcW w:w="4500" w:type="dxa"/>
                  <w:tcBorders>
                    <w:top w:val="single" w:sz="4" w:space="0" w:color="auto"/>
                  </w:tcBorders>
                  <w:vAlign w:val="center"/>
                </w:tcPr>
                <w:p w14:paraId="6B790450" w14:textId="77777777" w:rsidR="00C1528E" w:rsidRDefault="00C1528E" w:rsidP="00C1528E">
                  <w:pPr>
                    <w:numPr>
                      <w:ilvl w:val="0"/>
                      <w:numId w:val="3"/>
                    </w:numPr>
                    <w:spacing w:after="0" w:line="240" w:lineRule="auto"/>
                  </w:pPr>
                  <w:r>
                    <w:t>Audits and inspection, access to records, and five year records retention clause.</w:t>
                  </w:r>
                </w:p>
              </w:tc>
              <w:tc>
                <w:tcPr>
                  <w:tcW w:w="690" w:type="dxa"/>
                  <w:tcBorders>
                    <w:top w:val="single" w:sz="4" w:space="0" w:color="auto"/>
                  </w:tcBorders>
                </w:tcPr>
                <w:p w14:paraId="1CA76188" w14:textId="77777777" w:rsidR="00C1528E" w:rsidRDefault="00C1528E" w:rsidP="002B55BD"/>
              </w:tc>
              <w:tc>
                <w:tcPr>
                  <w:tcW w:w="690" w:type="dxa"/>
                  <w:tcBorders>
                    <w:top w:val="single" w:sz="4" w:space="0" w:color="auto"/>
                  </w:tcBorders>
                </w:tcPr>
                <w:p w14:paraId="5C556A9B" w14:textId="77777777" w:rsidR="00C1528E" w:rsidRDefault="00C1528E" w:rsidP="002B55BD"/>
              </w:tc>
              <w:tc>
                <w:tcPr>
                  <w:tcW w:w="690" w:type="dxa"/>
                  <w:tcBorders>
                    <w:top w:val="single" w:sz="4" w:space="0" w:color="auto"/>
                  </w:tcBorders>
                </w:tcPr>
                <w:p w14:paraId="53E7B218" w14:textId="77777777" w:rsidR="00C1528E" w:rsidRDefault="00C1528E" w:rsidP="002B55BD"/>
              </w:tc>
              <w:tc>
                <w:tcPr>
                  <w:tcW w:w="2160" w:type="dxa"/>
                  <w:tcBorders>
                    <w:top w:val="single" w:sz="4" w:space="0" w:color="auto"/>
                  </w:tcBorders>
                </w:tcPr>
                <w:p w14:paraId="7AA8313C" w14:textId="77777777" w:rsidR="00C1528E" w:rsidRDefault="00C1528E" w:rsidP="002B55BD"/>
              </w:tc>
            </w:tr>
            <w:tr w:rsidR="00C1528E" w14:paraId="1EA5FBA3" w14:textId="77777777" w:rsidTr="002B55BD">
              <w:trPr>
                <w:trHeight w:hRule="exact" w:val="442"/>
              </w:trPr>
              <w:tc>
                <w:tcPr>
                  <w:tcW w:w="540" w:type="dxa"/>
                </w:tcPr>
                <w:p w14:paraId="3E83B620" w14:textId="77777777" w:rsidR="00C1528E" w:rsidRDefault="00C1528E" w:rsidP="002B55BD">
                  <w:pPr>
                    <w:jc w:val="center"/>
                  </w:pPr>
                </w:p>
              </w:tc>
              <w:tc>
                <w:tcPr>
                  <w:tcW w:w="4500" w:type="dxa"/>
                  <w:vAlign w:val="center"/>
                </w:tcPr>
                <w:p w14:paraId="5DEEBA19" w14:textId="77777777" w:rsidR="00C1528E" w:rsidRDefault="00C1528E" w:rsidP="00C1528E">
                  <w:pPr>
                    <w:numPr>
                      <w:ilvl w:val="0"/>
                      <w:numId w:val="3"/>
                    </w:numPr>
                    <w:spacing w:after="0" w:line="240" w:lineRule="auto"/>
                  </w:pPr>
                  <w:r>
                    <w:t>Title VI, Civil Rights Act of 1964.</w:t>
                  </w:r>
                </w:p>
                <w:p w14:paraId="2A662E12" w14:textId="77777777" w:rsidR="00C1528E" w:rsidRDefault="00C1528E" w:rsidP="002B55BD"/>
              </w:tc>
              <w:tc>
                <w:tcPr>
                  <w:tcW w:w="690" w:type="dxa"/>
                </w:tcPr>
                <w:p w14:paraId="2D022BFA" w14:textId="77777777" w:rsidR="00C1528E" w:rsidRDefault="00C1528E" w:rsidP="002B55BD"/>
              </w:tc>
              <w:tc>
                <w:tcPr>
                  <w:tcW w:w="690" w:type="dxa"/>
                </w:tcPr>
                <w:p w14:paraId="475DDB94" w14:textId="77777777" w:rsidR="00C1528E" w:rsidRDefault="00C1528E" w:rsidP="002B55BD"/>
              </w:tc>
              <w:tc>
                <w:tcPr>
                  <w:tcW w:w="690" w:type="dxa"/>
                </w:tcPr>
                <w:p w14:paraId="76BD9AB9" w14:textId="77777777" w:rsidR="00C1528E" w:rsidRDefault="00C1528E" w:rsidP="002B55BD"/>
              </w:tc>
              <w:tc>
                <w:tcPr>
                  <w:tcW w:w="2160" w:type="dxa"/>
                </w:tcPr>
                <w:p w14:paraId="62E5A2DE" w14:textId="77777777" w:rsidR="00C1528E" w:rsidRDefault="00C1528E" w:rsidP="002B55BD"/>
              </w:tc>
            </w:tr>
            <w:tr w:rsidR="00C1528E" w14:paraId="43C8368C" w14:textId="77777777" w:rsidTr="002B55BD">
              <w:trPr>
                <w:trHeight w:hRule="exact" w:val="451"/>
              </w:trPr>
              <w:tc>
                <w:tcPr>
                  <w:tcW w:w="540" w:type="dxa"/>
                </w:tcPr>
                <w:p w14:paraId="60B35FA6" w14:textId="77777777" w:rsidR="00C1528E" w:rsidRDefault="00C1528E" w:rsidP="002B55BD">
                  <w:pPr>
                    <w:jc w:val="center"/>
                  </w:pPr>
                </w:p>
              </w:tc>
              <w:tc>
                <w:tcPr>
                  <w:tcW w:w="4500" w:type="dxa"/>
                  <w:vAlign w:val="center"/>
                </w:tcPr>
                <w:p w14:paraId="5C694F6D" w14:textId="77777777" w:rsidR="00C1528E" w:rsidRDefault="00C1528E" w:rsidP="00C1528E">
                  <w:pPr>
                    <w:numPr>
                      <w:ilvl w:val="0"/>
                      <w:numId w:val="3"/>
                    </w:numPr>
                    <w:spacing w:after="0" w:line="240" w:lineRule="auto"/>
                  </w:pPr>
                  <w:r>
                    <w:t>Section 109, H&amp;CD Act of 1974.</w:t>
                  </w:r>
                </w:p>
                <w:p w14:paraId="4F18E68F" w14:textId="77777777" w:rsidR="00C1528E" w:rsidRDefault="00C1528E" w:rsidP="002B55BD"/>
              </w:tc>
              <w:tc>
                <w:tcPr>
                  <w:tcW w:w="690" w:type="dxa"/>
                </w:tcPr>
                <w:p w14:paraId="0951CD40" w14:textId="77777777" w:rsidR="00C1528E" w:rsidRDefault="00C1528E" w:rsidP="002B55BD"/>
              </w:tc>
              <w:tc>
                <w:tcPr>
                  <w:tcW w:w="690" w:type="dxa"/>
                </w:tcPr>
                <w:p w14:paraId="223BC6CD" w14:textId="77777777" w:rsidR="00C1528E" w:rsidRDefault="00C1528E" w:rsidP="002B55BD"/>
              </w:tc>
              <w:tc>
                <w:tcPr>
                  <w:tcW w:w="690" w:type="dxa"/>
                </w:tcPr>
                <w:p w14:paraId="6A4662F0" w14:textId="77777777" w:rsidR="00C1528E" w:rsidRDefault="00C1528E" w:rsidP="002B55BD"/>
              </w:tc>
              <w:tc>
                <w:tcPr>
                  <w:tcW w:w="2160" w:type="dxa"/>
                </w:tcPr>
                <w:p w14:paraId="294E816F" w14:textId="77777777" w:rsidR="00C1528E" w:rsidRDefault="00C1528E" w:rsidP="002B55BD"/>
              </w:tc>
            </w:tr>
            <w:tr w:rsidR="00C1528E" w14:paraId="009FD427" w14:textId="77777777" w:rsidTr="002B55BD">
              <w:trPr>
                <w:trHeight w:hRule="exact" w:val="361"/>
              </w:trPr>
              <w:tc>
                <w:tcPr>
                  <w:tcW w:w="540" w:type="dxa"/>
                  <w:tcBorders>
                    <w:top w:val="single" w:sz="4" w:space="0" w:color="auto"/>
                  </w:tcBorders>
                </w:tcPr>
                <w:p w14:paraId="72E16DAD" w14:textId="77777777" w:rsidR="00C1528E" w:rsidRDefault="00C1528E" w:rsidP="002B55BD">
                  <w:pPr>
                    <w:pStyle w:val="Header"/>
                    <w:jc w:val="center"/>
                  </w:pPr>
                </w:p>
              </w:tc>
              <w:tc>
                <w:tcPr>
                  <w:tcW w:w="4500" w:type="dxa"/>
                  <w:tcBorders>
                    <w:top w:val="single" w:sz="4" w:space="0" w:color="auto"/>
                  </w:tcBorders>
                  <w:vAlign w:val="center"/>
                </w:tcPr>
                <w:p w14:paraId="4D39775D" w14:textId="77777777" w:rsidR="00C1528E" w:rsidRDefault="00C1528E" w:rsidP="00C1528E">
                  <w:pPr>
                    <w:numPr>
                      <w:ilvl w:val="0"/>
                      <w:numId w:val="3"/>
                    </w:numPr>
                    <w:spacing w:after="0" w:line="240" w:lineRule="auto"/>
                  </w:pPr>
                  <w:r>
                    <w:t>Conflict of interest.</w:t>
                  </w:r>
                </w:p>
                <w:p w14:paraId="30A50BD2" w14:textId="77777777" w:rsidR="00C1528E" w:rsidRDefault="00C1528E" w:rsidP="002B55BD"/>
              </w:tc>
              <w:tc>
                <w:tcPr>
                  <w:tcW w:w="690" w:type="dxa"/>
                  <w:tcBorders>
                    <w:top w:val="single" w:sz="4" w:space="0" w:color="auto"/>
                  </w:tcBorders>
                </w:tcPr>
                <w:p w14:paraId="46C33362" w14:textId="77777777" w:rsidR="00C1528E" w:rsidRDefault="00C1528E" w:rsidP="002B55BD"/>
              </w:tc>
              <w:tc>
                <w:tcPr>
                  <w:tcW w:w="690" w:type="dxa"/>
                  <w:tcBorders>
                    <w:top w:val="single" w:sz="4" w:space="0" w:color="auto"/>
                  </w:tcBorders>
                </w:tcPr>
                <w:p w14:paraId="49970401" w14:textId="77777777" w:rsidR="00C1528E" w:rsidRDefault="00C1528E" w:rsidP="002B55BD"/>
              </w:tc>
              <w:tc>
                <w:tcPr>
                  <w:tcW w:w="690" w:type="dxa"/>
                  <w:tcBorders>
                    <w:top w:val="single" w:sz="4" w:space="0" w:color="auto"/>
                  </w:tcBorders>
                </w:tcPr>
                <w:p w14:paraId="41816631" w14:textId="77777777" w:rsidR="00C1528E" w:rsidRDefault="00C1528E" w:rsidP="002B55BD"/>
              </w:tc>
              <w:tc>
                <w:tcPr>
                  <w:tcW w:w="2160" w:type="dxa"/>
                  <w:tcBorders>
                    <w:top w:val="single" w:sz="4" w:space="0" w:color="auto"/>
                  </w:tcBorders>
                </w:tcPr>
                <w:p w14:paraId="1C3A38C0" w14:textId="77777777" w:rsidR="00C1528E" w:rsidRDefault="00C1528E" w:rsidP="002B55BD"/>
              </w:tc>
            </w:tr>
            <w:tr w:rsidR="00C1528E" w14:paraId="1108D5D8" w14:textId="77777777" w:rsidTr="002B55BD">
              <w:trPr>
                <w:trHeight w:hRule="exact" w:val="622"/>
              </w:trPr>
              <w:tc>
                <w:tcPr>
                  <w:tcW w:w="540" w:type="dxa"/>
                </w:tcPr>
                <w:p w14:paraId="0E9A8AB4" w14:textId="77777777" w:rsidR="00C1528E" w:rsidRDefault="00C1528E" w:rsidP="002B55BD">
                  <w:pPr>
                    <w:jc w:val="center"/>
                  </w:pPr>
                </w:p>
              </w:tc>
              <w:tc>
                <w:tcPr>
                  <w:tcW w:w="4500" w:type="dxa"/>
                  <w:vAlign w:val="center"/>
                </w:tcPr>
                <w:p w14:paraId="59C7C726" w14:textId="77777777" w:rsidR="00C1528E" w:rsidRDefault="00C1528E" w:rsidP="00C1528E">
                  <w:pPr>
                    <w:numPr>
                      <w:ilvl w:val="0"/>
                      <w:numId w:val="3"/>
                    </w:numPr>
                    <w:spacing w:after="0" w:line="240" w:lineRule="auto"/>
                  </w:pPr>
                  <w:r>
                    <w:t>Section 504 Rehabilitation Act of 1973.</w:t>
                  </w:r>
                </w:p>
                <w:p w14:paraId="602FE524" w14:textId="77777777" w:rsidR="00C1528E" w:rsidRDefault="00C1528E" w:rsidP="002B55BD"/>
              </w:tc>
              <w:tc>
                <w:tcPr>
                  <w:tcW w:w="690" w:type="dxa"/>
                </w:tcPr>
                <w:p w14:paraId="287680A1" w14:textId="77777777" w:rsidR="00C1528E" w:rsidRDefault="00C1528E" w:rsidP="002B55BD"/>
              </w:tc>
              <w:tc>
                <w:tcPr>
                  <w:tcW w:w="690" w:type="dxa"/>
                </w:tcPr>
                <w:p w14:paraId="65315F34" w14:textId="77777777" w:rsidR="00C1528E" w:rsidRDefault="00C1528E" w:rsidP="002B55BD"/>
              </w:tc>
              <w:tc>
                <w:tcPr>
                  <w:tcW w:w="690" w:type="dxa"/>
                </w:tcPr>
                <w:p w14:paraId="321E2901" w14:textId="77777777" w:rsidR="00C1528E" w:rsidRDefault="00C1528E" w:rsidP="002B55BD"/>
              </w:tc>
              <w:tc>
                <w:tcPr>
                  <w:tcW w:w="2160" w:type="dxa"/>
                </w:tcPr>
                <w:p w14:paraId="4A17E068" w14:textId="77777777" w:rsidR="00C1528E" w:rsidRDefault="00C1528E" w:rsidP="002B55BD"/>
              </w:tc>
            </w:tr>
            <w:tr w:rsidR="00C1528E" w14:paraId="179CA746" w14:textId="77777777" w:rsidTr="002B55BD">
              <w:trPr>
                <w:trHeight w:hRule="exact" w:val="541"/>
              </w:trPr>
              <w:tc>
                <w:tcPr>
                  <w:tcW w:w="540" w:type="dxa"/>
                </w:tcPr>
                <w:p w14:paraId="1B006DB4" w14:textId="77777777" w:rsidR="00C1528E" w:rsidRDefault="00C1528E" w:rsidP="002B55BD">
                  <w:pPr>
                    <w:jc w:val="center"/>
                  </w:pPr>
                </w:p>
              </w:tc>
              <w:tc>
                <w:tcPr>
                  <w:tcW w:w="4500" w:type="dxa"/>
                  <w:vAlign w:val="center"/>
                </w:tcPr>
                <w:p w14:paraId="7A7D48A3" w14:textId="77777777" w:rsidR="00C1528E" w:rsidRDefault="00C1528E" w:rsidP="00C1528E">
                  <w:pPr>
                    <w:numPr>
                      <w:ilvl w:val="0"/>
                      <w:numId w:val="3"/>
                    </w:numPr>
                    <w:spacing w:after="0" w:line="240" w:lineRule="auto"/>
                  </w:pPr>
                  <w:r>
                    <w:t>Age Discrimination Act of 1975.</w:t>
                  </w:r>
                </w:p>
              </w:tc>
              <w:tc>
                <w:tcPr>
                  <w:tcW w:w="690" w:type="dxa"/>
                </w:tcPr>
                <w:p w14:paraId="33588289" w14:textId="77777777" w:rsidR="00C1528E" w:rsidRDefault="00C1528E" w:rsidP="002B55BD"/>
              </w:tc>
              <w:tc>
                <w:tcPr>
                  <w:tcW w:w="690" w:type="dxa"/>
                </w:tcPr>
                <w:p w14:paraId="65949C35" w14:textId="77777777" w:rsidR="00C1528E" w:rsidRDefault="00C1528E" w:rsidP="002B55BD"/>
              </w:tc>
              <w:tc>
                <w:tcPr>
                  <w:tcW w:w="690" w:type="dxa"/>
                </w:tcPr>
                <w:p w14:paraId="11398050" w14:textId="77777777" w:rsidR="00C1528E" w:rsidRDefault="00C1528E" w:rsidP="002B55BD"/>
              </w:tc>
              <w:tc>
                <w:tcPr>
                  <w:tcW w:w="2160" w:type="dxa"/>
                </w:tcPr>
                <w:p w14:paraId="65FC357B" w14:textId="77777777" w:rsidR="00C1528E" w:rsidRDefault="00C1528E" w:rsidP="002B55BD"/>
              </w:tc>
            </w:tr>
            <w:tr w:rsidR="00C1528E" w14:paraId="45C8A89C" w14:textId="77777777" w:rsidTr="002B55BD">
              <w:trPr>
                <w:trHeight w:hRule="exact" w:val="442"/>
              </w:trPr>
              <w:tc>
                <w:tcPr>
                  <w:tcW w:w="540" w:type="dxa"/>
                </w:tcPr>
                <w:p w14:paraId="6FC9D802" w14:textId="77777777" w:rsidR="00C1528E" w:rsidRDefault="00C1528E" w:rsidP="002B55BD">
                  <w:pPr>
                    <w:jc w:val="center"/>
                  </w:pPr>
                </w:p>
              </w:tc>
              <w:tc>
                <w:tcPr>
                  <w:tcW w:w="4500" w:type="dxa"/>
                  <w:vAlign w:val="center"/>
                </w:tcPr>
                <w:p w14:paraId="2D70ABAE" w14:textId="77777777" w:rsidR="00C1528E" w:rsidRDefault="00C1528E" w:rsidP="00C1528E">
                  <w:pPr>
                    <w:numPr>
                      <w:ilvl w:val="0"/>
                      <w:numId w:val="4"/>
                    </w:numPr>
                    <w:spacing w:after="0" w:line="240" w:lineRule="auto"/>
                  </w:pPr>
                  <w:r>
                    <w:t>“Section 3” Compliance.</w:t>
                  </w:r>
                </w:p>
              </w:tc>
              <w:tc>
                <w:tcPr>
                  <w:tcW w:w="690" w:type="dxa"/>
                </w:tcPr>
                <w:p w14:paraId="5676FBDD" w14:textId="77777777" w:rsidR="00C1528E" w:rsidRDefault="00C1528E" w:rsidP="002B55BD"/>
              </w:tc>
              <w:tc>
                <w:tcPr>
                  <w:tcW w:w="690" w:type="dxa"/>
                </w:tcPr>
                <w:p w14:paraId="2DA93C55" w14:textId="77777777" w:rsidR="00C1528E" w:rsidRDefault="00C1528E" w:rsidP="002B55BD"/>
              </w:tc>
              <w:tc>
                <w:tcPr>
                  <w:tcW w:w="690" w:type="dxa"/>
                </w:tcPr>
                <w:p w14:paraId="507C43B2" w14:textId="77777777" w:rsidR="00C1528E" w:rsidRDefault="00C1528E" w:rsidP="002B55BD"/>
              </w:tc>
              <w:tc>
                <w:tcPr>
                  <w:tcW w:w="2160" w:type="dxa"/>
                </w:tcPr>
                <w:p w14:paraId="4A3DF40E" w14:textId="77777777" w:rsidR="00C1528E" w:rsidRDefault="00C1528E" w:rsidP="002B55BD"/>
              </w:tc>
            </w:tr>
            <w:tr w:rsidR="00C1528E" w14:paraId="06346577" w14:textId="77777777" w:rsidTr="002B55BD">
              <w:trPr>
                <w:trHeight w:hRule="exact" w:val="532"/>
              </w:trPr>
              <w:tc>
                <w:tcPr>
                  <w:tcW w:w="540" w:type="dxa"/>
                </w:tcPr>
                <w:p w14:paraId="3DF93540" w14:textId="77777777" w:rsidR="00C1528E" w:rsidRDefault="00C1528E" w:rsidP="002B55BD">
                  <w:pPr>
                    <w:jc w:val="center"/>
                  </w:pPr>
                </w:p>
              </w:tc>
              <w:tc>
                <w:tcPr>
                  <w:tcW w:w="4500" w:type="dxa"/>
                  <w:vAlign w:val="center"/>
                </w:tcPr>
                <w:p w14:paraId="1C7CA428" w14:textId="77777777" w:rsidR="00C1528E" w:rsidRDefault="00C1528E" w:rsidP="00C1528E">
                  <w:pPr>
                    <w:numPr>
                      <w:ilvl w:val="0"/>
                      <w:numId w:val="3"/>
                    </w:numPr>
                    <w:spacing w:after="0" w:line="240" w:lineRule="auto"/>
                  </w:pPr>
                  <w:r>
                    <w:t>Section 3 Plan.</w:t>
                  </w:r>
                </w:p>
              </w:tc>
              <w:tc>
                <w:tcPr>
                  <w:tcW w:w="690" w:type="dxa"/>
                </w:tcPr>
                <w:p w14:paraId="74B24614" w14:textId="77777777" w:rsidR="00C1528E" w:rsidRDefault="00C1528E" w:rsidP="002B55BD"/>
              </w:tc>
              <w:tc>
                <w:tcPr>
                  <w:tcW w:w="690" w:type="dxa"/>
                </w:tcPr>
                <w:p w14:paraId="76376C44" w14:textId="77777777" w:rsidR="00C1528E" w:rsidRDefault="00C1528E" w:rsidP="002B55BD"/>
              </w:tc>
              <w:tc>
                <w:tcPr>
                  <w:tcW w:w="690" w:type="dxa"/>
                </w:tcPr>
                <w:p w14:paraId="47416869" w14:textId="77777777" w:rsidR="00C1528E" w:rsidRDefault="00C1528E" w:rsidP="002B55BD"/>
              </w:tc>
              <w:tc>
                <w:tcPr>
                  <w:tcW w:w="2160" w:type="dxa"/>
                </w:tcPr>
                <w:p w14:paraId="334F59CA" w14:textId="77777777" w:rsidR="00C1528E" w:rsidRDefault="00C1528E" w:rsidP="002B55BD"/>
              </w:tc>
            </w:tr>
            <w:tr w:rsidR="00C1528E" w14:paraId="068B3B3C" w14:textId="77777777" w:rsidTr="002B55BD">
              <w:trPr>
                <w:trHeight w:hRule="exact" w:val="1135"/>
              </w:trPr>
              <w:tc>
                <w:tcPr>
                  <w:tcW w:w="540" w:type="dxa"/>
                </w:tcPr>
                <w:p w14:paraId="232539DC" w14:textId="77777777" w:rsidR="00C1528E" w:rsidRDefault="00C1528E" w:rsidP="002B55BD">
                  <w:pPr>
                    <w:jc w:val="center"/>
                  </w:pPr>
                </w:p>
              </w:tc>
              <w:tc>
                <w:tcPr>
                  <w:tcW w:w="4500" w:type="dxa"/>
                  <w:vAlign w:val="center"/>
                </w:tcPr>
                <w:p w14:paraId="6629662A" w14:textId="77777777" w:rsidR="00C1528E" w:rsidRDefault="00C1528E" w:rsidP="00C1528E">
                  <w:pPr>
                    <w:numPr>
                      <w:ilvl w:val="0"/>
                      <w:numId w:val="3"/>
                    </w:numPr>
                    <w:spacing w:after="0" w:line="240" w:lineRule="auto"/>
                  </w:pPr>
                  <w:r>
                    <w:t>Executive Order 11246 and E.O. clause (for contractors with more than 50 employees and contracts over $10,000).</w:t>
                  </w:r>
                </w:p>
              </w:tc>
              <w:tc>
                <w:tcPr>
                  <w:tcW w:w="690" w:type="dxa"/>
                </w:tcPr>
                <w:p w14:paraId="5D4150C4" w14:textId="77777777" w:rsidR="00C1528E" w:rsidRDefault="00C1528E" w:rsidP="002B55BD"/>
              </w:tc>
              <w:tc>
                <w:tcPr>
                  <w:tcW w:w="690" w:type="dxa"/>
                </w:tcPr>
                <w:p w14:paraId="2DC4648B" w14:textId="77777777" w:rsidR="00C1528E" w:rsidRDefault="00C1528E" w:rsidP="002B55BD"/>
              </w:tc>
              <w:tc>
                <w:tcPr>
                  <w:tcW w:w="690" w:type="dxa"/>
                </w:tcPr>
                <w:p w14:paraId="6251ED34" w14:textId="77777777" w:rsidR="00C1528E" w:rsidRDefault="00C1528E" w:rsidP="002B55BD"/>
              </w:tc>
              <w:tc>
                <w:tcPr>
                  <w:tcW w:w="2160" w:type="dxa"/>
                </w:tcPr>
                <w:p w14:paraId="7C05D361" w14:textId="77777777" w:rsidR="00C1528E" w:rsidRDefault="00C1528E" w:rsidP="002B55BD"/>
              </w:tc>
            </w:tr>
            <w:tr w:rsidR="00C1528E" w14:paraId="5CB40AC2" w14:textId="77777777" w:rsidTr="002B55BD">
              <w:trPr>
                <w:trHeight w:hRule="exact" w:val="811"/>
              </w:trPr>
              <w:tc>
                <w:tcPr>
                  <w:tcW w:w="540" w:type="dxa"/>
                </w:tcPr>
                <w:p w14:paraId="266C1E2D" w14:textId="77777777" w:rsidR="00C1528E" w:rsidRDefault="00C1528E" w:rsidP="002B55BD">
                  <w:pPr>
                    <w:jc w:val="center"/>
                  </w:pPr>
                </w:p>
              </w:tc>
              <w:tc>
                <w:tcPr>
                  <w:tcW w:w="4500" w:type="dxa"/>
                  <w:vAlign w:val="center"/>
                </w:tcPr>
                <w:p w14:paraId="1CCE72BA" w14:textId="77777777" w:rsidR="00C1528E" w:rsidRDefault="00C1528E" w:rsidP="00C1528E">
                  <w:pPr>
                    <w:numPr>
                      <w:ilvl w:val="0"/>
                      <w:numId w:val="3"/>
                    </w:numPr>
                    <w:spacing w:after="0" w:line="240" w:lineRule="auto"/>
                  </w:pPr>
                  <w:r>
                    <w:t xml:space="preserve">Section 402 of the 1974 </w:t>
                  </w:r>
                  <w:smartTag w:uri="urn:schemas-microsoft-com:office:smarttags" w:element="country-region">
                    <w:smartTag w:uri="urn:schemas-microsoft-com:office:smarttags" w:element="place">
                      <w:r>
                        <w:t>Vietnam</w:t>
                      </w:r>
                    </w:smartTag>
                  </w:smartTag>
                  <w:r>
                    <w:t xml:space="preserve">     Veterans Act ($10,000 or more).</w:t>
                  </w:r>
                </w:p>
              </w:tc>
              <w:tc>
                <w:tcPr>
                  <w:tcW w:w="690" w:type="dxa"/>
                </w:tcPr>
                <w:p w14:paraId="3713FCE6" w14:textId="77777777" w:rsidR="00C1528E" w:rsidRDefault="00C1528E" w:rsidP="002B55BD"/>
              </w:tc>
              <w:tc>
                <w:tcPr>
                  <w:tcW w:w="690" w:type="dxa"/>
                </w:tcPr>
                <w:p w14:paraId="14D9C74B" w14:textId="77777777" w:rsidR="00C1528E" w:rsidRDefault="00C1528E" w:rsidP="002B55BD"/>
              </w:tc>
              <w:tc>
                <w:tcPr>
                  <w:tcW w:w="690" w:type="dxa"/>
                </w:tcPr>
                <w:p w14:paraId="01BF4385" w14:textId="77777777" w:rsidR="00C1528E" w:rsidRDefault="00C1528E" w:rsidP="002B55BD"/>
              </w:tc>
              <w:tc>
                <w:tcPr>
                  <w:tcW w:w="2160" w:type="dxa"/>
                </w:tcPr>
                <w:p w14:paraId="218DEC6E" w14:textId="77777777" w:rsidR="00C1528E" w:rsidRDefault="00C1528E" w:rsidP="002B55BD"/>
              </w:tc>
            </w:tr>
            <w:tr w:rsidR="00C1528E" w14:paraId="6CC6FA30" w14:textId="77777777" w:rsidTr="002B55BD">
              <w:trPr>
                <w:trHeight w:hRule="exact" w:val="1252"/>
              </w:trPr>
              <w:tc>
                <w:tcPr>
                  <w:tcW w:w="540" w:type="dxa"/>
                  <w:tcBorders>
                    <w:top w:val="single" w:sz="4" w:space="0" w:color="auto"/>
                    <w:left w:val="single" w:sz="4" w:space="0" w:color="auto"/>
                    <w:bottom w:val="single" w:sz="4" w:space="0" w:color="auto"/>
                    <w:right w:val="single" w:sz="4" w:space="0" w:color="auto"/>
                  </w:tcBorders>
                </w:tcPr>
                <w:p w14:paraId="020D9A4F" w14:textId="77777777" w:rsidR="00C1528E" w:rsidRPr="00613A07" w:rsidRDefault="00C1528E" w:rsidP="002B55BD">
                  <w:pPr>
                    <w:jc w:val="center"/>
                  </w:pPr>
                  <w:r>
                    <w:lastRenderedPageBreak/>
                    <w:t>H.</w:t>
                  </w:r>
                </w:p>
              </w:tc>
              <w:tc>
                <w:tcPr>
                  <w:tcW w:w="4500" w:type="dxa"/>
                  <w:tcBorders>
                    <w:top w:val="single" w:sz="4" w:space="0" w:color="auto"/>
                    <w:left w:val="single" w:sz="4" w:space="0" w:color="auto"/>
                    <w:bottom w:val="single" w:sz="4" w:space="0" w:color="auto"/>
                    <w:right w:val="single" w:sz="4" w:space="0" w:color="auto"/>
                  </w:tcBorders>
                  <w:vAlign w:val="center"/>
                </w:tcPr>
                <w:p w14:paraId="5EE57667" w14:textId="77777777" w:rsidR="00C1528E" w:rsidRDefault="00C1528E" w:rsidP="002B55BD">
                  <w:pPr>
                    <w:tabs>
                      <w:tab w:val="num" w:pos="0"/>
                    </w:tabs>
                  </w:pPr>
                  <w:r>
                    <w:t>Was the Beason-Hammon Clause included in each of the contracts? (Any contract or amendment with an effective date of 4/1/12 or later.)</w:t>
                  </w:r>
                </w:p>
                <w:p w14:paraId="23FC45FB" w14:textId="77777777" w:rsidR="00C1528E" w:rsidRDefault="00C1528E" w:rsidP="002B55BD">
                  <w:pPr>
                    <w:tabs>
                      <w:tab w:val="num" w:pos="0"/>
                    </w:tabs>
                  </w:pPr>
                </w:p>
                <w:p w14:paraId="201582A1" w14:textId="77777777" w:rsidR="00C1528E" w:rsidRDefault="00C1528E" w:rsidP="002B55BD">
                  <w:pPr>
                    <w:tabs>
                      <w:tab w:val="num" w:pos="0"/>
                    </w:tabs>
                  </w:pPr>
                </w:p>
              </w:tc>
              <w:tc>
                <w:tcPr>
                  <w:tcW w:w="690" w:type="dxa"/>
                  <w:tcBorders>
                    <w:top w:val="single" w:sz="4" w:space="0" w:color="auto"/>
                    <w:left w:val="single" w:sz="4" w:space="0" w:color="auto"/>
                    <w:bottom w:val="single" w:sz="4" w:space="0" w:color="auto"/>
                    <w:right w:val="single" w:sz="4" w:space="0" w:color="auto"/>
                  </w:tcBorders>
                </w:tcPr>
                <w:p w14:paraId="74412929" w14:textId="77777777" w:rsidR="00C1528E" w:rsidRDefault="00C1528E" w:rsidP="002B55BD"/>
              </w:tc>
              <w:tc>
                <w:tcPr>
                  <w:tcW w:w="690" w:type="dxa"/>
                  <w:tcBorders>
                    <w:top w:val="single" w:sz="4" w:space="0" w:color="auto"/>
                    <w:left w:val="single" w:sz="4" w:space="0" w:color="auto"/>
                    <w:bottom w:val="single" w:sz="4" w:space="0" w:color="auto"/>
                    <w:right w:val="single" w:sz="4" w:space="0" w:color="auto"/>
                  </w:tcBorders>
                </w:tcPr>
                <w:p w14:paraId="02D4FF76" w14:textId="77777777" w:rsidR="00C1528E" w:rsidRDefault="00C1528E" w:rsidP="002B55BD"/>
              </w:tc>
              <w:tc>
                <w:tcPr>
                  <w:tcW w:w="690" w:type="dxa"/>
                  <w:tcBorders>
                    <w:top w:val="single" w:sz="4" w:space="0" w:color="auto"/>
                    <w:left w:val="single" w:sz="4" w:space="0" w:color="auto"/>
                    <w:bottom w:val="single" w:sz="4" w:space="0" w:color="auto"/>
                    <w:right w:val="single" w:sz="4" w:space="0" w:color="auto"/>
                  </w:tcBorders>
                </w:tcPr>
                <w:p w14:paraId="40590532" w14:textId="77777777" w:rsidR="00C1528E" w:rsidRDefault="00C1528E" w:rsidP="002B55BD"/>
              </w:tc>
              <w:tc>
                <w:tcPr>
                  <w:tcW w:w="2160" w:type="dxa"/>
                  <w:tcBorders>
                    <w:top w:val="single" w:sz="4" w:space="0" w:color="auto"/>
                    <w:left w:val="single" w:sz="4" w:space="0" w:color="auto"/>
                    <w:bottom w:val="single" w:sz="4" w:space="0" w:color="auto"/>
                    <w:right w:val="single" w:sz="4" w:space="0" w:color="auto"/>
                  </w:tcBorders>
                </w:tcPr>
                <w:p w14:paraId="322912E7" w14:textId="77777777" w:rsidR="00C1528E" w:rsidRDefault="00C1528E" w:rsidP="002B55BD"/>
              </w:tc>
            </w:tr>
            <w:tr w:rsidR="00C1528E" w14:paraId="3B38F196" w14:textId="77777777" w:rsidTr="002B55BD">
              <w:trPr>
                <w:trHeight w:hRule="exact" w:val="1990"/>
              </w:trPr>
              <w:tc>
                <w:tcPr>
                  <w:tcW w:w="540" w:type="dxa"/>
                  <w:tcBorders>
                    <w:top w:val="single" w:sz="4" w:space="0" w:color="auto"/>
                    <w:left w:val="single" w:sz="4" w:space="0" w:color="auto"/>
                    <w:bottom w:val="single" w:sz="4" w:space="0" w:color="auto"/>
                    <w:right w:val="single" w:sz="4" w:space="0" w:color="auto"/>
                  </w:tcBorders>
                </w:tcPr>
                <w:p w14:paraId="2878EE36" w14:textId="77777777" w:rsidR="00C1528E" w:rsidRPr="00613A07" w:rsidRDefault="00C1528E" w:rsidP="002B55BD">
                  <w:pPr>
                    <w:jc w:val="center"/>
                  </w:pPr>
                  <w:r>
                    <w:t>I</w:t>
                  </w:r>
                  <w:r w:rsidRPr="00613A07">
                    <w:t>.</w:t>
                  </w:r>
                </w:p>
              </w:tc>
              <w:tc>
                <w:tcPr>
                  <w:tcW w:w="4500" w:type="dxa"/>
                  <w:tcBorders>
                    <w:top w:val="single" w:sz="4" w:space="0" w:color="auto"/>
                    <w:left w:val="single" w:sz="4" w:space="0" w:color="auto"/>
                    <w:bottom w:val="single" w:sz="4" w:space="0" w:color="auto"/>
                    <w:right w:val="single" w:sz="4" w:space="0" w:color="auto"/>
                  </w:tcBorders>
                  <w:vAlign w:val="center"/>
                </w:tcPr>
                <w:p w14:paraId="42576150" w14:textId="77777777" w:rsidR="00C1528E" w:rsidRDefault="00C1528E" w:rsidP="002B55BD">
                  <w:pPr>
                    <w:tabs>
                      <w:tab w:val="num" w:pos="0"/>
                    </w:tabs>
                  </w:pPr>
                  <w:r>
                    <w:t>Did the grantee maintain a copy of the Certification of Compliance with the Beason-Hammon Act and the E-Verify MOU for each of the contracts in the CDBG Program Files? (Any contract or amendment with an effective date of 4/1/12 or later.)</w:t>
                  </w:r>
                </w:p>
                <w:p w14:paraId="2D3D0FC8" w14:textId="77777777" w:rsidR="00C1528E" w:rsidRDefault="00C1528E" w:rsidP="002B55BD">
                  <w:pPr>
                    <w:tabs>
                      <w:tab w:val="num" w:pos="0"/>
                    </w:tabs>
                  </w:pPr>
                </w:p>
                <w:p w14:paraId="1A933DB5" w14:textId="77777777" w:rsidR="00C1528E" w:rsidRDefault="00C1528E" w:rsidP="002B55BD">
                  <w:pPr>
                    <w:tabs>
                      <w:tab w:val="num" w:pos="0"/>
                    </w:tabs>
                  </w:pPr>
                </w:p>
                <w:p w14:paraId="1DB2F843" w14:textId="77777777" w:rsidR="00C1528E" w:rsidRDefault="00C1528E" w:rsidP="002B55BD">
                  <w:pPr>
                    <w:tabs>
                      <w:tab w:val="num" w:pos="0"/>
                    </w:tabs>
                  </w:pPr>
                </w:p>
              </w:tc>
              <w:tc>
                <w:tcPr>
                  <w:tcW w:w="690" w:type="dxa"/>
                  <w:tcBorders>
                    <w:top w:val="single" w:sz="4" w:space="0" w:color="auto"/>
                    <w:left w:val="single" w:sz="4" w:space="0" w:color="auto"/>
                    <w:bottom w:val="single" w:sz="4" w:space="0" w:color="auto"/>
                    <w:right w:val="single" w:sz="4" w:space="0" w:color="auto"/>
                  </w:tcBorders>
                </w:tcPr>
                <w:p w14:paraId="75EADBF5" w14:textId="77777777" w:rsidR="00C1528E" w:rsidRDefault="00C1528E" w:rsidP="002B55BD"/>
              </w:tc>
              <w:tc>
                <w:tcPr>
                  <w:tcW w:w="690" w:type="dxa"/>
                  <w:tcBorders>
                    <w:top w:val="single" w:sz="4" w:space="0" w:color="auto"/>
                    <w:left w:val="single" w:sz="4" w:space="0" w:color="auto"/>
                    <w:bottom w:val="single" w:sz="4" w:space="0" w:color="auto"/>
                    <w:right w:val="single" w:sz="4" w:space="0" w:color="auto"/>
                  </w:tcBorders>
                </w:tcPr>
                <w:p w14:paraId="4E0539FE" w14:textId="77777777" w:rsidR="00C1528E" w:rsidRDefault="00C1528E" w:rsidP="002B55BD"/>
              </w:tc>
              <w:tc>
                <w:tcPr>
                  <w:tcW w:w="690" w:type="dxa"/>
                  <w:tcBorders>
                    <w:top w:val="single" w:sz="4" w:space="0" w:color="auto"/>
                    <w:left w:val="single" w:sz="4" w:space="0" w:color="auto"/>
                    <w:bottom w:val="single" w:sz="4" w:space="0" w:color="auto"/>
                    <w:right w:val="single" w:sz="4" w:space="0" w:color="auto"/>
                  </w:tcBorders>
                </w:tcPr>
                <w:p w14:paraId="398EA602" w14:textId="77777777" w:rsidR="00C1528E" w:rsidRDefault="00C1528E" w:rsidP="002B55BD"/>
              </w:tc>
              <w:tc>
                <w:tcPr>
                  <w:tcW w:w="2160" w:type="dxa"/>
                  <w:tcBorders>
                    <w:top w:val="single" w:sz="4" w:space="0" w:color="auto"/>
                    <w:left w:val="single" w:sz="4" w:space="0" w:color="auto"/>
                    <w:bottom w:val="single" w:sz="4" w:space="0" w:color="auto"/>
                    <w:right w:val="single" w:sz="4" w:space="0" w:color="auto"/>
                  </w:tcBorders>
                </w:tcPr>
                <w:p w14:paraId="3083614F" w14:textId="77777777" w:rsidR="00C1528E" w:rsidRDefault="00C1528E" w:rsidP="002B55BD"/>
              </w:tc>
            </w:tr>
          </w:tbl>
          <w:p w14:paraId="0BB64653" w14:textId="77777777" w:rsidR="00C1528E" w:rsidRDefault="00C1528E" w:rsidP="002B55BD">
            <w:pPr>
              <w:rPr>
                <w:rFonts w:ascii="Times New Roman" w:eastAsia="Garamond" w:hAnsi="Times New Roman" w:cs="Times New Roman"/>
                <w:b/>
                <w:bCs/>
                <w:spacing w:val="-3"/>
                <w:position w:val="1"/>
                <w:sz w:val="24"/>
                <w:szCs w:val="24"/>
              </w:rPr>
            </w:pPr>
          </w:p>
        </w:tc>
      </w:tr>
    </w:tbl>
    <w:p w14:paraId="2D8E304A" w14:textId="44D8EE29" w:rsidR="00C1528E" w:rsidRDefault="00C1528E" w:rsidP="00965655">
      <w:pPr>
        <w:spacing w:line="240" w:lineRule="auto"/>
        <w:rPr>
          <w:rFonts w:ascii="Times New Roman" w:eastAsia="Garamond" w:hAnsi="Times New Roman" w:cs="Times New Roman"/>
          <w:b/>
          <w:bCs/>
          <w:spacing w:val="-3"/>
          <w:position w:val="1"/>
          <w:sz w:val="24"/>
          <w:szCs w:val="24"/>
        </w:rPr>
      </w:pPr>
    </w:p>
    <w:p w14:paraId="51356B4B" w14:textId="0961F244" w:rsidR="00965655" w:rsidRDefault="00965655" w:rsidP="00965655">
      <w:pPr>
        <w:spacing w:line="240" w:lineRule="auto"/>
        <w:rPr>
          <w:rFonts w:ascii="Times New Roman" w:eastAsia="Garamond" w:hAnsi="Times New Roman" w:cs="Times New Roman"/>
          <w:b/>
          <w:bCs/>
          <w:spacing w:val="-3"/>
          <w:position w:val="1"/>
          <w:sz w:val="24"/>
          <w:szCs w:val="24"/>
        </w:rPr>
      </w:pPr>
    </w:p>
    <w:p w14:paraId="0C74E311" w14:textId="77777777" w:rsidR="00C1528E" w:rsidRDefault="00C1528E" w:rsidP="00C1528E">
      <w:pPr>
        <w:spacing w:line="240" w:lineRule="auto"/>
        <w:ind w:firstLine="720"/>
        <w:rPr>
          <w:rFonts w:ascii="Times New Roman" w:eastAsia="Garamond" w:hAnsi="Times New Roman" w:cs="Times New Roman"/>
          <w:b/>
          <w:bCs/>
          <w:spacing w:val="-3"/>
          <w:position w:val="1"/>
          <w:sz w:val="24"/>
          <w:szCs w:val="24"/>
        </w:rPr>
      </w:pPr>
      <w:r>
        <w:rPr>
          <w:rFonts w:ascii="Times New Roman" w:eastAsia="Garamond" w:hAnsi="Times New Roman" w:cs="Times New Roman"/>
          <w:b/>
          <w:bCs/>
          <w:spacing w:val="-3"/>
          <w:position w:val="1"/>
          <w:sz w:val="24"/>
          <w:szCs w:val="24"/>
        </w:rPr>
        <w:tab/>
        <w:t xml:space="preserve">     B</w:t>
      </w:r>
      <w:r w:rsidRPr="00CD6F62">
        <w:rPr>
          <w:rFonts w:ascii="Times New Roman" w:eastAsia="Garamond" w:hAnsi="Times New Roman" w:cs="Times New Roman"/>
          <w:b/>
          <w:bCs/>
          <w:spacing w:val="-3"/>
          <w:position w:val="1"/>
          <w:sz w:val="24"/>
          <w:szCs w:val="24"/>
        </w:rPr>
        <w:t>idding and Contracting – Construction Monitoring Checklist</w:t>
      </w:r>
    </w:p>
    <w:tbl>
      <w:tblPr>
        <w:tblStyle w:val="TableGrid"/>
        <w:tblW w:w="0" w:type="auto"/>
        <w:tblLook w:val="04A0" w:firstRow="1" w:lastRow="0" w:firstColumn="1" w:lastColumn="0" w:noHBand="0" w:noVBand="1"/>
      </w:tblPr>
      <w:tblGrid>
        <w:gridCol w:w="9350"/>
      </w:tblGrid>
      <w:tr w:rsidR="00C1528E" w14:paraId="7A80B3FE" w14:textId="77777777" w:rsidTr="002B55BD">
        <w:tc>
          <w:tcPr>
            <w:tcW w:w="9350"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C1528E" w14:paraId="0CBF62CF" w14:textId="77777777" w:rsidTr="002B55BD">
              <w:trPr>
                <w:trHeight w:hRule="exact" w:val="400"/>
              </w:trPr>
              <w:tc>
                <w:tcPr>
                  <w:tcW w:w="3330" w:type="dxa"/>
                  <w:tcBorders>
                    <w:top w:val="nil"/>
                    <w:left w:val="nil"/>
                    <w:bottom w:val="nil"/>
                    <w:right w:val="nil"/>
                  </w:tcBorders>
                  <w:vAlign w:val="bottom"/>
                </w:tcPr>
                <w:p w14:paraId="7B37B992" w14:textId="77777777" w:rsidR="00C1528E" w:rsidRDefault="00C1528E" w:rsidP="002B55BD">
                  <w:pPr>
                    <w:pStyle w:val="Footer"/>
                  </w:pPr>
                  <w:r>
                    <w:t>Grantee Name</w:t>
                  </w:r>
                </w:p>
              </w:tc>
              <w:tc>
                <w:tcPr>
                  <w:tcW w:w="3780" w:type="dxa"/>
                  <w:tcBorders>
                    <w:top w:val="nil"/>
                    <w:left w:val="nil"/>
                    <w:bottom w:val="single" w:sz="4" w:space="0" w:color="auto"/>
                    <w:right w:val="nil"/>
                  </w:tcBorders>
                </w:tcPr>
                <w:p w14:paraId="23D7114C" w14:textId="77777777" w:rsidR="00C1528E" w:rsidRDefault="00C1528E" w:rsidP="002B55BD">
                  <w:pPr>
                    <w:pStyle w:val="Footer"/>
                  </w:pPr>
                </w:p>
              </w:tc>
            </w:tr>
            <w:tr w:rsidR="00C1528E" w14:paraId="71753329" w14:textId="77777777" w:rsidTr="002B55BD">
              <w:trPr>
                <w:trHeight w:hRule="exact" w:val="400"/>
              </w:trPr>
              <w:tc>
                <w:tcPr>
                  <w:tcW w:w="3330" w:type="dxa"/>
                  <w:tcBorders>
                    <w:top w:val="nil"/>
                    <w:left w:val="nil"/>
                    <w:bottom w:val="nil"/>
                    <w:right w:val="nil"/>
                  </w:tcBorders>
                  <w:vAlign w:val="bottom"/>
                </w:tcPr>
                <w:p w14:paraId="253E5CA4" w14:textId="77777777" w:rsidR="00C1528E" w:rsidRDefault="00C1528E" w:rsidP="002B55BD">
                  <w:r>
                    <w:t>Project No.</w:t>
                  </w:r>
                </w:p>
              </w:tc>
              <w:tc>
                <w:tcPr>
                  <w:tcW w:w="3780" w:type="dxa"/>
                  <w:tcBorders>
                    <w:top w:val="nil"/>
                    <w:left w:val="nil"/>
                    <w:bottom w:val="single" w:sz="4" w:space="0" w:color="auto"/>
                    <w:right w:val="nil"/>
                  </w:tcBorders>
                </w:tcPr>
                <w:p w14:paraId="6474D751" w14:textId="77777777" w:rsidR="00C1528E" w:rsidRDefault="00C1528E" w:rsidP="002B55BD"/>
              </w:tc>
            </w:tr>
            <w:tr w:rsidR="00C1528E" w14:paraId="587F2D97" w14:textId="77777777" w:rsidTr="002B55BD">
              <w:trPr>
                <w:trHeight w:hRule="exact" w:val="400"/>
              </w:trPr>
              <w:tc>
                <w:tcPr>
                  <w:tcW w:w="3330" w:type="dxa"/>
                  <w:tcBorders>
                    <w:top w:val="nil"/>
                    <w:left w:val="nil"/>
                    <w:bottom w:val="nil"/>
                    <w:right w:val="nil"/>
                  </w:tcBorders>
                  <w:vAlign w:val="bottom"/>
                </w:tcPr>
                <w:p w14:paraId="3838ABF3" w14:textId="77777777" w:rsidR="00C1528E" w:rsidRDefault="00C1528E" w:rsidP="002B55BD">
                  <w:r>
                    <w:t>Preparer</w:t>
                  </w:r>
                </w:p>
              </w:tc>
              <w:tc>
                <w:tcPr>
                  <w:tcW w:w="3780" w:type="dxa"/>
                  <w:tcBorders>
                    <w:top w:val="nil"/>
                    <w:left w:val="nil"/>
                    <w:bottom w:val="nil"/>
                    <w:right w:val="nil"/>
                  </w:tcBorders>
                </w:tcPr>
                <w:p w14:paraId="71294D16" w14:textId="77777777" w:rsidR="00C1528E" w:rsidRDefault="00C1528E" w:rsidP="002B55BD"/>
              </w:tc>
            </w:tr>
            <w:tr w:rsidR="00C1528E" w14:paraId="5007F5B4" w14:textId="77777777" w:rsidTr="002B55BD">
              <w:trPr>
                <w:trHeight w:hRule="exact" w:val="400"/>
              </w:trPr>
              <w:tc>
                <w:tcPr>
                  <w:tcW w:w="3330" w:type="dxa"/>
                  <w:tcBorders>
                    <w:top w:val="nil"/>
                    <w:left w:val="nil"/>
                    <w:bottom w:val="nil"/>
                    <w:right w:val="nil"/>
                  </w:tcBorders>
                  <w:vAlign w:val="bottom"/>
                </w:tcPr>
                <w:p w14:paraId="2204E993" w14:textId="77777777" w:rsidR="00C1528E" w:rsidRDefault="00C1528E" w:rsidP="002B55BD">
                  <w:r>
                    <w:t>Date Prepared</w:t>
                  </w:r>
                </w:p>
              </w:tc>
              <w:tc>
                <w:tcPr>
                  <w:tcW w:w="3780" w:type="dxa"/>
                  <w:tcBorders>
                    <w:top w:val="single" w:sz="4" w:space="0" w:color="auto"/>
                    <w:left w:val="nil"/>
                    <w:bottom w:val="single" w:sz="4" w:space="0" w:color="auto"/>
                    <w:right w:val="nil"/>
                  </w:tcBorders>
                </w:tcPr>
                <w:p w14:paraId="31817F93" w14:textId="77777777" w:rsidR="00C1528E" w:rsidRDefault="00C1528E" w:rsidP="002B55BD"/>
              </w:tc>
            </w:tr>
            <w:tr w:rsidR="00C1528E" w14:paraId="10EAF97A" w14:textId="77777777" w:rsidTr="002B55BD">
              <w:trPr>
                <w:trHeight w:hRule="exact" w:val="400"/>
              </w:trPr>
              <w:tc>
                <w:tcPr>
                  <w:tcW w:w="3330" w:type="dxa"/>
                  <w:tcBorders>
                    <w:top w:val="nil"/>
                    <w:left w:val="nil"/>
                    <w:bottom w:val="nil"/>
                    <w:right w:val="nil"/>
                  </w:tcBorders>
                  <w:vAlign w:val="bottom"/>
                </w:tcPr>
                <w:p w14:paraId="5C69E948" w14:textId="77777777" w:rsidR="00C1528E" w:rsidRDefault="00C1528E" w:rsidP="002B55BD">
                  <w:r>
                    <w:t>Follow-up Review Indicated</w:t>
                  </w:r>
                </w:p>
              </w:tc>
              <w:tc>
                <w:tcPr>
                  <w:tcW w:w="3780" w:type="dxa"/>
                  <w:tcBorders>
                    <w:top w:val="nil"/>
                    <w:left w:val="nil"/>
                    <w:bottom w:val="single" w:sz="4" w:space="0" w:color="auto"/>
                    <w:right w:val="nil"/>
                  </w:tcBorders>
                </w:tcPr>
                <w:p w14:paraId="662768C3" w14:textId="77777777" w:rsidR="00C1528E" w:rsidRDefault="00C1528E" w:rsidP="002B55BD"/>
              </w:tc>
            </w:tr>
          </w:tbl>
          <w:p w14:paraId="217181BB" w14:textId="77777777" w:rsidR="00C1528E" w:rsidRDefault="00C1528E" w:rsidP="002B55BD">
            <w:pPr>
              <w:pStyle w:val="Footer"/>
            </w:pPr>
          </w:p>
          <w:p w14:paraId="1A8AB68E" w14:textId="77777777" w:rsidR="00C1528E" w:rsidRPr="00F63305" w:rsidRDefault="00C1528E" w:rsidP="002B55BD">
            <w:pPr>
              <w:pStyle w:val="Heading1"/>
              <w:outlineLvl w:val="0"/>
              <w:rPr>
                <w:rFonts w:ascii="Arial" w:hAnsi="Arial" w:cs="Arial"/>
                <w:b w:val="0"/>
                <w:bCs w:val="0"/>
                <w:sz w:val="24"/>
                <w:szCs w:val="24"/>
              </w:rPr>
            </w:pPr>
            <w:r w:rsidRPr="00F63305">
              <w:rPr>
                <w:rFonts w:ascii="Arial" w:hAnsi="Arial" w:cs="Arial"/>
                <w:b w:val="0"/>
                <w:bCs w:val="0"/>
                <w:sz w:val="24"/>
                <w:szCs w:val="24"/>
              </w:rPr>
              <w:t>Bidding and Contracting Construction Compliance Checklist</w:t>
            </w:r>
          </w:p>
          <w:p w14:paraId="568A3456" w14:textId="77777777" w:rsidR="00C1528E" w:rsidRPr="00F63305" w:rsidRDefault="00C1528E" w:rsidP="002B55BD">
            <w:pPr>
              <w:pStyle w:val="Footer"/>
              <w:rPr>
                <w:b/>
              </w:rPr>
            </w:pPr>
            <w:r>
              <w:rPr>
                <w:b/>
              </w:rPr>
              <w:t>I.     Bidding Procedures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0"/>
              <w:gridCol w:w="690"/>
              <w:gridCol w:w="690"/>
              <w:gridCol w:w="690"/>
              <w:gridCol w:w="2160"/>
            </w:tblGrid>
            <w:tr w:rsidR="00C1528E" w14:paraId="66BF63F8" w14:textId="77777777" w:rsidTr="002B55BD">
              <w:trPr>
                <w:trHeight w:val="513"/>
              </w:trPr>
              <w:tc>
                <w:tcPr>
                  <w:tcW w:w="540" w:type="dxa"/>
                  <w:tcBorders>
                    <w:top w:val="nil"/>
                    <w:left w:val="nil"/>
                    <w:bottom w:val="nil"/>
                    <w:right w:val="nil"/>
                  </w:tcBorders>
                </w:tcPr>
                <w:p w14:paraId="0F069D6A" w14:textId="77777777" w:rsidR="00C1528E" w:rsidRDefault="00C1528E" w:rsidP="002B55BD">
                  <w:pPr>
                    <w:jc w:val="center"/>
                  </w:pPr>
                </w:p>
              </w:tc>
              <w:tc>
                <w:tcPr>
                  <w:tcW w:w="4500" w:type="dxa"/>
                  <w:tcBorders>
                    <w:top w:val="nil"/>
                    <w:left w:val="nil"/>
                    <w:bottom w:val="nil"/>
                    <w:right w:val="nil"/>
                  </w:tcBorders>
                </w:tcPr>
                <w:p w14:paraId="0BD19AA4" w14:textId="77777777" w:rsidR="00C1528E" w:rsidRDefault="00C1528E" w:rsidP="002B55BD"/>
              </w:tc>
              <w:tc>
                <w:tcPr>
                  <w:tcW w:w="690" w:type="dxa"/>
                  <w:tcBorders>
                    <w:top w:val="nil"/>
                    <w:left w:val="nil"/>
                    <w:bottom w:val="nil"/>
                    <w:right w:val="nil"/>
                  </w:tcBorders>
                </w:tcPr>
                <w:p w14:paraId="032642B9" w14:textId="77777777" w:rsidR="00C1528E" w:rsidRDefault="00C1528E" w:rsidP="002B55BD">
                  <w:pPr>
                    <w:jc w:val="center"/>
                  </w:pPr>
                  <w:r>
                    <w:t>Yes</w:t>
                  </w:r>
                </w:p>
              </w:tc>
              <w:tc>
                <w:tcPr>
                  <w:tcW w:w="690" w:type="dxa"/>
                  <w:tcBorders>
                    <w:top w:val="nil"/>
                    <w:left w:val="nil"/>
                    <w:bottom w:val="nil"/>
                    <w:right w:val="nil"/>
                  </w:tcBorders>
                </w:tcPr>
                <w:p w14:paraId="6DDA6F13" w14:textId="77777777" w:rsidR="00C1528E" w:rsidRDefault="00C1528E" w:rsidP="002B55BD">
                  <w:pPr>
                    <w:jc w:val="center"/>
                  </w:pPr>
                  <w:r>
                    <w:t>No</w:t>
                  </w:r>
                </w:p>
              </w:tc>
              <w:tc>
                <w:tcPr>
                  <w:tcW w:w="690" w:type="dxa"/>
                  <w:tcBorders>
                    <w:top w:val="nil"/>
                    <w:left w:val="nil"/>
                    <w:bottom w:val="nil"/>
                    <w:right w:val="nil"/>
                  </w:tcBorders>
                </w:tcPr>
                <w:p w14:paraId="6FE40AC3" w14:textId="77777777" w:rsidR="00C1528E" w:rsidRDefault="00C1528E" w:rsidP="002B55BD">
                  <w:pPr>
                    <w:jc w:val="center"/>
                  </w:pPr>
                  <w:r>
                    <w:t>N/A</w:t>
                  </w:r>
                </w:p>
              </w:tc>
              <w:tc>
                <w:tcPr>
                  <w:tcW w:w="2160" w:type="dxa"/>
                  <w:tcBorders>
                    <w:top w:val="nil"/>
                    <w:left w:val="nil"/>
                    <w:bottom w:val="nil"/>
                    <w:right w:val="nil"/>
                  </w:tcBorders>
                </w:tcPr>
                <w:p w14:paraId="1A7DCA1C" w14:textId="77777777" w:rsidR="00C1528E" w:rsidRDefault="00C1528E" w:rsidP="002B55BD">
                  <w:pPr>
                    <w:jc w:val="center"/>
                  </w:pPr>
                  <w:r>
                    <w:t>Notes</w:t>
                  </w:r>
                </w:p>
              </w:tc>
            </w:tr>
            <w:tr w:rsidR="00C1528E" w14:paraId="7B2906D8" w14:textId="77777777" w:rsidTr="002B55BD">
              <w:trPr>
                <w:trHeight w:hRule="exact" w:val="1230"/>
              </w:trPr>
              <w:tc>
                <w:tcPr>
                  <w:tcW w:w="540" w:type="dxa"/>
                </w:tcPr>
                <w:p w14:paraId="576B0C17" w14:textId="77777777" w:rsidR="00C1528E" w:rsidRDefault="00C1528E" w:rsidP="002B55BD">
                  <w:pPr>
                    <w:pStyle w:val="Footer"/>
                  </w:pPr>
                  <w:r>
                    <w:t>A.</w:t>
                  </w:r>
                </w:p>
              </w:tc>
              <w:tc>
                <w:tcPr>
                  <w:tcW w:w="4500" w:type="dxa"/>
                  <w:vAlign w:val="center"/>
                </w:tcPr>
                <w:p w14:paraId="40BBB6E1" w14:textId="77777777" w:rsidR="00C1528E" w:rsidRDefault="00C1528E" w:rsidP="002B55BD">
                  <w:r>
                    <w:t>Did grantee use competitive sealed bids for projects exceeding $50,000?  If no, please see the Other Procurement Methods checklist.</w:t>
                  </w:r>
                </w:p>
              </w:tc>
              <w:tc>
                <w:tcPr>
                  <w:tcW w:w="690" w:type="dxa"/>
                </w:tcPr>
                <w:p w14:paraId="7C63BE7C" w14:textId="77777777" w:rsidR="00C1528E" w:rsidRDefault="00C1528E" w:rsidP="002B55BD"/>
              </w:tc>
              <w:tc>
                <w:tcPr>
                  <w:tcW w:w="690" w:type="dxa"/>
                </w:tcPr>
                <w:p w14:paraId="198F98B4" w14:textId="77777777" w:rsidR="00C1528E" w:rsidRDefault="00C1528E" w:rsidP="002B55BD"/>
              </w:tc>
              <w:tc>
                <w:tcPr>
                  <w:tcW w:w="690" w:type="dxa"/>
                </w:tcPr>
                <w:p w14:paraId="34E1FC65" w14:textId="77777777" w:rsidR="00C1528E" w:rsidRDefault="00C1528E" w:rsidP="002B55BD"/>
              </w:tc>
              <w:tc>
                <w:tcPr>
                  <w:tcW w:w="2160" w:type="dxa"/>
                  <w:tcBorders>
                    <w:bottom w:val="single" w:sz="4" w:space="0" w:color="auto"/>
                  </w:tcBorders>
                </w:tcPr>
                <w:p w14:paraId="5C9C81B6" w14:textId="77777777" w:rsidR="00C1528E" w:rsidRDefault="00C1528E" w:rsidP="002B55BD"/>
              </w:tc>
            </w:tr>
            <w:tr w:rsidR="00C1528E" w14:paraId="79EBFA51" w14:textId="77777777" w:rsidTr="002B55BD">
              <w:trPr>
                <w:trHeight w:hRule="exact" w:val="451"/>
              </w:trPr>
              <w:tc>
                <w:tcPr>
                  <w:tcW w:w="540" w:type="dxa"/>
                </w:tcPr>
                <w:p w14:paraId="6FF8839A" w14:textId="77777777" w:rsidR="00C1528E" w:rsidRDefault="00C1528E" w:rsidP="002B55BD">
                  <w:pPr>
                    <w:jc w:val="center"/>
                  </w:pPr>
                </w:p>
              </w:tc>
              <w:tc>
                <w:tcPr>
                  <w:tcW w:w="4500" w:type="dxa"/>
                  <w:vAlign w:val="center"/>
                </w:tcPr>
                <w:p w14:paraId="2BDDA3F5" w14:textId="77777777" w:rsidR="00C1528E" w:rsidRDefault="00C1528E" w:rsidP="00C1528E">
                  <w:pPr>
                    <w:numPr>
                      <w:ilvl w:val="0"/>
                      <w:numId w:val="6"/>
                    </w:numPr>
                    <w:spacing w:after="0" w:line="240" w:lineRule="auto"/>
                  </w:pPr>
                  <w:r>
                    <w:t>Was project advertised?</w:t>
                  </w:r>
                </w:p>
              </w:tc>
              <w:tc>
                <w:tcPr>
                  <w:tcW w:w="690" w:type="dxa"/>
                </w:tcPr>
                <w:p w14:paraId="70E7AEF7" w14:textId="77777777" w:rsidR="00C1528E" w:rsidRDefault="00C1528E" w:rsidP="002B55BD"/>
              </w:tc>
              <w:tc>
                <w:tcPr>
                  <w:tcW w:w="690" w:type="dxa"/>
                </w:tcPr>
                <w:p w14:paraId="03302615" w14:textId="77777777" w:rsidR="00C1528E" w:rsidRDefault="00C1528E" w:rsidP="002B55BD"/>
              </w:tc>
              <w:tc>
                <w:tcPr>
                  <w:tcW w:w="690" w:type="dxa"/>
                </w:tcPr>
                <w:p w14:paraId="693199EA" w14:textId="77777777" w:rsidR="00C1528E" w:rsidRDefault="00C1528E" w:rsidP="002B55BD"/>
              </w:tc>
              <w:tc>
                <w:tcPr>
                  <w:tcW w:w="2160" w:type="dxa"/>
                  <w:tcBorders>
                    <w:top w:val="nil"/>
                  </w:tcBorders>
                </w:tcPr>
                <w:p w14:paraId="2EEA9F3F" w14:textId="77777777" w:rsidR="00C1528E" w:rsidRDefault="00C1528E" w:rsidP="002B55BD"/>
              </w:tc>
            </w:tr>
            <w:tr w:rsidR="00C1528E" w14:paraId="303CDBD3" w14:textId="77777777" w:rsidTr="002B55BD">
              <w:trPr>
                <w:trHeight w:hRule="exact" w:val="1153"/>
              </w:trPr>
              <w:tc>
                <w:tcPr>
                  <w:tcW w:w="540" w:type="dxa"/>
                </w:tcPr>
                <w:p w14:paraId="6CEEEBBC" w14:textId="77777777" w:rsidR="00C1528E" w:rsidRDefault="00C1528E" w:rsidP="002B55BD">
                  <w:pPr>
                    <w:jc w:val="right"/>
                  </w:pPr>
                </w:p>
              </w:tc>
              <w:tc>
                <w:tcPr>
                  <w:tcW w:w="4500" w:type="dxa"/>
                  <w:vAlign w:val="center"/>
                </w:tcPr>
                <w:p w14:paraId="24D6844F" w14:textId="77777777" w:rsidR="00C1528E" w:rsidRDefault="00C1528E" w:rsidP="00C1528E">
                  <w:pPr>
                    <w:numPr>
                      <w:ilvl w:val="0"/>
                      <w:numId w:val="5"/>
                    </w:numPr>
                    <w:tabs>
                      <w:tab w:val="clear" w:pos="360"/>
                    </w:tabs>
                    <w:spacing w:after="0" w:line="240" w:lineRule="auto"/>
                    <w:ind w:left="702" w:hanging="450"/>
                  </w:pPr>
                  <w:r>
                    <w:t>If by county, once a week for 3 weeks in a newspaper of general circulation published in that county.</w:t>
                  </w:r>
                </w:p>
                <w:p w14:paraId="549E8BA9" w14:textId="77777777" w:rsidR="00C1528E" w:rsidRDefault="00C1528E" w:rsidP="002B55BD">
                  <w:pPr>
                    <w:pStyle w:val="Footer"/>
                    <w:ind w:left="702" w:hanging="450"/>
                  </w:pPr>
                </w:p>
              </w:tc>
              <w:tc>
                <w:tcPr>
                  <w:tcW w:w="690" w:type="dxa"/>
                </w:tcPr>
                <w:p w14:paraId="6160BEBD" w14:textId="77777777" w:rsidR="00C1528E" w:rsidRDefault="00C1528E" w:rsidP="002B55BD"/>
              </w:tc>
              <w:tc>
                <w:tcPr>
                  <w:tcW w:w="690" w:type="dxa"/>
                </w:tcPr>
                <w:p w14:paraId="57824B86" w14:textId="77777777" w:rsidR="00C1528E" w:rsidRDefault="00C1528E" w:rsidP="002B55BD"/>
              </w:tc>
              <w:tc>
                <w:tcPr>
                  <w:tcW w:w="690" w:type="dxa"/>
                </w:tcPr>
                <w:p w14:paraId="3C983EFA" w14:textId="77777777" w:rsidR="00C1528E" w:rsidRDefault="00C1528E" w:rsidP="002B55BD"/>
              </w:tc>
              <w:tc>
                <w:tcPr>
                  <w:tcW w:w="2160" w:type="dxa"/>
                </w:tcPr>
                <w:p w14:paraId="37B4DADB" w14:textId="77777777" w:rsidR="00C1528E" w:rsidRDefault="00C1528E" w:rsidP="002B55BD"/>
              </w:tc>
            </w:tr>
            <w:tr w:rsidR="00C1528E" w14:paraId="77F7A162" w14:textId="77777777" w:rsidTr="002B55BD">
              <w:trPr>
                <w:trHeight w:hRule="exact" w:val="1522"/>
              </w:trPr>
              <w:tc>
                <w:tcPr>
                  <w:tcW w:w="540" w:type="dxa"/>
                </w:tcPr>
                <w:p w14:paraId="29CA0672" w14:textId="77777777" w:rsidR="00C1528E" w:rsidRDefault="00C1528E" w:rsidP="002B55BD">
                  <w:pPr>
                    <w:jc w:val="right"/>
                  </w:pPr>
                </w:p>
              </w:tc>
              <w:tc>
                <w:tcPr>
                  <w:tcW w:w="4500" w:type="dxa"/>
                  <w:vAlign w:val="center"/>
                </w:tcPr>
                <w:p w14:paraId="46660041" w14:textId="77777777" w:rsidR="00C1528E" w:rsidRDefault="00C1528E" w:rsidP="00C1528E">
                  <w:pPr>
                    <w:pStyle w:val="Footer"/>
                    <w:numPr>
                      <w:ilvl w:val="0"/>
                      <w:numId w:val="5"/>
                    </w:numPr>
                    <w:tabs>
                      <w:tab w:val="clear" w:pos="360"/>
                      <w:tab w:val="clear" w:pos="4680"/>
                      <w:tab w:val="clear" w:pos="9360"/>
                    </w:tabs>
                    <w:ind w:left="702" w:hanging="450"/>
                  </w:pPr>
                  <w:r>
                    <w:t>If by municipality, once in a newspaper of general circulation published in that municipality (can be posted if no local newspaper).</w:t>
                  </w:r>
                </w:p>
              </w:tc>
              <w:tc>
                <w:tcPr>
                  <w:tcW w:w="690" w:type="dxa"/>
                </w:tcPr>
                <w:p w14:paraId="5224AA55" w14:textId="77777777" w:rsidR="00C1528E" w:rsidRDefault="00C1528E" w:rsidP="002B55BD"/>
              </w:tc>
              <w:tc>
                <w:tcPr>
                  <w:tcW w:w="690" w:type="dxa"/>
                </w:tcPr>
                <w:p w14:paraId="63A76E38" w14:textId="77777777" w:rsidR="00C1528E" w:rsidRDefault="00C1528E" w:rsidP="002B55BD"/>
              </w:tc>
              <w:tc>
                <w:tcPr>
                  <w:tcW w:w="690" w:type="dxa"/>
                </w:tcPr>
                <w:p w14:paraId="293C5767" w14:textId="77777777" w:rsidR="00C1528E" w:rsidRDefault="00C1528E" w:rsidP="002B55BD"/>
              </w:tc>
              <w:tc>
                <w:tcPr>
                  <w:tcW w:w="2160" w:type="dxa"/>
                </w:tcPr>
                <w:p w14:paraId="0AF1C3F7" w14:textId="77777777" w:rsidR="00C1528E" w:rsidRDefault="00C1528E" w:rsidP="002B55BD"/>
              </w:tc>
            </w:tr>
            <w:tr w:rsidR="00C1528E" w14:paraId="54BB9340" w14:textId="77777777" w:rsidTr="002B55BD">
              <w:trPr>
                <w:trHeight w:hRule="exact" w:val="1162"/>
              </w:trPr>
              <w:tc>
                <w:tcPr>
                  <w:tcW w:w="540" w:type="dxa"/>
                </w:tcPr>
                <w:p w14:paraId="71F737D1" w14:textId="77777777" w:rsidR="00C1528E" w:rsidRDefault="00C1528E" w:rsidP="002B55BD">
                  <w:pPr>
                    <w:jc w:val="right"/>
                  </w:pPr>
                </w:p>
              </w:tc>
              <w:tc>
                <w:tcPr>
                  <w:tcW w:w="4500" w:type="dxa"/>
                  <w:vAlign w:val="center"/>
                </w:tcPr>
                <w:p w14:paraId="342539A6" w14:textId="77777777" w:rsidR="00C1528E" w:rsidRDefault="00C1528E" w:rsidP="00C1528E">
                  <w:pPr>
                    <w:numPr>
                      <w:ilvl w:val="0"/>
                      <w:numId w:val="5"/>
                    </w:numPr>
                    <w:tabs>
                      <w:tab w:val="clear" w:pos="360"/>
                    </w:tabs>
                    <w:spacing w:after="0" w:line="240" w:lineRule="auto"/>
                    <w:ind w:left="702" w:hanging="450"/>
                  </w:pPr>
                  <w:r>
                    <w:t>If over $500,000, was it advertised additionally in 3 newspapers of general circulation throughout the State?</w:t>
                  </w:r>
                </w:p>
              </w:tc>
              <w:tc>
                <w:tcPr>
                  <w:tcW w:w="690" w:type="dxa"/>
                </w:tcPr>
                <w:p w14:paraId="13215E5D" w14:textId="77777777" w:rsidR="00C1528E" w:rsidRDefault="00C1528E" w:rsidP="002B55BD"/>
              </w:tc>
              <w:tc>
                <w:tcPr>
                  <w:tcW w:w="690" w:type="dxa"/>
                </w:tcPr>
                <w:p w14:paraId="022DCD16" w14:textId="77777777" w:rsidR="00C1528E" w:rsidRDefault="00C1528E" w:rsidP="002B55BD"/>
              </w:tc>
              <w:tc>
                <w:tcPr>
                  <w:tcW w:w="690" w:type="dxa"/>
                </w:tcPr>
                <w:p w14:paraId="32217A6B" w14:textId="77777777" w:rsidR="00C1528E" w:rsidRDefault="00C1528E" w:rsidP="002B55BD">
                  <w:pPr>
                    <w:pStyle w:val="Footer"/>
                  </w:pPr>
                </w:p>
              </w:tc>
              <w:tc>
                <w:tcPr>
                  <w:tcW w:w="2160" w:type="dxa"/>
                </w:tcPr>
                <w:p w14:paraId="496221E8" w14:textId="77777777" w:rsidR="00C1528E" w:rsidRDefault="00C1528E" w:rsidP="002B55BD"/>
              </w:tc>
            </w:tr>
            <w:tr w:rsidR="00C1528E" w14:paraId="76063364" w14:textId="77777777" w:rsidTr="002B55BD">
              <w:trPr>
                <w:trHeight w:hRule="exact" w:val="888"/>
              </w:trPr>
              <w:tc>
                <w:tcPr>
                  <w:tcW w:w="540" w:type="dxa"/>
                </w:tcPr>
                <w:p w14:paraId="3B0CF383" w14:textId="77777777" w:rsidR="00C1528E" w:rsidRDefault="00C1528E" w:rsidP="002B55BD">
                  <w:pPr>
                    <w:jc w:val="center"/>
                  </w:pPr>
                  <w:r>
                    <w:t xml:space="preserve"> </w:t>
                  </w:r>
                </w:p>
              </w:tc>
              <w:tc>
                <w:tcPr>
                  <w:tcW w:w="4500" w:type="dxa"/>
                  <w:vAlign w:val="center"/>
                </w:tcPr>
                <w:p w14:paraId="7AE6CCB1" w14:textId="77777777" w:rsidR="00C1528E" w:rsidRDefault="00C1528E" w:rsidP="00C1528E">
                  <w:pPr>
                    <w:numPr>
                      <w:ilvl w:val="0"/>
                      <w:numId w:val="7"/>
                    </w:numPr>
                    <w:spacing w:after="0" w:line="240" w:lineRule="auto"/>
                  </w:pPr>
                  <w:r>
                    <w:t>The project was not advertised; if yes, please see the Other Procurement Methods checklist:</w:t>
                  </w:r>
                </w:p>
              </w:tc>
              <w:tc>
                <w:tcPr>
                  <w:tcW w:w="690" w:type="dxa"/>
                </w:tcPr>
                <w:p w14:paraId="034795EB" w14:textId="77777777" w:rsidR="00C1528E" w:rsidRDefault="00C1528E" w:rsidP="002B55BD"/>
              </w:tc>
              <w:tc>
                <w:tcPr>
                  <w:tcW w:w="690" w:type="dxa"/>
                </w:tcPr>
                <w:p w14:paraId="6C4F1656" w14:textId="77777777" w:rsidR="00C1528E" w:rsidRDefault="00C1528E" w:rsidP="002B55BD"/>
              </w:tc>
              <w:tc>
                <w:tcPr>
                  <w:tcW w:w="690" w:type="dxa"/>
                </w:tcPr>
                <w:p w14:paraId="3118C367" w14:textId="77777777" w:rsidR="00C1528E" w:rsidRDefault="00C1528E" w:rsidP="002B55BD"/>
              </w:tc>
              <w:tc>
                <w:tcPr>
                  <w:tcW w:w="2160" w:type="dxa"/>
                </w:tcPr>
                <w:p w14:paraId="1E0D0F07" w14:textId="77777777" w:rsidR="00C1528E" w:rsidRDefault="00C1528E" w:rsidP="002B55BD"/>
              </w:tc>
            </w:tr>
            <w:tr w:rsidR="00C1528E" w14:paraId="01658B58" w14:textId="77777777" w:rsidTr="002B55BD">
              <w:trPr>
                <w:trHeight w:hRule="exact" w:val="991"/>
              </w:trPr>
              <w:tc>
                <w:tcPr>
                  <w:tcW w:w="540" w:type="dxa"/>
                </w:tcPr>
                <w:p w14:paraId="66EE77D7" w14:textId="77777777" w:rsidR="00C1528E" w:rsidRDefault="00C1528E" w:rsidP="002B55BD">
                  <w:pPr>
                    <w:jc w:val="center"/>
                  </w:pPr>
                </w:p>
              </w:tc>
              <w:tc>
                <w:tcPr>
                  <w:tcW w:w="4500" w:type="dxa"/>
                  <w:vAlign w:val="center"/>
                </w:tcPr>
                <w:p w14:paraId="65785E53" w14:textId="77777777" w:rsidR="00C1528E" w:rsidRDefault="00C1528E" w:rsidP="00C1528E">
                  <w:pPr>
                    <w:numPr>
                      <w:ilvl w:val="0"/>
                      <w:numId w:val="8"/>
                    </w:numPr>
                    <w:tabs>
                      <w:tab w:val="clear" w:pos="360"/>
                    </w:tabs>
                    <w:spacing w:after="0" w:line="240" w:lineRule="auto"/>
                  </w:pPr>
                  <w:r>
                    <w:t>Did all bids on projects over $50,000 include a State License number on the outside of the bid?</w:t>
                  </w:r>
                </w:p>
              </w:tc>
              <w:tc>
                <w:tcPr>
                  <w:tcW w:w="690" w:type="dxa"/>
                </w:tcPr>
                <w:p w14:paraId="55C79395" w14:textId="77777777" w:rsidR="00C1528E" w:rsidRDefault="00C1528E" w:rsidP="002B55BD"/>
              </w:tc>
              <w:tc>
                <w:tcPr>
                  <w:tcW w:w="690" w:type="dxa"/>
                </w:tcPr>
                <w:p w14:paraId="64759783" w14:textId="77777777" w:rsidR="00C1528E" w:rsidRDefault="00C1528E" w:rsidP="002B55BD"/>
              </w:tc>
              <w:tc>
                <w:tcPr>
                  <w:tcW w:w="690" w:type="dxa"/>
                </w:tcPr>
                <w:p w14:paraId="0E427B5F" w14:textId="77777777" w:rsidR="00C1528E" w:rsidRDefault="00C1528E" w:rsidP="002B55BD"/>
              </w:tc>
              <w:tc>
                <w:tcPr>
                  <w:tcW w:w="2160" w:type="dxa"/>
                </w:tcPr>
                <w:p w14:paraId="2783ABE0" w14:textId="77777777" w:rsidR="00C1528E" w:rsidRDefault="00C1528E" w:rsidP="002B55BD"/>
              </w:tc>
            </w:tr>
            <w:tr w:rsidR="00C1528E" w14:paraId="5FA48D08" w14:textId="77777777" w:rsidTr="002B55BD">
              <w:trPr>
                <w:trHeight w:hRule="exact" w:val="460"/>
              </w:trPr>
              <w:tc>
                <w:tcPr>
                  <w:tcW w:w="540" w:type="dxa"/>
                </w:tcPr>
                <w:p w14:paraId="2F9F4FB7" w14:textId="77777777" w:rsidR="00C1528E" w:rsidRDefault="00C1528E" w:rsidP="002B55BD">
                  <w:pPr>
                    <w:jc w:val="center"/>
                  </w:pPr>
                </w:p>
              </w:tc>
              <w:tc>
                <w:tcPr>
                  <w:tcW w:w="4500" w:type="dxa"/>
                  <w:vAlign w:val="center"/>
                </w:tcPr>
                <w:p w14:paraId="0DC1E16C" w14:textId="77777777" w:rsidR="00C1528E" w:rsidRDefault="00C1528E" w:rsidP="00C1528E">
                  <w:pPr>
                    <w:numPr>
                      <w:ilvl w:val="0"/>
                      <w:numId w:val="8"/>
                    </w:numPr>
                    <w:tabs>
                      <w:tab w:val="clear" w:pos="360"/>
                    </w:tabs>
                    <w:spacing w:after="0" w:line="240" w:lineRule="auto"/>
                  </w:pPr>
                  <w:r>
                    <w:t>Were bids opened publicly?</w:t>
                  </w:r>
                </w:p>
              </w:tc>
              <w:tc>
                <w:tcPr>
                  <w:tcW w:w="690" w:type="dxa"/>
                </w:tcPr>
                <w:p w14:paraId="61F1A537" w14:textId="77777777" w:rsidR="00C1528E" w:rsidRDefault="00C1528E" w:rsidP="002B55BD"/>
              </w:tc>
              <w:tc>
                <w:tcPr>
                  <w:tcW w:w="690" w:type="dxa"/>
                </w:tcPr>
                <w:p w14:paraId="0E5C2149" w14:textId="77777777" w:rsidR="00C1528E" w:rsidRDefault="00C1528E" w:rsidP="002B55BD"/>
              </w:tc>
              <w:tc>
                <w:tcPr>
                  <w:tcW w:w="690" w:type="dxa"/>
                </w:tcPr>
                <w:p w14:paraId="7F75B7B2" w14:textId="77777777" w:rsidR="00C1528E" w:rsidRDefault="00C1528E" w:rsidP="002B55BD"/>
              </w:tc>
              <w:tc>
                <w:tcPr>
                  <w:tcW w:w="2160" w:type="dxa"/>
                </w:tcPr>
                <w:p w14:paraId="6215211F" w14:textId="77777777" w:rsidR="00C1528E" w:rsidRDefault="00C1528E" w:rsidP="002B55BD"/>
              </w:tc>
            </w:tr>
            <w:tr w:rsidR="00C1528E" w14:paraId="6F910A28" w14:textId="77777777" w:rsidTr="002B55BD">
              <w:trPr>
                <w:trHeight w:hRule="exact" w:val="649"/>
              </w:trPr>
              <w:tc>
                <w:tcPr>
                  <w:tcW w:w="540" w:type="dxa"/>
                </w:tcPr>
                <w:p w14:paraId="46C365E4" w14:textId="77777777" w:rsidR="00C1528E" w:rsidRDefault="00C1528E" w:rsidP="002B55BD">
                  <w:pPr>
                    <w:jc w:val="center"/>
                  </w:pPr>
                </w:p>
              </w:tc>
              <w:tc>
                <w:tcPr>
                  <w:tcW w:w="4500" w:type="dxa"/>
                  <w:vAlign w:val="center"/>
                </w:tcPr>
                <w:p w14:paraId="5128AA94" w14:textId="77777777" w:rsidR="00C1528E" w:rsidRDefault="00C1528E" w:rsidP="00C1528E">
                  <w:pPr>
                    <w:numPr>
                      <w:ilvl w:val="0"/>
                      <w:numId w:val="8"/>
                    </w:numPr>
                    <w:tabs>
                      <w:tab w:val="clear" w:pos="360"/>
                    </w:tabs>
                    <w:spacing w:after="0" w:line="240" w:lineRule="auto"/>
                  </w:pPr>
                  <w:r>
                    <w:t>Are there minutes to the bid opening?</w:t>
                  </w:r>
                </w:p>
              </w:tc>
              <w:tc>
                <w:tcPr>
                  <w:tcW w:w="690" w:type="dxa"/>
                </w:tcPr>
                <w:p w14:paraId="2024C5EF" w14:textId="77777777" w:rsidR="00C1528E" w:rsidRDefault="00C1528E" w:rsidP="002B55BD"/>
              </w:tc>
              <w:tc>
                <w:tcPr>
                  <w:tcW w:w="690" w:type="dxa"/>
                </w:tcPr>
                <w:p w14:paraId="3DCA3751" w14:textId="77777777" w:rsidR="00C1528E" w:rsidRDefault="00C1528E" w:rsidP="002B55BD"/>
              </w:tc>
              <w:tc>
                <w:tcPr>
                  <w:tcW w:w="690" w:type="dxa"/>
                </w:tcPr>
                <w:p w14:paraId="11B901EF" w14:textId="77777777" w:rsidR="00C1528E" w:rsidRDefault="00C1528E" w:rsidP="002B55BD"/>
              </w:tc>
              <w:tc>
                <w:tcPr>
                  <w:tcW w:w="2160" w:type="dxa"/>
                </w:tcPr>
                <w:p w14:paraId="018BE9B2" w14:textId="77777777" w:rsidR="00C1528E" w:rsidRDefault="00C1528E" w:rsidP="002B55BD"/>
              </w:tc>
            </w:tr>
            <w:tr w:rsidR="00C1528E" w14:paraId="127079B5" w14:textId="77777777" w:rsidTr="002B55BD">
              <w:trPr>
                <w:trHeight w:hRule="exact" w:val="442"/>
              </w:trPr>
              <w:tc>
                <w:tcPr>
                  <w:tcW w:w="540" w:type="dxa"/>
                </w:tcPr>
                <w:p w14:paraId="2A3F9F17" w14:textId="77777777" w:rsidR="00C1528E" w:rsidRDefault="00C1528E" w:rsidP="002B55BD">
                  <w:pPr>
                    <w:jc w:val="center"/>
                  </w:pPr>
                </w:p>
              </w:tc>
              <w:tc>
                <w:tcPr>
                  <w:tcW w:w="4500" w:type="dxa"/>
                  <w:vAlign w:val="center"/>
                </w:tcPr>
                <w:p w14:paraId="65C6EC6D" w14:textId="77777777" w:rsidR="00C1528E" w:rsidRDefault="00C1528E" w:rsidP="00C1528E">
                  <w:pPr>
                    <w:numPr>
                      <w:ilvl w:val="0"/>
                      <w:numId w:val="8"/>
                    </w:numPr>
                    <w:tabs>
                      <w:tab w:val="clear" w:pos="360"/>
                    </w:tabs>
                    <w:spacing w:after="0" w:line="240" w:lineRule="auto"/>
                  </w:pPr>
                  <w:r>
                    <w:t>Was the lowest bid accepted?</w:t>
                  </w:r>
                </w:p>
              </w:tc>
              <w:tc>
                <w:tcPr>
                  <w:tcW w:w="690" w:type="dxa"/>
                </w:tcPr>
                <w:p w14:paraId="1B68FED8" w14:textId="77777777" w:rsidR="00C1528E" w:rsidRDefault="00C1528E" w:rsidP="002B55BD"/>
              </w:tc>
              <w:tc>
                <w:tcPr>
                  <w:tcW w:w="690" w:type="dxa"/>
                </w:tcPr>
                <w:p w14:paraId="260577DE" w14:textId="77777777" w:rsidR="00C1528E" w:rsidRDefault="00C1528E" w:rsidP="002B55BD"/>
              </w:tc>
              <w:tc>
                <w:tcPr>
                  <w:tcW w:w="690" w:type="dxa"/>
                </w:tcPr>
                <w:p w14:paraId="3AD4397E" w14:textId="77777777" w:rsidR="00C1528E" w:rsidRDefault="00C1528E" w:rsidP="002B55BD"/>
              </w:tc>
              <w:tc>
                <w:tcPr>
                  <w:tcW w:w="2160" w:type="dxa"/>
                </w:tcPr>
                <w:p w14:paraId="7AAE794D" w14:textId="77777777" w:rsidR="00C1528E" w:rsidRDefault="00C1528E" w:rsidP="002B55BD"/>
              </w:tc>
            </w:tr>
          </w:tbl>
          <w:p w14:paraId="7FF9DC9B" w14:textId="77777777" w:rsidR="00C1528E" w:rsidRDefault="00C1528E" w:rsidP="002B55BD">
            <w: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0"/>
              <w:gridCol w:w="690"/>
              <w:gridCol w:w="690"/>
              <w:gridCol w:w="690"/>
              <w:gridCol w:w="2160"/>
            </w:tblGrid>
            <w:tr w:rsidR="00C1528E" w14:paraId="56C4B08C" w14:textId="77777777" w:rsidTr="002B55BD">
              <w:trPr>
                <w:trHeight w:hRule="exact" w:val="280"/>
              </w:trPr>
              <w:tc>
                <w:tcPr>
                  <w:tcW w:w="540" w:type="dxa"/>
                  <w:tcBorders>
                    <w:top w:val="nil"/>
                    <w:left w:val="nil"/>
                    <w:bottom w:val="nil"/>
                    <w:right w:val="nil"/>
                  </w:tcBorders>
                </w:tcPr>
                <w:p w14:paraId="2F912DEE" w14:textId="77777777" w:rsidR="00C1528E" w:rsidRDefault="00C1528E" w:rsidP="002B55BD">
                  <w:pPr>
                    <w:jc w:val="right"/>
                  </w:pPr>
                </w:p>
              </w:tc>
              <w:tc>
                <w:tcPr>
                  <w:tcW w:w="4500" w:type="dxa"/>
                  <w:tcBorders>
                    <w:top w:val="nil"/>
                    <w:left w:val="nil"/>
                    <w:bottom w:val="nil"/>
                    <w:right w:val="nil"/>
                  </w:tcBorders>
                  <w:vAlign w:val="center"/>
                </w:tcPr>
                <w:p w14:paraId="6F9BD49B" w14:textId="77777777" w:rsidR="00C1528E" w:rsidRDefault="00C1528E" w:rsidP="002B55BD"/>
              </w:tc>
              <w:tc>
                <w:tcPr>
                  <w:tcW w:w="690" w:type="dxa"/>
                  <w:tcBorders>
                    <w:top w:val="nil"/>
                    <w:left w:val="nil"/>
                    <w:bottom w:val="nil"/>
                    <w:right w:val="nil"/>
                  </w:tcBorders>
                  <w:vAlign w:val="bottom"/>
                </w:tcPr>
                <w:p w14:paraId="483833A5" w14:textId="77777777" w:rsidR="00C1528E" w:rsidRDefault="00C1528E" w:rsidP="002B55BD">
                  <w:pPr>
                    <w:jc w:val="center"/>
                  </w:pPr>
                  <w:r>
                    <w:t>Yes</w:t>
                  </w:r>
                </w:p>
              </w:tc>
              <w:tc>
                <w:tcPr>
                  <w:tcW w:w="690" w:type="dxa"/>
                  <w:tcBorders>
                    <w:top w:val="nil"/>
                    <w:left w:val="nil"/>
                    <w:bottom w:val="nil"/>
                    <w:right w:val="nil"/>
                  </w:tcBorders>
                  <w:vAlign w:val="bottom"/>
                </w:tcPr>
                <w:p w14:paraId="2F222C2A" w14:textId="77777777" w:rsidR="00C1528E" w:rsidRDefault="00C1528E" w:rsidP="002B55BD">
                  <w:pPr>
                    <w:jc w:val="center"/>
                  </w:pPr>
                  <w:r>
                    <w:t>No</w:t>
                  </w:r>
                </w:p>
              </w:tc>
              <w:tc>
                <w:tcPr>
                  <w:tcW w:w="690" w:type="dxa"/>
                  <w:tcBorders>
                    <w:top w:val="nil"/>
                    <w:left w:val="nil"/>
                    <w:bottom w:val="nil"/>
                    <w:right w:val="nil"/>
                  </w:tcBorders>
                  <w:vAlign w:val="bottom"/>
                </w:tcPr>
                <w:p w14:paraId="4D051E53" w14:textId="77777777" w:rsidR="00C1528E" w:rsidRDefault="00C1528E" w:rsidP="002B55BD">
                  <w:pPr>
                    <w:jc w:val="center"/>
                  </w:pPr>
                  <w:r>
                    <w:t>N/A</w:t>
                  </w:r>
                </w:p>
              </w:tc>
              <w:tc>
                <w:tcPr>
                  <w:tcW w:w="2160" w:type="dxa"/>
                  <w:tcBorders>
                    <w:top w:val="nil"/>
                    <w:left w:val="nil"/>
                    <w:bottom w:val="nil"/>
                    <w:right w:val="nil"/>
                  </w:tcBorders>
                  <w:vAlign w:val="bottom"/>
                </w:tcPr>
                <w:p w14:paraId="5869328A" w14:textId="77777777" w:rsidR="00C1528E" w:rsidRDefault="00C1528E" w:rsidP="002B55BD">
                  <w:pPr>
                    <w:jc w:val="center"/>
                  </w:pPr>
                  <w:r>
                    <w:t>Notes</w:t>
                  </w:r>
                </w:p>
              </w:tc>
            </w:tr>
            <w:tr w:rsidR="00C1528E" w14:paraId="7654C871" w14:textId="77777777" w:rsidTr="002B55BD">
              <w:trPr>
                <w:trHeight w:hRule="exact" w:val="712"/>
              </w:trPr>
              <w:tc>
                <w:tcPr>
                  <w:tcW w:w="540" w:type="dxa"/>
                </w:tcPr>
                <w:p w14:paraId="52B5D196" w14:textId="77777777" w:rsidR="00C1528E" w:rsidRDefault="00C1528E" w:rsidP="002B55BD">
                  <w:pPr>
                    <w:jc w:val="center"/>
                  </w:pPr>
                </w:p>
              </w:tc>
              <w:tc>
                <w:tcPr>
                  <w:tcW w:w="4500" w:type="dxa"/>
                  <w:vAlign w:val="center"/>
                </w:tcPr>
                <w:p w14:paraId="24364275" w14:textId="77777777" w:rsidR="00C1528E" w:rsidRDefault="00C1528E" w:rsidP="00C1528E">
                  <w:pPr>
                    <w:numPr>
                      <w:ilvl w:val="0"/>
                      <w:numId w:val="8"/>
                    </w:numPr>
                    <w:tabs>
                      <w:tab w:val="clear" w:pos="360"/>
                    </w:tabs>
                    <w:spacing w:after="0" w:line="240" w:lineRule="auto"/>
                  </w:pPr>
                  <w:r>
                    <w:t>If not, was the rejection based on sound reasons?</w:t>
                  </w:r>
                </w:p>
              </w:tc>
              <w:tc>
                <w:tcPr>
                  <w:tcW w:w="690" w:type="dxa"/>
                </w:tcPr>
                <w:p w14:paraId="50A0499C" w14:textId="77777777" w:rsidR="00C1528E" w:rsidRDefault="00C1528E" w:rsidP="002B55BD"/>
              </w:tc>
              <w:tc>
                <w:tcPr>
                  <w:tcW w:w="690" w:type="dxa"/>
                </w:tcPr>
                <w:p w14:paraId="3034CDF9" w14:textId="77777777" w:rsidR="00C1528E" w:rsidRDefault="00C1528E" w:rsidP="002B55BD"/>
              </w:tc>
              <w:tc>
                <w:tcPr>
                  <w:tcW w:w="690" w:type="dxa"/>
                </w:tcPr>
                <w:p w14:paraId="74CE9D4D" w14:textId="77777777" w:rsidR="00C1528E" w:rsidRDefault="00C1528E" w:rsidP="002B55BD"/>
              </w:tc>
              <w:tc>
                <w:tcPr>
                  <w:tcW w:w="2160" w:type="dxa"/>
                </w:tcPr>
                <w:p w14:paraId="357576A1" w14:textId="77777777" w:rsidR="00C1528E" w:rsidRDefault="00C1528E" w:rsidP="002B55BD"/>
              </w:tc>
            </w:tr>
            <w:tr w:rsidR="00C1528E" w14:paraId="31BF944E" w14:textId="77777777" w:rsidTr="002B55BD">
              <w:trPr>
                <w:trHeight w:hRule="exact" w:val="892"/>
              </w:trPr>
              <w:tc>
                <w:tcPr>
                  <w:tcW w:w="540" w:type="dxa"/>
                </w:tcPr>
                <w:p w14:paraId="2D9A7B9B" w14:textId="77777777" w:rsidR="00C1528E" w:rsidRDefault="00C1528E" w:rsidP="002B55BD">
                  <w:pPr>
                    <w:jc w:val="center"/>
                  </w:pPr>
                </w:p>
              </w:tc>
              <w:tc>
                <w:tcPr>
                  <w:tcW w:w="4500" w:type="dxa"/>
                  <w:vAlign w:val="center"/>
                </w:tcPr>
                <w:p w14:paraId="1A84BA29" w14:textId="77777777" w:rsidR="00C1528E" w:rsidRDefault="00C1528E" w:rsidP="00C1528E">
                  <w:pPr>
                    <w:numPr>
                      <w:ilvl w:val="0"/>
                      <w:numId w:val="8"/>
                    </w:numPr>
                    <w:tabs>
                      <w:tab w:val="clear" w:pos="360"/>
                    </w:tabs>
                    <w:spacing w:after="0" w:line="240" w:lineRule="auto"/>
                  </w:pPr>
                  <w:r>
                    <w:t>Did the grantee utilize a local preference zone?  (Not allowed with federal funds.)</w:t>
                  </w:r>
                </w:p>
              </w:tc>
              <w:tc>
                <w:tcPr>
                  <w:tcW w:w="690" w:type="dxa"/>
                </w:tcPr>
                <w:p w14:paraId="70E669FE" w14:textId="77777777" w:rsidR="00C1528E" w:rsidRDefault="00C1528E" w:rsidP="002B55BD"/>
              </w:tc>
              <w:tc>
                <w:tcPr>
                  <w:tcW w:w="690" w:type="dxa"/>
                </w:tcPr>
                <w:p w14:paraId="527D30D4" w14:textId="77777777" w:rsidR="00C1528E" w:rsidRDefault="00C1528E" w:rsidP="002B55BD"/>
              </w:tc>
              <w:tc>
                <w:tcPr>
                  <w:tcW w:w="690" w:type="dxa"/>
                </w:tcPr>
                <w:p w14:paraId="27C72316" w14:textId="77777777" w:rsidR="00C1528E" w:rsidRDefault="00C1528E" w:rsidP="002B55BD"/>
              </w:tc>
              <w:tc>
                <w:tcPr>
                  <w:tcW w:w="2160" w:type="dxa"/>
                </w:tcPr>
                <w:p w14:paraId="1D99D651" w14:textId="77777777" w:rsidR="00C1528E" w:rsidRDefault="00C1528E" w:rsidP="002B55BD"/>
              </w:tc>
            </w:tr>
          </w:tbl>
          <w:p w14:paraId="1DA934A0" w14:textId="77777777" w:rsidR="00C1528E" w:rsidRDefault="00C1528E" w:rsidP="002B55BD"/>
          <w:p w14:paraId="7F54B21E" w14:textId="77777777" w:rsidR="00C1528E" w:rsidRPr="00F63305" w:rsidRDefault="00C1528E" w:rsidP="002B55BD">
            <w:pPr>
              <w:pStyle w:val="Footer"/>
              <w:rPr>
                <w:b/>
              </w:rPr>
            </w:pPr>
            <w:r>
              <w:rPr>
                <w:b/>
              </w:rPr>
              <w:t>II.     Bonding, Insurance, and Contract Requirements</w:t>
            </w:r>
          </w:p>
          <w:p w14:paraId="6F421A7D" w14:textId="77777777" w:rsidR="00C1528E" w:rsidRDefault="00C1528E" w:rsidP="002B55BD"/>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0"/>
              <w:gridCol w:w="690"/>
              <w:gridCol w:w="690"/>
              <w:gridCol w:w="690"/>
              <w:gridCol w:w="2160"/>
            </w:tblGrid>
            <w:tr w:rsidR="00C1528E" w14:paraId="37821D71" w14:textId="77777777" w:rsidTr="002B55BD">
              <w:trPr>
                <w:trHeight w:hRule="exact" w:val="352"/>
              </w:trPr>
              <w:tc>
                <w:tcPr>
                  <w:tcW w:w="540" w:type="dxa"/>
                  <w:tcBorders>
                    <w:top w:val="single" w:sz="4" w:space="0" w:color="auto"/>
                  </w:tcBorders>
                </w:tcPr>
                <w:p w14:paraId="55FF1556" w14:textId="77777777" w:rsidR="00C1528E" w:rsidRDefault="00C1528E" w:rsidP="002B55BD">
                  <w:pPr>
                    <w:pStyle w:val="Footer"/>
                  </w:pPr>
                  <w:r>
                    <w:t>A.</w:t>
                  </w:r>
                </w:p>
              </w:tc>
              <w:tc>
                <w:tcPr>
                  <w:tcW w:w="4500" w:type="dxa"/>
                  <w:tcBorders>
                    <w:top w:val="single" w:sz="4" w:space="0" w:color="auto"/>
                  </w:tcBorders>
                  <w:vAlign w:val="center"/>
                </w:tcPr>
                <w:p w14:paraId="35E25BAF" w14:textId="77777777" w:rsidR="00C1528E" w:rsidRDefault="00C1528E" w:rsidP="002B55BD">
                  <w:r>
                    <w:t>Were contracts properly executed?</w:t>
                  </w:r>
                </w:p>
              </w:tc>
              <w:tc>
                <w:tcPr>
                  <w:tcW w:w="690" w:type="dxa"/>
                  <w:tcBorders>
                    <w:top w:val="single" w:sz="4" w:space="0" w:color="auto"/>
                  </w:tcBorders>
                </w:tcPr>
                <w:p w14:paraId="47E42170" w14:textId="77777777" w:rsidR="00C1528E" w:rsidRDefault="00C1528E" w:rsidP="002B55BD"/>
              </w:tc>
              <w:tc>
                <w:tcPr>
                  <w:tcW w:w="690" w:type="dxa"/>
                  <w:tcBorders>
                    <w:top w:val="single" w:sz="4" w:space="0" w:color="auto"/>
                  </w:tcBorders>
                </w:tcPr>
                <w:p w14:paraId="15E3AFDD" w14:textId="77777777" w:rsidR="00C1528E" w:rsidRDefault="00C1528E" w:rsidP="002B55BD"/>
              </w:tc>
              <w:tc>
                <w:tcPr>
                  <w:tcW w:w="690" w:type="dxa"/>
                  <w:tcBorders>
                    <w:top w:val="single" w:sz="4" w:space="0" w:color="auto"/>
                  </w:tcBorders>
                </w:tcPr>
                <w:p w14:paraId="5ADE7385" w14:textId="77777777" w:rsidR="00C1528E" w:rsidRDefault="00C1528E" w:rsidP="002B55BD"/>
              </w:tc>
              <w:tc>
                <w:tcPr>
                  <w:tcW w:w="2160" w:type="dxa"/>
                  <w:tcBorders>
                    <w:top w:val="single" w:sz="4" w:space="0" w:color="auto"/>
                  </w:tcBorders>
                </w:tcPr>
                <w:p w14:paraId="2302A509" w14:textId="77777777" w:rsidR="00C1528E" w:rsidRDefault="00C1528E" w:rsidP="002B55BD"/>
              </w:tc>
            </w:tr>
            <w:tr w:rsidR="00C1528E" w14:paraId="024EA98D" w14:textId="77777777" w:rsidTr="002B55BD">
              <w:trPr>
                <w:trHeight w:hRule="exact" w:val="622"/>
              </w:trPr>
              <w:tc>
                <w:tcPr>
                  <w:tcW w:w="540" w:type="dxa"/>
                  <w:tcBorders>
                    <w:top w:val="single" w:sz="4" w:space="0" w:color="auto"/>
                  </w:tcBorders>
                </w:tcPr>
                <w:p w14:paraId="15B0435B" w14:textId="77777777" w:rsidR="00C1528E" w:rsidRDefault="00C1528E" w:rsidP="002B55BD">
                  <w:pPr>
                    <w:pStyle w:val="Footer"/>
                  </w:pPr>
                  <w:r>
                    <w:t>B.</w:t>
                  </w:r>
                </w:p>
              </w:tc>
              <w:tc>
                <w:tcPr>
                  <w:tcW w:w="4500" w:type="dxa"/>
                  <w:tcBorders>
                    <w:top w:val="single" w:sz="4" w:space="0" w:color="auto"/>
                  </w:tcBorders>
                  <w:vAlign w:val="center"/>
                </w:tcPr>
                <w:p w14:paraId="2614C297" w14:textId="77777777" w:rsidR="00C1528E" w:rsidRDefault="00C1528E" w:rsidP="002B55BD">
                  <w:r>
                    <w:t>Were contracts entered into after the Removal of Grant Conditions?</w:t>
                  </w:r>
                </w:p>
              </w:tc>
              <w:tc>
                <w:tcPr>
                  <w:tcW w:w="690" w:type="dxa"/>
                  <w:tcBorders>
                    <w:top w:val="single" w:sz="4" w:space="0" w:color="auto"/>
                  </w:tcBorders>
                </w:tcPr>
                <w:p w14:paraId="0579EE1B" w14:textId="77777777" w:rsidR="00C1528E" w:rsidRDefault="00C1528E" w:rsidP="002B55BD"/>
              </w:tc>
              <w:tc>
                <w:tcPr>
                  <w:tcW w:w="690" w:type="dxa"/>
                  <w:tcBorders>
                    <w:top w:val="single" w:sz="4" w:space="0" w:color="auto"/>
                  </w:tcBorders>
                </w:tcPr>
                <w:p w14:paraId="31B02DB8" w14:textId="77777777" w:rsidR="00C1528E" w:rsidRDefault="00C1528E" w:rsidP="002B55BD"/>
              </w:tc>
              <w:tc>
                <w:tcPr>
                  <w:tcW w:w="690" w:type="dxa"/>
                  <w:tcBorders>
                    <w:top w:val="single" w:sz="4" w:space="0" w:color="auto"/>
                  </w:tcBorders>
                </w:tcPr>
                <w:p w14:paraId="4ED6B041" w14:textId="77777777" w:rsidR="00C1528E" w:rsidRDefault="00C1528E" w:rsidP="002B55BD"/>
              </w:tc>
              <w:tc>
                <w:tcPr>
                  <w:tcW w:w="2160" w:type="dxa"/>
                  <w:tcBorders>
                    <w:top w:val="single" w:sz="4" w:space="0" w:color="auto"/>
                  </w:tcBorders>
                </w:tcPr>
                <w:p w14:paraId="1D34813C" w14:textId="77777777" w:rsidR="00C1528E" w:rsidRDefault="00C1528E" w:rsidP="002B55BD"/>
              </w:tc>
            </w:tr>
            <w:tr w:rsidR="00C1528E" w14:paraId="40085388" w14:textId="77777777" w:rsidTr="002B55BD">
              <w:trPr>
                <w:trHeight w:hRule="exact" w:val="622"/>
              </w:trPr>
              <w:tc>
                <w:tcPr>
                  <w:tcW w:w="540" w:type="dxa"/>
                  <w:tcBorders>
                    <w:top w:val="single" w:sz="4" w:space="0" w:color="auto"/>
                  </w:tcBorders>
                </w:tcPr>
                <w:p w14:paraId="1ECB3607" w14:textId="77777777" w:rsidR="00C1528E" w:rsidRDefault="00C1528E" w:rsidP="002B55BD">
                  <w:pPr>
                    <w:pStyle w:val="Footer"/>
                  </w:pPr>
                  <w:r>
                    <w:t>C.</w:t>
                  </w:r>
                </w:p>
              </w:tc>
              <w:tc>
                <w:tcPr>
                  <w:tcW w:w="4500" w:type="dxa"/>
                  <w:tcBorders>
                    <w:top w:val="single" w:sz="4" w:space="0" w:color="auto"/>
                  </w:tcBorders>
                  <w:vAlign w:val="center"/>
                </w:tcPr>
                <w:p w14:paraId="74E48009" w14:textId="77777777" w:rsidR="00C1528E" w:rsidRDefault="00C1528E" w:rsidP="002B55BD">
                  <w:r>
                    <w:t>How was the contract price determined (lump sum, unit price, etc.)?</w:t>
                  </w:r>
                </w:p>
              </w:tc>
              <w:tc>
                <w:tcPr>
                  <w:tcW w:w="690" w:type="dxa"/>
                  <w:tcBorders>
                    <w:top w:val="single" w:sz="4" w:space="0" w:color="auto"/>
                  </w:tcBorders>
                </w:tcPr>
                <w:p w14:paraId="7D10D3C6" w14:textId="77777777" w:rsidR="00C1528E" w:rsidRDefault="00C1528E" w:rsidP="002B55BD"/>
              </w:tc>
              <w:tc>
                <w:tcPr>
                  <w:tcW w:w="690" w:type="dxa"/>
                  <w:tcBorders>
                    <w:top w:val="single" w:sz="4" w:space="0" w:color="auto"/>
                  </w:tcBorders>
                </w:tcPr>
                <w:p w14:paraId="09995289" w14:textId="77777777" w:rsidR="00C1528E" w:rsidRDefault="00C1528E" w:rsidP="002B55BD"/>
              </w:tc>
              <w:tc>
                <w:tcPr>
                  <w:tcW w:w="690" w:type="dxa"/>
                  <w:tcBorders>
                    <w:top w:val="single" w:sz="4" w:space="0" w:color="auto"/>
                  </w:tcBorders>
                </w:tcPr>
                <w:p w14:paraId="5A001222" w14:textId="77777777" w:rsidR="00C1528E" w:rsidRDefault="00C1528E" w:rsidP="002B55BD"/>
              </w:tc>
              <w:tc>
                <w:tcPr>
                  <w:tcW w:w="2160" w:type="dxa"/>
                  <w:tcBorders>
                    <w:top w:val="single" w:sz="4" w:space="0" w:color="auto"/>
                  </w:tcBorders>
                </w:tcPr>
                <w:p w14:paraId="4FC47D50" w14:textId="77777777" w:rsidR="00C1528E" w:rsidRDefault="00C1528E" w:rsidP="002B55BD"/>
              </w:tc>
            </w:tr>
            <w:tr w:rsidR="00C1528E" w14:paraId="6AE0AE35" w14:textId="77777777" w:rsidTr="002B55BD">
              <w:trPr>
                <w:trHeight w:hRule="exact" w:val="838"/>
              </w:trPr>
              <w:tc>
                <w:tcPr>
                  <w:tcW w:w="540" w:type="dxa"/>
                  <w:tcBorders>
                    <w:top w:val="single" w:sz="4" w:space="0" w:color="auto"/>
                  </w:tcBorders>
                </w:tcPr>
                <w:p w14:paraId="1A7970B6" w14:textId="77777777" w:rsidR="00C1528E" w:rsidRDefault="00C1528E" w:rsidP="002B55BD">
                  <w:pPr>
                    <w:pStyle w:val="Footer"/>
                  </w:pPr>
                  <w:r>
                    <w:t>D.</w:t>
                  </w:r>
                </w:p>
              </w:tc>
              <w:tc>
                <w:tcPr>
                  <w:tcW w:w="4500" w:type="dxa"/>
                  <w:tcBorders>
                    <w:top w:val="single" w:sz="4" w:space="0" w:color="auto"/>
                  </w:tcBorders>
                  <w:vAlign w:val="center"/>
                </w:tcPr>
                <w:p w14:paraId="3FE5A399" w14:textId="77777777" w:rsidR="00C1528E" w:rsidRDefault="00C1528E" w:rsidP="002B55BD">
                  <w:r>
                    <w:t>For construction contracts for public works projects has the grantee obtained:</w:t>
                  </w:r>
                </w:p>
              </w:tc>
              <w:tc>
                <w:tcPr>
                  <w:tcW w:w="690" w:type="dxa"/>
                  <w:tcBorders>
                    <w:top w:val="single" w:sz="4" w:space="0" w:color="auto"/>
                  </w:tcBorders>
                </w:tcPr>
                <w:p w14:paraId="67C2083C" w14:textId="77777777" w:rsidR="00C1528E" w:rsidRDefault="00C1528E" w:rsidP="002B55BD"/>
              </w:tc>
              <w:tc>
                <w:tcPr>
                  <w:tcW w:w="690" w:type="dxa"/>
                  <w:tcBorders>
                    <w:top w:val="single" w:sz="4" w:space="0" w:color="auto"/>
                  </w:tcBorders>
                </w:tcPr>
                <w:p w14:paraId="19C2D5F8" w14:textId="77777777" w:rsidR="00C1528E" w:rsidRDefault="00C1528E" w:rsidP="002B55BD"/>
              </w:tc>
              <w:tc>
                <w:tcPr>
                  <w:tcW w:w="690" w:type="dxa"/>
                  <w:tcBorders>
                    <w:top w:val="single" w:sz="4" w:space="0" w:color="auto"/>
                  </w:tcBorders>
                </w:tcPr>
                <w:p w14:paraId="62973B59" w14:textId="77777777" w:rsidR="00C1528E" w:rsidRDefault="00C1528E" w:rsidP="002B55BD"/>
              </w:tc>
              <w:tc>
                <w:tcPr>
                  <w:tcW w:w="2160" w:type="dxa"/>
                  <w:tcBorders>
                    <w:top w:val="single" w:sz="4" w:space="0" w:color="auto"/>
                  </w:tcBorders>
                </w:tcPr>
                <w:p w14:paraId="5ECC9E45" w14:textId="77777777" w:rsidR="00C1528E" w:rsidRDefault="00C1528E" w:rsidP="002B55BD"/>
              </w:tc>
            </w:tr>
            <w:tr w:rsidR="00C1528E" w14:paraId="015F7C6F" w14:textId="77777777" w:rsidTr="002B55BD">
              <w:trPr>
                <w:trHeight w:hRule="exact" w:val="631"/>
              </w:trPr>
              <w:tc>
                <w:tcPr>
                  <w:tcW w:w="540" w:type="dxa"/>
                </w:tcPr>
                <w:p w14:paraId="48880BBC" w14:textId="77777777" w:rsidR="00C1528E" w:rsidRDefault="00C1528E" w:rsidP="002B55BD">
                  <w:pPr>
                    <w:jc w:val="center"/>
                  </w:pPr>
                </w:p>
              </w:tc>
              <w:tc>
                <w:tcPr>
                  <w:tcW w:w="4500" w:type="dxa"/>
                  <w:vAlign w:val="center"/>
                </w:tcPr>
                <w:p w14:paraId="2636F51A" w14:textId="77777777" w:rsidR="00C1528E" w:rsidRDefault="00C1528E" w:rsidP="00C1528E">
                  <w:pPr>
                    <w:numPr>
                      <w:ilvl w:val="0"/>
                      <w:numId w:val="9"/>
                    </w:numPr>
                    <w:spacing w:after="0" w:line="240" w:lineRule="auto"/>
                  </w:pPr>
                  <w:r>
                    <w:t>A bid guarantee of 5%.</w:t>
                  </w:r>
                </w:p>
              </w:tc>
              <w:tc>
                <w:tcPr>
                  <w:tcW w:w="690" w:type="dxa"/>
                </w:tcPr>
                <w:p w14:paraId="2565BD10" w14:textId="77777777" w:rsidR="00C1528E" w:rsidRDefault="00C1528E" w:rsidP="002B55BD"/>
              </w:tc>
              <w:tc>
                <w:tcPr>
                  <w:tcW w:w="690" w:type="dxa"/>
                </w:tcPr>
                <w:p w14:paraId="4B12E7C1" w14:textId="77777777" w:rsidR="00C1528E" w:rsidRDefault="00C1528E" w:rsidP="002B55BD"/>
              </w:tc>
              <w:tc>
                <w:tcPr>
                  <w:tcW w:w="690" w:type="dxa"/>
                </w:tcPr>
                <w:p w14:paraId="2F51A1E5" w14:textId="77777777" w:rsidR="00C1528E" w:rsidRDefault="00C1528E" w:rsidP="002B55BD"/>
              </w:tc>
              <w:tc>
                <w:tcPr>
                  <w:tcW w:w="2160" w:type="dxa"/>
                </w:tcPr>
                <w:p w14:paraId="69BC8C4E" w14:textId="77777777" w:rsidR="00C1528E" w:rsidRDefault="00C1528E" w:rsidP="002B55BD"/>
              </w:tc>
            </w:tr>
            <w:tr w:rsidR="00C1528E" w14:paraId="3E1BC7CA" w14:textId="77777777" w:rsidTr="002B55BD">
              <w:trPr>
                <w:trHeight w:hRule="exact" w:val="838"/>
              </w:trPr>
              <w:tc>
                <w:tcPr>
                  <w:tcW w:w="540" w:type="dxa"/>
                </w:tcPr>
                <w:p w14:paraId="4735579C" w14:textId="77777777" w:rsidR="00C1528E" w:rsidRDefault="00C1528E" w:rsidP="002B55BD">
                  <w:pPr>
                    <w:jc w:val="center"/>
                  </w:pPr>
                </w:p>
              </w:tc>
              <w:tc>
                <w:tcPr>
                  <w:tcW w:w="4500" w:type="dxa"/>
                  <w:vAlign w:val="center"/>
                </w:tcPr>
                <w:p w14:paraId="646ED8BB" w14:textId="77777777" w:rsidR="00C1528E" w:rsidRDefault="00C1528E" w:rsidP="00C1528E">
                  <w:pPr>
                    <w:numPr>
                      <w:ilvl w:val="0"/>
                      <w:numId w:val="9"/>
                    </w:numPr>
                    <w:spacing w:after="0" w:line="240" w:lineRule="auto"/>
                  </w:pPr>
                  <w:r>
                    <w:t>A performance bond from the contractor for 100% of the contract price?</w:t>
                  </w:r>
                </w:p>
              </w:tc>
              <w:tc>
                <w:tcPr>
                  <w:tcW w:w="690" w:type="dxa"/>
                </w:tcPr>
                <w:p w14:paraId="0B7D7A2B" w14:textId="77777777" w:rsidR="00C1528E" w:rsidRDefault="00C1528E" w:rsidP="002B55BD"/>
              </w:tc>
              <w:tc>
                <w:tcPr>
                  <w:tcW w:w="690" w:type="dxa"/>
                </w:tcPr>
                <w:p w14:paraId="67C47D3D" w14:textId="77777777" w:rsidR="00C1528E" w:rsidRDefault="00C1528E" w:rsidP="002B55BD"/>
              </w:tc>
              <w:tc>
                <w:tcPr>
                  <w:tcW w:w="690" w:type="dxa"/>
                </w:tcPr>
                <w:p w14:paraId="78058125" w14:textId="77777777" w:rsidR="00C1528E" w:rsidRDefault="00C1528E" w:rsidP="002B55BD"/>
              </w:tc>
              <w:tc>
                <w:tcPr>
                  <w:tcW w:w="2160" w:type="dxa"/>
                </w:tcPr>
                <w:p w14:paraId="06386F8A" w14:textId="77777777" w:rsidR="00C1528E" w:rsidRDefault="00C1528E" w:rsidP="002B55BD"/>
              </w:tc>
            </w:tr>
            <w:tr w:rsidR="00C1528E" w14:paraId="07FC2E7E" w14:textId="77777777" w:rsidTr="002B55BD">
              <w:trPr>
                <w:trHeight w:hRule="exact" w:val="1234"/>
              </w:trPr>
              <w:tc>
                <w:tcPr>
                  <w:tcW w:w="540" w:type="dxa"/>
                </w:tcPr>
                <w:p w14:paraId="4ACC753C" w14:textId="77777777" w:rsidR="00C1528E" w:rsidRDefault="00C1528E" w:rsidP="002B55BD">
                  <w:pPr>
                    <w:pStyle w:val="Header"/>
                    <w:jc w:val="center"/>
                  </w:pPr>
                </w:p>
              </w:tc>
              <w:tc>
                <w:tcPr>
                  <w:tcW w:w="4500" w:type="dxa"/>
                  <w:vAlign w:val="center"/>
                </w:tcPr>
                <w:p w14:paraId="20BA6B5F" w14:textId="77777777" w:rsidR="00C1528E" w:rsidRDefault="00C1528E" w:rsidP="002B55BD">
                  <w:r>
                    <w:t>A payment bond from the contractor:</w:t>
                  </w:r>
                </w:p>
                <w:p w14:paraId="2AB5D68F" w14:textId="77777777" w:rsidR="00C1528E" w:rsidRDefault="00C1528E" w:rsidP="002B55BD"/>
                <w:p w14:paraId="1CF4E486" w14:textId="77777777" w:rsidR="00C1528E" w:rsidRDefault="00C1528E" w:rsidP="00C1528E">
                  <w:pPr>
                    <w:numPr>
                      <w:ilvl w:val="0"/>
                      <w:numId w:val="12"/>
                    </w:numPr>
                    <w:spacing w:after="0" w:line="240" w:lineRule="auto"/>
                  </w:pPr>
                  <w:r>
                    <w:t>50% for contracts under $100,000</w:t>
                  </w:r>
                </w:p>
                <w:p w14:paraId="79EFA179" w14:textId="77777777" w:rsidR="00C1528E" w:rsidRDefault="00C1528E" w:rsidP="00C1528E">
                  <w:pPr>
                    <w:numPr>
                      <w:ilvl w:val="0"/>
                      <w:numId w:val="12"/>
                    </w:numPr>
                    <w:spacing w:after="0" w:line="240" w:lineRule="auto"/>
                  </w:pPr>
                  <w:r>
                    <w:t>100% for contracts $100,000 or over</w:t>
                  </w:r>
                </w:p>
              </w:tc>
              <w:tc>
                <w:tcPr>
                  <w:tcW w:w="690" w:type="dxa"/>
                </w:tcPr>
                <w:p w14:paraId="79129305" w14:textId="77777777" w:rsidR="00C1528E" w:rsidRDefault="00C1528E" w:rsidP="002B55BD"/>
              </w:tc>
              <w:tc>
                <w:tcPr>
                  <w:tcW w:w="690" w:type="dxa"/>
                </w:tcPr>
                <w:p w14:paraId="589F0E97" w14:textId="77777777" w:rsidR="00C1528E" w:rsidRDefault="00C1528E" w:rsidP="002B55BD"/>
              </w:tc>
              <w:tc>
                <w:tcPr>
                  <w:tcW w:w="690" w:type="dxa"/>
                </w:tcPr>
                <w:p w14:paraId="68FFA6B9" w14:textId="77777777" w:rsidR="00C1528E" w:rsidRDefault="00C1528E" w:rsidP="002B55BD"/>
              </w:tc>
              <w:tc>
                <w:tcPr>
                  <w:tcW w:w="2160" w:type="dxa"/>
                </w:tcPr>
                <w:p w14:paraId="32ABE851" w14:textId="77777777" w:rsidR="00C1528E" w:rsidRDefault="00C1528E" w:rsidP="002B55BD"/>
              </w:tc>
            </w:tr>
            <w:tr w:rsidR="00C1528E" w14:paraId="4508369A" w14:textId="77777777" w:rsidTr="002B55BD">
              <w:trPr>
                <w:trHeight w:hRule="exact" w:val="721"/>
              </w:trPr>
              <w:tc>
                <w:tcPr>
                  <w:tcW w:w="540" w:type="dxa"/>
                </w:tcPr>
                <w:p w14:paraId="70903AB0" w14:textId="77777777" w:rsidR="00C1528E" w:rsidRDefault="00C1528E" w:rsidP="002B55BD">
                  <w:pPr>
                    <w:pStyle w:val="Header"/>
                    <w:jc w:val="center"/>
                  </w:pPr>
                </w:p>
              </w:tc>
              <w:tc>
                <w:tcPr>
                  <w:tcW w:w="4500" w:type="dxa"/>
                  <w:vAlign w:val="center"/>
                </w:tcPr>
                <w:p w14:paraId="68286480" w14:textId="77777777" w:rsidR="00C1528E" w:rsidRDefault="00C1528E" w:rsidP="00C1528E">
                  <w:pPr>
                    <w:numPr>
                      <w:ilvl w:val="0"/>
                      <w:numId w:val="9"/>
                    </w:numPr>
                    <w:spacing w:after="0" w:line="240" w:lineRule="auto"/>
                  </w:pPr>
                  <w:r>
                    <w:t>Evidence of insurance as required by bid documents?</w:t>
                  </w:r>
                </w:p>
              </w:tc>
              <w:tc>
                <w:tcPr>
                  <w:tcW w:w="690" w:type="dxa"/>
                </w:tcPr>
                <w:p w14:paraId="70A4785C" w14:textId="77777777" w:rsidR="00C1528E" w:rsidRDefault="00C1528E" w:rsidP="002B55BD"/>
              </w:tc>
              <w:tc>
                <w:tcPr>
                  <w:tcW w:w="690" w:type="dxa"/>
                </w:tcPr>
                <w:p w14:paraId="70AA56E8" w14:textId="77777777" w:rsidR="00C1528E" w:rsidRDefault="00C1528E" w:rsidP="002B55BD"/>
              </w:tc>
              <w:tc>
                <w:tcPr>
                  <w:tcW w:w="690" w:type="dxa"/>
                </w:tcPr>
                <w:p w14:paraId="51D4FB4A" w14:textId="77777777" w:rsidR="00C1528E" w:rsidRDefault="00C1528E" w:rsidP="002B55BD"/>
              </w:tc>
              <w:tc>
                <w:tcPr>
                  <w:tcW w:w="2160" w:type="dxa"/>
                </w:tcPr>
                <w:p w14:paraId="72B92D35" w14:textId="77777777" w:rsidR="00C1528E" w:rsidRDefault="00C1528E" w:rsidP="002B55BD"/>
              </w:tc>
            </w:tr>
            <w:tr w:rsidR="00C1528E" w14:paraId="4D0AC38F" w14:textId="77777777" w:rsidTr="002B55BD">
              <w:trPr>
                <w:trHeight w:hRule="exact" w:val="1212"/>
              </w:trPr>
              <w:tc>
                <w:tcPr>
                  <w:tcW w:w="540" w:type="dxa"/>
                </w:tcPr>
                <w:p w14:paraId="67237E98" w14:textId="77777777" w:rsidR="00C1528E" w:rsidRDefault="00C1528E" w:rsidP="002B55BD">
                  <w:r>
                    <w:t>E.</w:t>
                  </w:r>
                </w:p>
              </w:tc>
              <w:tc>
                <w:tcPr>
                  <w:tcW w:w="4500" w:type="dxa"/>
                  <w:vAlign w:val="center"/>
                </w:tcPr>
                <w:p w14:paraId="57BC8674" w14:textId="77777777" w:rsidR="00C1528E" w:rsidRDefault="00C1528E" w:rsidP="002B55BD">
                  <w:r>
                    <w:t>For contracts $100,000 or over, were the bid documents and contract awards processes certified to by the grantee’s attorney?</w:t>
                  </w:r>
                </w:p>
              </w:tc>
              <w:tc>
                <w:tcPr>
                  <w:tcW w:w="690" w:type="dxa"/>
                </w:tcPr>
                <w:p w14:paraId="767EE5EE" w14:textId="77777777" w:rsidR="00C1528E" w:rsidRDefault="00C1528E" w:rsidP="002B55BD"/>
              </w:tc>
              <w:tc>
                <w:tcPr>
                  <w:tcW w:w="690" w:type="dxa"/>
                </w:tcPr>
                <w:p w14:paraId="7D47DAD6" w14:textId="77777777" w:rsidR="00C1528E" w:rsidRDefault="00C1528E" w:rsidP="002B55BD"/>
              </w:tc>
              <w:tc>
                <w:tcPr>
                  <w:tcW w:w="690" w:type="dxa"/>
                </w:tcPr>
                <w:p w14:paraId="48A33BDA" w14:textId="77777777" w:rsidR="00C1528E" w:rsidRDefault="00C1528E" w:rsidP="002B55BD"/>
              </w:tc>
              <w:tc>
                <w:tcPr>
                  <w:tcW w:w="2160" w:type="dxa"/>
                </w:tcPr>
                <w:p w14:paraId="393BFAA1" w14:textId="77777777" w:rsidR="00C1528E" w:rsidRDefault="00C1528E" w:rsidP="002B55BD"/>
              </w:tc>
            </w:tr>
            <w:tr w:rsidR="00C1528E" w14:paraId="5BDC6961" w14:textId="77777777" w:rsidTr="002B55BD">
              <w:trPr>
                <w:trHeight w:hRule="exact" w:val="1167"/>
              </w:trPr>
              <w:tc>
                <w:tcPr>
                  <w:tcW w:w="540" w:type="dxa"/>
                </w:tcPr>
                <w:p w14:paraId="30FD3352" w14:textId="77777777" w:rsidR="00C1528E" w:rsidRDefault="00C1528E" w:rsidP="002B55BD">
                  <w:r>
                    <w:t>F.</w:t>
                  </w:r>
                </w:p>
              </w:tc>
              <w:tc>
                <w:tcPr>
                  <w:tcW w:w="4500" w:type="dxa"/>
                  <w:vAlign w:val="center"/>
                </w:tcPr>
                <w:p w14:paraId="7CA6999E" w14:textId="77777777" w:rsidR="00C1528E" w:rsidRDefault="00C1528E" w:rsidP="002B55BD">
                  <w:r>
                    <w:t>Was the Beason-Hammon Clause included in the contract?  (Any contract or amendment with an effective date of 4/1/12 or later.)</w:t>
                  </w:r>
                </w:p>
                <w:p w14:paraId="1E603185" w14:textId="77777777" w:rsidR="00C1528E" w:rsidRDefault="00C1528E" w:rsidP="002B55BD"/>
                <w:p w14:paraId="6B587D2D" w14:textId="77777777" w:rsidR="00C1528E" w:rsidRDefault="00C1528E" w:rsidP="002B55BD"/>
              </w:tc>
              <w:tc>
                <w:tcPr>
                  <w:tcW w:w="690" w:type="dxa"/>
                </w:tcPr>
                <w:p w14:paraId="3CC71A97" w14:textId="77777777" w:rsidR="00C1528E" w:rsidRDefault="00C1528E" w:rsidP="002B55BD"/>
              </w:tc>
              <w:tc>
                <w:tcPr>
                  <w:tcW w:w="690" w:type="dxa"/>
                </w:tcPr>
                <w:p w14:paraId="3D53D46B" w14:textId="77777777" w:rsidR="00C1528E" w:rsidRDefault="00C1528E" w:rsidP="002B55BD"/>
              </w:tc>
              <w:tc>
                <w:tcPr>
                  <w:tcW w:w="690" w:type="dxa"/>
                </w:tcPr>
                <w:p w14:paraId="5408E43D" w14:textId="77777777" w:rsidR="00C1528E" w:rsidRDefault="00C1528E" w:rsidP="002B55BD"/>
              </w:tc>
              <w:tc>
                <w:tcPr>
                  <w:tcW w:w="2160" w:type="dxa"/>
                </w:tcPr>
                <w:p w14:paraId="7428CA0E" w14:textId="77777777" w:rsidR="00C1528E" w:rsidRDefault="00C1528E" w:rsidP="002B55BD"/>
              </w:tc>
            </w:tr>
            <w:tr w:rsidR="00C1528E" w14:paraId="35749230" w14:textId="77777777" w:rsidTr="002B55BD">
              <w:trPr>
                <w:trHeight w:hRule="exact" w:val="1797"/>
              </w:trPr>
              <w:tc>
                <w:tcPr>
                  <w:tcW w:w="540" w:type="dxa"/>
                </w:tcPr>
                <w:p w14:paraId="31C39677" w14:textId="77777777" w:rsidR="00C1528E" w:rsidRDefault="00C1528E" w:rsidP="002B55BD">
                  <w:r>
                    <w:t>G.</w:t>
                  </w:r>
                </w:p>
              </w:tc>
              <w:tc>
                <w:tcPr>
                  <w:tcW w:w="4500" w:type="dxa"/>
                  <w:vAlign w:val="center"/>
                </w:tcPr>
                <w:p w14:paraId="3770201C" w14:textId="77777777" w:rsidR="00C1528E" w:rsidRDefault="00C1528E" w:rsidP="002B55BD">
                  <w:r>
                    <w:t>Did the grantee maintain a copy of the Certification of Compliance with the Beason-Hammon Act and the E-Verify MOU in the CDBG Program Files? (Any contract or amendment with an effective date of 4/1/12 or later.)</w:t>
                  </w:r>
                </w:p>
                <w:p w14:paraId="638C9395" w14:textId="77777777" w:rsidR="00C1528E" w:rsidRDefault="00C1528E" w:rsidP="002B55BD"/>
                <w:p w14:paraId="2306AAED" w14:textId="77777777" w:rsidR="00C1528E" w:rsidRDefault="00C1528E" w:rsidP="002B55BD"/>
              </w:tc>
              <w:tc>
                <w:tcPr>
                  <w:tcW w:w="690" w:type="dxa"/>
                </w:tcPr>
                <w:p w14:paraId="51D7F9DF" w14:textId="77777777" w:rsidR="00C1528E" w:rsidRDefault="00C1528E" w:rsidP="002B55BD"/>
              </w:tc>
              <w:tc>
                <w:tcPr>
                  <w:tcW w:w="690" w:type="dxa"/>
                </w:tcPr>
                <w:p w14:paraId="6599CD8E" w14:textId="77777777" w:rsidR="00C1528E" w:rsidRDefault="00C1528E" w:rsidP="002B55BD"/>
              </w:tc>
              <w:tc>
                <w:tcPr>
                  <w:tcW w:w="690" w:type="dxa"/>
                </w:tcPr>
                <w:p w14:paraId="586FAFDA" w14:textId="77777777" w:rsidR="00C1528E" w:rsidRDefault="00C1528E" w:rsidP="002B55BD"/>
              </w:tc>
              <w:tc>
                <w:tcPr>
                  <w:tcW w:w="2160" w:type="dxa"/>
                </w:tcPr>
                <w:p w14:paraId="4FBA3448" w14:textId="77777777" w:rsidR="00C1528E" w:rsidRDefault="00C1528E" w:rsidP="002B55BD"/>
              </w:tc>
            </w:tr>
          </w:tbl>
          <w:p w14:paraId="541901B8" w14:textId="77777777" w:rsidR="00C1528E" w:rsidRDefault="00C1528E" w:rsidP="002B55BD">
            <w:pPr>
              <w:pStyle w:val="Footer"/>
            </w:pPr>
          </w:p>
          <w:p w14:paraId="5E63D838" w14:textId="77777777" w:rsidR="00C1528E" w:rsidRDefault="00C1528E" w:rsidP="002B55BD">
            <w:pPr>
              <w:pStyle w:val="Footer"/>
              <w:rPr>
                <w:b/>
              </w:rPr>
            </w:pPr>
            <w:r>
              <w:rPr>
                <w:b/>
              </w:rPr>
              <w:br w:type="page"/>
              <w:t>III.     General Conditions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0"/>
              <w:gridCol w:w="690"/>
              <w:gridCol w:w="690"/>
              <w:gridCol w:w="690"/>
              <w:gridCol w:w="2160"/>
            </w:tblGrid>
            <w:tr w:rsidR="00C1528E" w14:paraId="23BDC4D8" w14:textId="77777777" w:rsidTr="002B55BD">
              <w:trPr>
                <w:trHeight w:hRule="exact" w:val="357"/>
              </w:trPr>
              <w:tc>
                <w:tcPr>
                  <w:tcW w:w="540" w:type="dxa"/>
                  <w:tcBorders>
                    <w:top w:val="nil"/>
                    <w:left w:val="nil"/>
                    <w:bottom w:val="single" w:sz="4" w:space="0" w:color="auto"/>
                    <w:right w:val="nil"/>
                  </w:tcBorders>
                </w:tcPr>
                <w:p w14:paraId="376AB728" w14:textId="77777777" w:rsidR="00C1528E" w:rsidRDefault="00C1528E" w:rsidP="002B55BD">
                  <w:pPr>
                    <w:pStyle w:val="Footer"/>
                  </w:pPr>
                </w:p>
              </w:tc>
              <w:tc>
                <w:tcPr>
                  <w:tcW w:w="4500" w:type="dxa"/>
                  <w:tcBorders>
                    <w:top w:val="nil"/>
                    <w:left w:val="nil"/>
                    <w:bottom w:val="single" w:sz="4" w:space="0" w:color="auto"/>
                    <w:right w:val="nil"/>
                  </w:tcBorders>
                  <w:vAlign w:val="center"/>
                </w:tcPr>
                <w:p w14:paraId="14015911" w14:textId="77777777" w:rsidR="00C1528E" w:rsidRDefault="00C1528E" w:rsidP="002B55BD"/>
              </w:tc>
              <w:tc>
                <w:tcPr>
                  <w:tcW w:w="690" w:type="dxa"/>
                  <w:tcBorders>
                    <w:top w:val="nil"/>
                    <w:left w:val="nil"/>
                    <w:bottom w:val="single" w:sz="4" w:space="0" w:color="auto"/>
                    <w:right w:val="nil"/>
                  </w:tcBorders>
                </w:tcPr>
                <w:p w14:paraId="12C2AB5C" w14:textId="77777777" w:rsidR="00C1528E" w:rsidRDefault="00C1528E" w:rsidP="002B55BD">
                  <w:r>
                    <w:t>Yes</w:t>
                  </w:r>
                </w:p>
              </w:tc>
              <w:tc>
                <w:tcPr>
                  <w:tcW w:w="690" w:type="dxa"/>
                  <w:tcBorders>
                    <w:top w:val="nil"/>
                    <w:left w:val="nil"/>
                    <w:bottom w:val="single" w:sz="4" w:space="0" w:color="auto"/>
                    <w:right w:val="nil"/>
                  </w:tcBorders>
                </w:tcPr>
                <w:p w14:paraId="51349527" w14:textId="77777777" w:rsidR="00C1528E" w:rsidRDefault="00C1528E" w:rsidP="002B55BD">
                  <w:r>
                    <w:t>No</w:t>
                  </w:r>
                </w:p>
              </w:tc>
              <w:tc>
                <w:tcPr>
                  <w:tcW w:w="690" w:type="dxa"/>
                  <w:tcBorders>
                    <w:top w:val="nil"/>
                    <w:left w:val="nil"/>
                    <w:bottom w:val="single" w:sz="4" w:space="0" w:color="auto"/>
                    <w:right w:val="nil"/>
                  </w:tcBorders>
                </w:tcPr>
                <w:p w14:paraId="694AE3DD" w14:textId="77777777" w:rsidR="00C1528E" w:rsidRDefault="00C1528E" w:rsidP="002B55BD">
                  <w:r>
                    <w:t>N/A</w:t>
                  </w:r>
                </w:p>
              </w:tc>
              <w:tc>
                <w:tcPr>
                  <w:tcW w:w="2160" w:type="dxa"/>
                  <w:tcBorders>
                    <w:top w:val="nil"/>
                    <w:left w:val="nil"/>
                    <w:bottom w:val="single" w:sz="4" w:space="0" w:color="auto"/>
                    <w:right w:val="nil"/>
                  </w:tcBorders>
                </w:tcPr>
                <w:p w14:paraId="7914884C" w14:textId="77777777" w:rsidR="00C1528E" w:rsidRDefault="00C1528E" w:rsidP="002B55BD">
                  <w:r>
                    <w:t>Notes</w:t>
                  </w:r>
                </w:p>
              </w:tc>
            </w:tr>
            <w:tr w:rsidR="00C1528E" w14:paraId="541510A0" w14:textId="77777777" w:rsidTr="002B55BD">
              <w:trPr>
                <w:trHeight w:hRule="exact" w:val="1045"/>
              </w:trPr>
              <w:tc>
                <w:tcPr>
                  <w:tcW w:w="540" w:type="dxa"/>
                  <w:tcBorders>
                    <w:top w:val="single" w:sz="4" w:space="0" w:color="auto"/>
                  </w:tcBorders>
                </w:tcPr>
                <w:p w14:paraId="42356869" w14:textId="77777777" w:rsidR="00C1528E" w:rsidRDefault="00C1528E" w:rsidP="002B55BD">
                  <w:pPr>
                    <w:pStyle w:val="Footer"/>
                  </w:pPr>
                  <w:r>
                    <w:t>A.</w:t>
                  </w:r>
                </w:p>
              </w:tc>
              <w:tc>
                <w:tcPr>
                  <w:tcW w:w="4500" w:type="dxa"/>
                  <w:tcBorders>
                    <w:top w:val="single" w:sz="4" w:space="0" w:color="auto"/>
                  </w:tcBorders>
                  <w:vAlign w:val="center"/>
                </w:tcPr>
                <w:p w14:paraId="15F36B19" w14:textId="77777777" w:rsidR="00C1528E" w:rsidRDefault="00C1528E" w:rsidP="002B55BD">
                  <w:r>
                    <w:t>Does the contract require the contractors to keep all records for five years and to provide access to records?</w:t>
                  </w:r>
                </w:p>
                <w:p w14:paraId="36606796" w14:textId="77777777" w:rsidR="00C1528E" w:rsidRDefault="00C1528E" w:rsidP="002B55BD"/>
              </w:tc>
              <w:tc>
                <w:tcPr>
                  <w:tcW w:w="690" w:type="dxa"/>
                  <w:tcBorders>
                    <w:top w:val="single" w:sz="4" w:space="0" w:color="auto"/>
                  </w:tcBorders>
                </w:tcPr>
                <w:p w14:paraId="2B72C69A" w14:textId="77777777" w:rsidR="00C1528E" w:rsidRDefault="00C1528E" w:rsidP="002B55BD"/>
              </w:tc>
              <w:tc>
                <w:tcPr>
                  <w:tcW w:w="690" w:type="dxa"/>
                  <w:tcBorders>
                    <w:top w:val="single" w:sz="4" w:space="0" w:color="auto"/>
                  </w:tcBorders>
                </w:tcPr>
                <w:p w14:paraId="6D39C501" w14:textId="77777777" w:rsidR="00C1528E" w:rsidRDefault="00C1528E" w:rsidP="002B55BD"/>
              </w:tc>
              <w:tc>
                <w:tcPr>
                  <w:tcW w:w="690" w:type="dxa"/>
                  <w:tcBorders>
                    <w:top w:val="single" w:sz="4" w:space="0" w:color="auto"/>
                  </w:tcBorders>
                </w:tcPr>
                <w:p w14:paraId="5C47A701" w14:textId="77777777" w:rsidR="00C1528E" w:rsidRDefault="00C1528E" w:rsidP="002B55BD"/>
              </w:tc>
              <w:tc>
                <w:tcPr>
                  <w:tcW w:w="2160" w:type="dxa"/>
                  <w:tcBorders>
                    <w:top w:val="single" w:sz="4" w:space="0" w:color="auto"/>
                  </w:tcBorders>
                </w:tcPr>
                <w:p w14:paraId="43DEC414" w14:textId="77777777" w:rsidR="00C1528E" w:rsidRDefault="00C1528E" w:rsidP="002B55BD"/>
              </w:tc>
            </w:tr>
            <w:tr w:rsidR="00C1528E" w14:paraId="6A62A535" w14:textId="77777777" w:rsidTr="002B55BD">
              <w:trPr>
                <w:trHeight w:hRule="exact" w:val="892"/>
              </w:trPr>
              <w:tc>
                <w:tcPr>
                  <w:tcW w:w="540" w:type="dxa"/>
                  <w:tcBorders>
                    <w:top w:val="single" w:sz="4" w:space="0" w:color="auto"/>
                  </w:tcBorders>
                </w:tcPr>
                <w:p w14:paraId="472BB067" w14:textId="77777777" w:rsidR="00C1528E" w:rsidRDefault="00C1528E" w:rsidP="002B55BD">
                  <w:pPr>
                    <w:pStyle w:val="Footer"/>
                  </w:pPr>
                  <w:r>
                    <w:t>B.</w:t>
                  </w:r>
                </w:p>
              </w:tc>
              <w:tc>
                <w:tcPr>
                  <w:tcW w:w="4500" w:type="dxa"/>
                  <w:tcBorders>
                    <w:top w:val="single" w:sz="4" w:space="0" w:color="auto"/>
                  </w:tcBorders>
                  <w:vAlign w:val="center"/>
                </w:tcPr>
                <w:p w14:paraId="721B36EE" w14:textId="77777777" w:rsidR="00C1528E" w:rsidRDefault="00C1528E" w:rsidP="002B55BD">
                  <w:r>
                    <w:t>Does the contract provide for legal remedies for breach of contract by the contractor?</w:t>
                  </w:r>
                </w:p>
              </w:tc>
              <w:tc>
                <w:tcPr>
                  <w:tcW w:w="690" w:type="dxa"/>
                  <w:tcBorders>
                    <w:top w:val="single" w:sz="4" w:space="0" w:color="auto"/>
                  </w:tcBorders>
                </w:tcPr>
                <w:p w14:paraId="19174EA9" w14:textId="77777777" w:rsidR="00C1528E" w:rsidRDefault="00C1528E" w:rsidP="002B55BD"/>
              </w:tc>
              <w:tc>
                <w:tcPr>
                  <w:tcW w:w="690" w:type="dxa"/>
                  <w:tcBorders>
                    <w:top w:val="single" w:sz="4" w:space="0" w:color="auto"/>
                  </w:tcBorders>
                </w:tcPr>
                <w:p w14:paraId="2E316929" w14:textId="77777777" w:rsidR="00C1528E" w:rsidRDefault="00C1528E" w:rsidP="002B55BD"/>
              </w:tc>
              <w:tc>
                <w:tcPr>
                  <w:tcW w:w="690" w:type="dxa"/>
                  <w:tcBorders>
                    <w:top w:val="single" w:sz="4" w:space="0" w:color="auto"/>
                  </w:tcBorders>
                </w:tcPr>
                <w:p w14:paraId="389C137A" w14:textId="77777777" w:rsidR="00C1528E" w:rsidRDefault="00C1528E" w:rsidP="002B55BD"/>
              </w:tc>
              <w:tc>
                <w:tcPr>
                  <w:tcW w:w="2160" w:type="dxa"/>
                  <w:tcBorders>
                    <w:top w:val="single" w:sz="4" w:space="0" w:color="auto"/>
                  </w:tcBorders>
                </w:tcPr>
                <w:p w14:paraId="56A3F108" w14:textId="77777777" w:rsidR="00C1528E" w:rsidRDefault="00C1528E" w:rsidP="002B55BD"/>
              </w:tc>
            </w:tr>
            <w:tr w:rsidR="00C1528E" w14:paraId="738F9286" w14:textId="77777777" w:rsidTr="002B55BD">
              <w:trPr>
                <w:trHeight w:hRule="exact" w:val="1171"/>
              </w:trPr>
              <w:tc>
                <w:tcPr>
                  <w:tcW w:w="540" w:type="dxa"/>
                  <w:tcBorders>
                    <w:top w:val="single" w:sz="4" w:space="0" w:color="auto"/>
                  </w:tcBorders>
                </w:tcPr>
                <w:p w14:paraId="6568D245" w14:textId="77777777" w:rsidR="00C1528E" w:rsidRDefault="00C1528E" w:rsidP="002B55BD">
                  <w:pPr>
                    <w:pStyle w:val="Footer"/>
                  </w:pPr>
                  <w:r>
                    <w:t>C.</w:t>
                  </w:r>
                </w:p>
              </w:tc>
              <w:tc>
                <w:tcPr>
                  <w:tcW w:w="4500" w:type="dxa"/>
                  <w:tcBorders>
                    <w:top w:val="single" w:sz="4" w:space="0" w:color="auto"/>
                  </w:tcBorders>
                  <w:vAlign w:val="center"/>
                </w:tcPr>
                <w:p w14:paraId="0157901D" w14:textId="77777777" w:rsidR="00C1528E" w:rsidRDefault="00C1528E" w:rsidP="002B55BD">
                  <w:r>
                    <w:t>Does the contract provide a termination clause for the grantee stating conditions under which this can happen in contracts over $10,000?</w:t>
                  </w:r>
                </w:p>
              </w:tc>
              <w:tc>
                <w:tcPr>
                  <w:tcW w:w="690" w:type="dxa"/>
                  <w:tcBorders>
                    <w:top w:val="single" w:sz="4" w:space="0" w:color="auto"/>
                  </w:tcBorders>
                </w:tcPr>
                <w:p w14:paraId="1740635B" w14:textId="77777777" w:rsidR="00C1528E" w:rsidRDefault="00C1528E" w:rsidP="002B55BD"/>
              </w:tc>
              <w:tc>
                <w:tcPr>
                  <w:tcW w:w="690" w:type="dxa"/>
                  <w:tcBorders>
                    <w:top w:val="single" w:sz="4" w:space="0" w:color="auto"/>
                  </w:tcBorders>
                </w:tcPr>
                <w:p w14:paraId="1C306417" w14:textId="77777777" w:rsidR="00C1528E" w:rsidRDefault="00C1528E" w:rsidP="002B55BD"/>
              </w:tc>
              <w:tc>
                <w:tcPr>
                  <w:tcW w:w="690" w:type="dxa"/>
                  <w:tcBorders>
                    <w:top w:val="single" w:sz="4" w:space="0" w:color="auto"/>
                  </w:tcBorders>
                </w:tcPr>
                <w:p w14:paraId="077C9705" w14:textId="77777777" w:rsidR="00C1528E" w:rsidRDefault="00C1528E" w:rsidP="002B55BD"/>
              </w:tc>
              <w:tc>
                <w:tcPr>
                  <w:tcW w:w="2160" w:type="dxa"/>
                  <w:tcBorders>
                    <w:top w:val="single" w:sz="4" w:space="0" w:color="auto"/>
                  </w:tcBorders>
                </w:tcPr>
                <w:p w14:paraId="51BA4FAD" w14:textId="77777777" w:rsidR="00C1528E" w:rsidRDefault="00C1528E" w:rsidP="002B55BD"/>
              </w:tc>
            </w:tr>
            <w:tr w:rsidR="00C1528E" w14:paraId="41DFAED2" w14:textId="77777777" w:rsidTr="002B55BD">
              <w:trPr>
                <w:trHeight w:hRule="exact" w:val="640"/>
              </w:trPr>
              <w:tc>
                <w:tcPr>
                  <w:tcW w:w="540" w:type="dxa"/>
                </w:tcPr>
                <w:p w14:paraId="65F50BC6" w14:textId="77777777" w:rsidR="00C1528E" w:rsidRDefault="00C1528E" w:rsidP="002B55BD">
                  <w:r>
                    <w:t>D.</w:t>
                  </w:r>
                </w:p>
              </w:tc>
              <w:tc>
                <w:tcPr>
                  <w:tcW w:w="4500" w:type="dxa"/>
                  <w:vAlign w:val="center"/>
                </w:tcPr>
                <w:p w14:paraId="04D196C1" w14:textId="77777777" w:rsidR="00C1528E" w:rsidRDefault="00C1528E" w:rsidP="002B55BD">
                  <w:r>
                    <w:t>Is there any evidence of conflict of interest between the parties involved?</w:t>
                  </w:r>
                </w:p>
              </w:tc>
              <w:tc>
                <w:tcPr>
                  <w:tcW w:w="690" w:type="dxa"/>
                </w:tcPr>
                <w:p w14:paraId="77912C32" w14:textId="77777777" w:rsidR="00C1528E" w:rsidRDefault="00C1528E" w:rsidP="002B55BD"/>
              </w:tc>
              <w:tc>
                <w:tcPr>
                  <w:tcW w:w="690" w:type="dxa"/>
                </w:tcPr>
                <w:p w14:paraId="17598250" w14:textId="77777777" w:rsidR="00C1528E" w:rsidRDefault="00C1528E" w:rsidP="002B55BD"/>
              </w:tc>
              <w:tc>
                <w:tcPr>
                  <w:tcW w:w="690" w:type="dxa"/>
                </w:tcPr>
                <w:p w14:paraId="5FE8EC2F" w14:textId="77777777" w:rsidR="00C1528E" w:rsidRDefault="00C1528E" w:rsidP="002B55BD"/>
              </w:tc>
              <w:tc>
                <w:tcPr>
                  <w:tcW w:w="2160" w:type="dxa"/>
                </w:tcPr>
                <w:p w14:paraId="05B9BEF7" w14:textId="77777777" w:rsidR="00C1528E" w:rsidRDefault="00C1528E" w:rsidP="002B55BD"/>
              </w:tc>
            </w:tr>
            <w:tr w:rsidR="00C1528E" w14:paraId="186C5C98" w14:textId="77777777" w:rsidTr="002B55BD">
              <w:trPr>
                <w:trHeight w:hRule="exact" w:val="1162"/>
              </w:trPr>
              <w:tc>
                <w:tcPr>
                  <w:tcW w:w="540" w:type="dxa"/>
                  <w:tcBorders>
                    <w:bottom w:val="single" w:sz="4" w:space="0" w:color="auto"/>
                  </w:tcBorders>
                </w:tcPr>
                <w:p w14:paraId="3D4284C2" w14:textId="77777777" w:rsidR="00C1528E" w:rsidRDefault="00C1528E" w:rsidP="002B55BD">
                  <w:r>
                    <w:t>E.</w:t>
                  </w:r>
                </w:p>
              </w:tc>
              <w:tc>
                <w:tcPr>
                  <w:tcW w:w="4500" w:type="dxa"/>
                  <w:tcBorders>
                    <w:bottom w:val="single" w:sz="4" w:space="0" w:color="auto"/>
                  </w:tcBorders>
                  <w:vAlign w:val="center"/>
                </w:tcPr>
                <w:p w14:paraId="3BEBD17B" w14:textId="77777777" w:rsidR="00C1528E" w:rsidRDefault="00C1528E" w:rsidP="002B55BD">
                  <w:r>
                    <w:t>Were all required labor standards provisions included in bid specifications and contracts? (HUD 4010 or comparable language.)</w:t>
                  </w:r>
                </w:p>
              </w:tc>
              <w:tc>
                <w:tcPr>
                  <w:tcW w:w="690" w:type="dxa"/>
                  <w:tcBorders>
                    <w:bottom w:val="single" w:sz="4" w:space="0" w:color="auto"/>
                  </w:tcBorders>
                </w:tcPr>
                <w:p w14:paraId="60D02EB4" w14:textId="77777777" w:rsidR="00C1528E" w:rsidRDefault="00C1528E" w:rsidP="002B55BD"/>
              </w:tc>
              <w:tc>
                <w:tcPr>
                  <w:tcW w:w="690" w:type="dxa"/>
                  <w:tcBorders>
                    <w:bottom w:val="single" w:sz="4" w:space="0" w:color="auto"/>
                  </w:tcBorders>
                </w:tcPr>
                <w:p w14:paraId="2D9C931F" w14:textId="77777777" w:rsidR="00C1528E" w:rsidRDefault="00C1528E" w:rsidP="002B55BD"/>
              </w:tc>
              <w:tc>
                <w:tcPr>
                  <w:tcW w:w="690" w:type="dxa"/>
                  <w:tcBorders>
                    <w:bottom w:val="single" w:sz="4" w:space="0" w:color="auto"/>
                  </w:tcBorders>
                </w:tcPr>
                <w:p w14:paraId="6AC4DD08" w14:textId="77777777" w:rsidR="00C1528E" w:rsidRDefault="00C1528E" w:rsidP="002B55BD"/>
              </w:tc>
              <w:tc>
                <w:tcPr>
                  <w:tcW w:w="2160" w:type="dxa"/>
                  <w:tcBorders>
                    <w:bottom w:val="single" w:sz="4" w:space="0" w:color="auto"/>
                  </w:tcBorders>
                </w:tcPr>
                <w:p w14:paraId="1D6074C5" w14:textId="77777777" w:rsidR="00C1528E" w:rsidRDefault="00C1528E" w:rsidP="002B55BD"/>
              </w:tc>
            </w:tr>
          </w:tbl>
          <w:p w14:paraId="10290172" w14:textId="77777777" w:rsidR="00C1528E" w:rsidRDefault="00C1528E" w:rsidP="002B55BD">
            <w:pPr>
              <w:pStyle w:val="Footer"/>
            </w:pPr>
          </w:p>
          <w:p w14:paraId="10293E2B" w14:textId="77777777" w:rsidR="00C1528E" w:rsidRDefault="00C1528E" w:rsidP="002B55BD">
            <w:pPr>
              <w:pStyle w:val="Footer"/>
              <w:tabs>
                <w:tab w:val="clear" w:pos="4680"/>
                <w:tab w:val="clear" w:pos="9360"/>
              </w:tabs>
              <w:rPr>
                <w:b/>
              </w:rPr>
            </w:pPr>
            <w:r>
              <w:rPr>
                <w:b/>
              </w:rPr>
              <w:t>IV.     Supplemental General Conditions</w:t>
            </w:r>
          </w:p>
          <w:p w14:paraId="1942C39A" w14:textId="77777777" w:rsidR="00C1528E" w:rsidRDefault="00C1528E" w:rsidP="002B55BD">
            <w:pPr>
              <w:pStyle w:val="Foote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0"/>
              <w:gridCol w:w="630"/>
              <w:gridCol w:w="720"/>
              <w:gridCol w:w="720"/>
              <w:gridCol w:w="2160"/>
            </w:tblGrid>
            <w:tr w:rsidR="00C1528E" w14:paraId="6DBACF4F" w14:textId="77777777" w:rsidTr="002B55BD">
              <w:trPr>
                <w:trHeight w:hRule="exact" w:val="946"/>
              </w:trPr>
              <w:tc>
                <w:tcPr>
                  <w:tcW w:w="540" w:type="dxa"/>
                  <w:tcBorders>
                    <w:top w:val="single" w:sz="4" w:space="0" w:color="auto"/>
                  </w:tcBorders>
                </w:tcPr>
                <w:p w14:paraId="3156A577" w14:textId="77777777" w:rsidR="00C1528E" w:rsidRDefault="00C1528E" w:rsidP="002B55BD">
                  <w:pPr>
                    <w:pStyle w:val="Footer"/>
                  </w:pPr>
                  <w:r>
                    <w:t>A.</w:t>
                  </w:r>
                </w:p>
              </w:tc>
              <w:tc>
                <w:tcPr>
                  <w:tcW w:w="4500" w:type="dxa"/>
                  <w:tcBorders>
                    <w:top w:val="single" w:sz="4" w:space="0" w:color="auto"/>
                  </w:tcBorders>
                  <w:vAlign w:val="center"/>
                </w:tcPr>
                <w:p w14:paraId="64169ABF" w14:textId="77777777" w:rsidR="00C1528E" w:rsidRDefault="00C1528E" w:rsidP="002B55BD">
                  <w:r>
                    <w:t>Did the contract include clauses for compliance with Executive Order 11246 or E.O. clause?</w:t>
                  </w:r>
                </w:p>
              </w:tc>
              <w:tc>
                <w:tcPr>
                  <w:tcW w:w="630" w:type="dxa"/>
                  <w:tcBorders>
                    <w:top w:val="single" w:sz="4" w:space="0" w:color="auto"/>
                  </w:tcBorders>
                  <w:vAlign w:val="center"/>
                </w:tcPr>
                <w:p w14:paraId="523B8D64" w14:textId="77777777" w:rsidR="00C1528E" w:rsidRDefault="00C1528E" w:rsidP="002B55BD"/>
              </w:tc>
              <w:tc>
                <w:tcPr>
                  <w:tcW w:w="720" w:type="dxa"/>
                  <w:tcBorders>
                    <w:top w:val="single" w:sz="4" w:space="0" w:color="auto"/>
                  </w:tcBorders>
                </w:tcPr>
                <w:p w14:paraId="51AC26C5" w14:textId="77777777" w:rsidR="00C1528E" w:rsidRDefault="00C1528E" w:rsidP="002B55BD"/>
              </w:tc>
              <w:tc>
                <w:tcPr>
                  <w:tcW w:w="720" w:type="dxa"/>
                  <w:tcBorders>
                    <w:top w:val="single" w:sz="4" w:space="0" w:color="auto"/>
                  </w:tcBorders>
                </w:tcPr>
                <w:p w14:paraId="54582D8E" w14:textId="77777777" w:rsidR="00C1528E" w:rsidRDefault="00C1528E" w:rsidP="002B55BD"/>
              </w:tc>
              <w:tc>
                <w:tcPr>
                  <w:tcW w:w="2160" w:type="dxa"/>
                  <w:tcBorders>
                    <w:top w:val="single" w:sz="4" w:space="0" w:color="auto"/>
                  </w:tcBorders>
                </w:tcPr>
                <w:p w14:paraId="55D88032" w14:textId="77777777" w:rsidR="00C1528E" w:rsidRDefault="00C1528E" w:rsidP="002B55BD"/>
              </w:tc>
            </w:tr>
            <w:tr w:rsidR="00C1528E" w14:paraId="3A1E5F4C" w14:textId="77777777" w:rsidTr="002B55BD">
              <w:trPr>
                <w:trHeight w:hRule="exact" w:val="703"/>
              </w:trPr>
              <w:tc>
                <w:tcPr>
                  <w:tcW w:w="540" w:type="dxa"/>
                  <w:tcBorders>
                    <w:top w:val="single" w:sz="4" w:space="0" w:color="auto"/>
                  </w:tcBorders>
                </w:tcPr>
                <w:p w14:paraId="32AFFF0A" w14:textId="77777777" w:rsidR="00C1528E" w:rsidRDefault="00C1528E" w:rsidP="002B55BD">
                  <w:pPr>
                    <w:pStyle w:val="Footer"/>
                  </w:pPr>
                  <w:r>
                    <w:lastRenderedPageBreak/>
                    <w:t>B.</w:t>
                  </w:r>
                </w:p>
              </w:tc>
              <w:tc>
                <w:tcPr>
                  <w:tcW w:w="4500" w:type="dxa"/>
                  <w:tcBorders>
                    <w:top w:val="single" w:sz="4" w:space="0" w:color="auto"/>
                  </w:tcBorders>
                  <w:vAlign w:val="center"/>
                </w:tcPr>
                <w:p w14:paraId="24D7E77E" w14:textId="77777777" w:rsidR="00C1528E" w:rsidRDefault="00C1528E" w:rsidP="002B55BD">
                  <w:r>
                    <w:t>Were goals for minority and female participation stated?</w:t>
                  </w:r>
                </w:p>
              </w:tc>
              <w:tc>
                <w:tcPr>
                  <w:tcW w:w="630" w:type="dxa"/>
                  <w:tcBorders>
                    <w:top w:val="single" w:sz="4" w:space="0" w:color="auto"/>
                  </w:tcBorders>
                  <w:vAlign w:val="center"/>
                </w:tcPr>
                <w:p w14:paraId="09D8A3D8" w14:textId="77777777" w:rsidR="00C1528E" w:rsidRDefault="00C1528E" w:rsidP="002B55BD"/>
              </w:tc>
              <w:tc>
                <w:tcPr>
                  <w:tcW w:w="720" w:type="dxa"/>
                  <w:tcBorders>
                    <w:top w:val="single" w:sz="4" w:space="0" w:color="auto"/>
                  </w:tcBorders>
                </w:tcPr>
                <w:p w14:paraId="57124B7E" w14:textId="77777777" w:rsidR="00C1528E" w:rsidRDefault="00C1528E" w:rsidP="002B55BD"/>
              </w:tc>
              <w:tc>
                <w:tcPr>
                  <w:tcW w:w="720" w:type="dxa"/>
                  <w:tcBorders>
                    <w:top w:val="single" w:sz="4" w:space="0" w:color="auto"/>
                  </w:tcBorders>
                </w:tcPr>
                <w:p w14:paraId="73E6F930" w14:textId="77777777" w:rsidR="00C1528E" w:rsidRDefault="00C1528E" w:rsidP="002B55BD"/>
              </w:tc>
              <w:tc>
                <w:tcPr>
                  <w:tcW w:w="2160" w:type="dxa"/>
                  <w:tcBorders>
                    <w:top w:val="single" w:sz="4" w:space="0" w:color="auto"/>
                  </w:tcBorders>
                </w:tcPr>
                <w:p w14:paraId="7EF28D29" w14:textId="77777777" w:rsidR="00C1528E" w:rsidRDefault="00C1528E" w:rsidP="002B55BD">
                  <w:pPr>
                    <w:pStyle w:val="Footer"/>
                  </w:pPr>
                </w:p>
              </w:tc>
            </w:tr>
            <w:tr w:rsidR="00C1528E" w14:paraId="3A537B96" w14:textId="77777777" w:rsidTr="002B55BD">
              <w:trPr>
                <w:trHeight w:hRule="exact" w:val="703"/>
              </w:trPr>
              <w:tc>
                <w:tcPr>
                  <w:tcW w:w="540" w:type="dxa"/>
                  <w:tcBorders>
                    <w:top w:val="single" w:sz="4" w:space="0" w:color="auto"/>
                  </w:tcBorders>
                </w:tcPr>
                <w:p w14:paraId="3A3AB4C3" w14:textId="77777777" w:rsidR="00C1528E" w:rsidRDefault="00C1528E" w:rsidP="002B55BD">
                  <w:pPr>
                    <w:pStyle w:val="Footer"/>
                  </w:pPr>
                  <w:r>
                    <w:t>C.</w:t>
                  </w:r>
                </w:p>
              </w:tc>
              <w:tc>
                <w:tcPr>
                  <w:tcW w:w="4500" w:type="dxa"/>
                  <w:tcBorders>
                    <w:top w:val="single" w:sz="4" w:space="0" w:color="auto"/>
                  </w:tcBorders>
                  <w:vAlign w:val="center"/>
                </w:tcPr>
                <w:p w14:paraId="7935619F" w14:textId="77777777" w:rsidR="00C1528E" w:rsidRDefault="00C1528E" w:rsidP="002B55BD">
                  <w:r>
                    <w:t>Did the contract include a Certification of Non-segregated Facilities?</w:t>
                  </w:r>
                </w:p>
              </w:tc>
              <w:tc>
                <w:tcPr>
                  <w:tcW w:w="630" w:type="dxa"/>
                  <w:tcBorders>
                    <w:top w:val="single" w:sz="4" w:space="0" w:color="auto"/>
                  </w:tcBorders>
                  <w:vAlign w:val="center"/>
                </w:tcPr>
                <w:p w14:paraId="0FEF073A" w14:textId="77777777" w:rsidR="00C1528E" w:rsidRDefault="00C1528E" w:rsidP="002B55BD"/>
              </w:tc>
              <w:tc>
                <w:tcPr>
                  <w:tcW w:w="720" w:type="dxa"/>
                  <w:tcBorders>
                    <w:top w:val="single" w:sz="4" w:space="0" w:color="auto"/>
                  </w:tcBorders>
                </w:tcPr>
                <w:p w14:paraId="5FF4F64A" w14:textId="77777777" w:rsidR="00C1528E" w:rsidRDefault="00C1528E" w:rsidP="002B55BD"/>
              </w:tc>
              <w:tc>
                <w:tcPr>
                  <w:tcW w:w="720" w:type="dxa"/>
                  <w:tcBorders>
                    <w:top w:val="single" w:sz="4" w:space="0" w:color="auto"/>
                  </w:tcBorders>
                </w:tcPr>
                <w:p w14:paraId="539953E4" w14:textId="77777777" w:rsidR="00C1528E" w:rsidRDefault="00C1528E" w:rsidP="002B55BD"/>
              </w:tc>
              <w:tc>
                <w:tcPr>
                  <w:tcW w:w="2160" w:type="dxa"/>
                  <w:tcBorders>
                    <w:top w:val="single" w:sz="4" w:space="0" w:color="auto"/>
                  </w:tcBorders>
                </w:tcPr>
                <w:p w14:paraId="3C3437F5" w14:textId="77777777" w:rsidR="00C1528E" w:rsidRDefault="00C1528E" w:rsidP="002B55BD"/>
              </w:tc>
            </w:tr>
            <w:tr w:rsidR="00C1528E" w14:paraId="4EA8B9D0" w14:textId="77777777" w:rsidTr="002B55BD">
              <w:trPr>
                <w:trHeight w:hRule="exact" w:val="1117"/>
              </w:trPr>
              <w:tc>
                <w:tcPr>
                  <w:tcW w:w="540" w:type="dxa"/>
                  <w:tcBorders>
                    <w:top w:val="single" w:sz="4" w:space="0" w:color="auto"/>
                  </w:tcBorders>
                </w:tcPr>
                <w:p w14:paraId="2FB8EB35" w14:textId="77777777" w:rsidR="00C1528E" w:rsidRDefault="00C1528E" w:rsidP="002B55BD">
                  <w:pPr>
                    <w:pStyle w:val="Footer"/>
                  </w:pPr>
                  <w:r>
                    <w:t>D.</w:t>
                  </w:r>
                </w:p>
              </w:tc>
              <w:tc>
                <w:tcPr>
                  <w:tcW w:w="4500" w:type="dxa"/>
                  <w:tcBorders>
                    <w:top w:val="single" w:sz="4" w:space="0" w:color="auto"/>
                  </w:tcBorders>
                  <w:vAlign w:val="center"/>
                </w:tcPr>
                <w:p w14:paraId="64240F31" w14:textId="77777777" w:rsidR="00C1528E" w:rsidRDefault="00C1528E" w:rsidP="002B55BD">
                  <w:r>
                    <w:t>Did contract include clauses for compliance with Title VI, Civil Rights Act of 1964 and Section 109 of the H&amp;CD Act of 1974?</w:t>
                  </w:r>
                </w:p>
              </w:tc>
              <w:tc>
                <w:tcPr>
                  <w:tcW w:w="630" w:type="dxa"/>
                  <w:tcBorders>
                    <w:top w:val="single" w:sz="4" w:space="0" w:color="auto"/>
                  </w:tcBorders>
                  <w:vAlign w:val="center"/>
                </w:tcPr>
                <w:p w14:paraId="5667BAD1" w14:textId="77777777" w:rsidR="00C1528E" w:rsidRDefault="00C1528E" w:rsidP="002B55BD"/>
              </w:tc>
              <w:tc>
                <w:tcPr>
                  <w:tcW w:w="720" w:type="dxa"/>
                  <w:tcBorders>
                    <w:top w:val="single" w:sz="4" w:space="0" w:color="auto"/>
                  </w:tcBorders>
                </w:tcPr>
                <w:p w14:paraId="6476D2F8" w14:textId="77777777" w:rsidR="00C1528E" w:rsidRDefault="00C1528E" w:rsidP="002B55BD"/>
              </w:tc>
              <w:tc>
                <w:tcPr>
                  <w:tcW w:w="720" w:type="dxa"/>
                  <w:tcBorders>
                    <w:top w:val="single" w:sz="4" w:space="0" w:color="auto"/>
                  </w:tcBorders>
                </w:tcPr>
                <w:p w14:paraId="3D885547" w14:textId="77777777" w:rsidR="00C1528E" w:rsidRDefault="00C1528E" w:rsidP="002B55BD"/>
              </w:tc>
              <w:tc>
                <w:tcPr>
                  <w:tcW w:w="2160" w:type="dxa"/>
                  <w:tcBorders>
                    <w:top w:val="single" w:sz="4" w:space="0" w:color="auto"/>
                  </w:tcBorders>
                </w:tcPr>
                <w:p w14:paraId="323C4ED3" w14:textId="77777777" w:rsidR="00C1528E" w:rsidRDefault="00C1528E" w:rsidP="002B55BD"/>
              </w:tc>
            </w:tr>
            <w:tr w:rsidR="00C1528E" w14:paraId="65A150C8" w14:textId="77777777" w:rsidTr="002B55BD">
              <w:trPr>
                <w:trHeight w:hRule="exact" w:val="703"/>
              </w:trPr>
              <w:tc>
                <w:tcPr>
                  <w:tcW w:w="540" w:type="dxa"/>
                  <w:tcBorders>
                    <w:top w:val="single" w:sz="4" w:space="0" w:color="auto"/>
                  </w:tcBorders>
                </w:tcPr>
                <w:p w14:paraId="39ED2D24" w14:textId="77777777" w:rsidR="00C1528E" w:rsidRDefault="00C1528E" w:rsidP="002B55BD">
                  <w:pPr>
                    <w:pStyle w:val="Footer"/>
                  </w:pPr>
                  <w:r>
                    <w:t>E.</w:t>
                  </w:r>
                </w:p>
              </w:tc>
              <w:tc>
                <w:tcPr>
                  <w:tcW w:w="4500" w:type="dxa"/>
                  <w:tcBorders>
                    <w:top w:val="single" w:sz="4" w:space="0" w:color="auto"/>
                  </w:tcBorders>
                  <w:vAlign w:val="center"/>
                </w:tcPr>
                <w:p w14:paraId="5AE989FB" w14:textId="77777777" w:rsidR="00C1528E" w:rsidRDefault="00C1528E" w:rsidP="002B55BD">
                  <w:r>
                    <w:t>Was certification to “Section 3” compliance included?</w:t>
                  </w:r>
                </w:p>
              </w:tc>
              <w:tc>
                <w:tcPr>
                  <w:tcW w:w="630" w:type="dxa"/>
                  <w:tcBorders>
                    <w:top w:val="single" w:sz="4" w:space="0" w:color="auto"/>
                  </w:tcBorders>
                  <w:vAlign w:val="center"/>
                </w:tcPr>
                <w:p w14:paraId="4C5F3C19" w14:textId="77777777" w:rsidR="00C1528E" w:rsidRDefault="00C1528E" w:rsidP="002B55BD"/>
              </w:tc>
              <w:tc>
                <w:tcPr>
                  <w:tcW w:w="720" w:type="dxa"/>
                  <w:tcBorders>
                    <w:top w:val="single" w:sz="4" w:space="0" w:color="auto"/>
                  </w:tcBorders>
                </w:tcPr>
                <w:p w14:paraId="7C9163B8" w14:textId="77777777" w:rsidR="00C1528E" w:rsidRDefault="00C1528E" w:rsidP="002B55BD"/>
              </w:tc>
              <w:tc>
                <w:tcPr>
                  <w:tcW w:w="720" w:type="dxa"/>
                  <w:tcBorders>
                    <w:top w:val="single" w:sz="4" w:space="0" w:color="auto"/>
                  </w:tcBorders>
                </w:tcPr>
                <w:p w14:paraId="70AB8579" w14:textId="77777777" w:rsidR="00C1528E" w:rsidRDefault="00C1528E" w:rsidP="002B55BD"/>
              </w:tc>
              <w:tc>
                <w:tcPr>
                  <w:tcW w:w="2160" w:type="dxa"/>
                  <w:tcBorders>
                    <w:top w:val="single" w:sz="4" w:space="0" w:color="auto"/>
                  </w:tcBorders>
                </w:tcPr>
                <w:p w14:paraId="7F2C6811" w14:textId="77777777" w:rsidR="00C1528E" w:rsidRDefault="00C1528E" w:rsidP="002B55BD"/>
              </w:tc>
            </w:tr>
            <w:tr w:rsidR="00C1528E" w14:paraId="281C0AF3" w14:textId="77777777" w:rsidTr="002B55BD">
              <w:trPr>
                <w:trHeight w:hRule="exact" w:val="919"/>
              </w:trPr>
              <w:tc>
                <w:tcPr>
                  <w:tcW w:w="540" w:type="dxa"/>
                  <w:tcBorders>
                    <w:top w:val="single" w:sz="4" w:space="0" w:color="auto"/>
                  </w:tcBorders>
                </w:tcPr>
                <w:p w14:paraId="78A4E531" w14:textId="77777777" w:rsidR="00C1528E" w:rsidRDefault="00C1528E" w:rsidP="002B55BD">
                  <w:pPr>
                    <w:pStyle w:val="Footer"/>
                  </w:pPr>
                  <w:r>
                    <w:t>F.</w:t>
                  </w:r>
                </w:p>
              </w:tc>
              <w:tc>
                <w:tcPr>
                  <w:tcW w:w="4500" w:type="dxa"/>
                  <w:tcBorders>
                    <w:top w:val="single" w:sz="4" w:space="0" w:color="auto"/>
                  </w:tcBorders>
                  <w:vAlign w:val="center"/>
                </w:tcPr>
                <w:p w14:paraId="68F96F27" w14:textId="77777777" w:rsidR="00C1528E" w:rsidRDefault="00C1528E" w:rsidP="002B55BD">
                  <w:r>
                    <w:t>Was there a clause for compliance to Section 504 of the Rehabilitation Act of 1973 ($2,500 or more)?</w:t>
                  </w:r>
                </w:p>
              </w:tc>
              <w:tc>
                <w:tcPr>
                  <w:tcW w:w="630" w:type="dxa"/>
                  <w:tcBorders>
                    <w:top w:val="single" w:sz="4" w:space="0" w:color="auto"/>
                  </w:tcBorders>
                  <w:vAlign w:val="center"/>
                </w:tcPr>
                <w:p w14:paraId="442A09CD" w14:textId="77777777" w:rsidR="00C1528E" w:rsidRDefault="00C1528E" w:rsidP="002B55BD"/>
              </w:tc>
              <w:tc>
                <w:tcPr>
                  <w:tcW w:w="720" w:type="dxa"/>
                  <w:tcBorders>
                    <w:top w:val="single" w:sz="4" w:space="0" w:color="auto"/>
                  </w:tcBorders>
                </w:tcPr>
                <w:p w14:paraId="1BC6E720" w14:textId="77777777" w:rsidR="00C1528E" w:rsidRDefault="00C1528E" w:rsidP="002B55BD"/>
              </w:tc>
              <w:tc>
                <w:tcPr>
                  <w:tcW w:w="720" w:type="dxa"/>
                  <w:tcBorders>
                    <w:top w:val="single" w:sz="4" w:space="0" w:color="auto"/>
                  </w:tcBorders>
                </w:tcPr>
                <w:p w14:paraId="389D6E73" w14:textId="77777777" w:rsidR="00C1528E" w:rsidRDefault="00C1528E" w:rsidP="002B55BD"/>
              </w:tc>
              <w:tc>
                <w:tcPr>
                  <w:tcW w:w="2160" w:type="dxa"/>
                  <w:tcBorders>
                    <w:top w:val="single" w:sz="4" w:space="0" w:color="auto"/>
                  </w:tcBorders>
                </w:tcPr>
                <w:p w14:paraId="0AA2F19F" w14:textId="77777777" w:rsidR="00C1528E" w:rsidRDefault="00C1528E" w:rsidP="002B55BD"/>
              </w:tc>
            </w:tr>
            <w:tr w:rsidR="00C1528E" w14:paraId="44AB50D6" w14:textId="77777777" w:rsidTr="002B55BD">
              <w:trPr>
                <w:trHeight w:hRule="exact" w:val="892"/>
              </w:trPr>
              <w:tc>
                <w:tcPr>
                  <w:tcW w:w="540" w:type="dxa"/>
                  <w:tcBorders>
                    <w:top w:val="single" w:sz="4" w:space="0" w:color="auto"/>
                  </w:tcBorders>
                </w:tcPr>
                <w:p w14:paraId="56DCC9DE" w14:textId="77777777" w:rsidR="00C1528E" w:rsidRDefault="00C1528E" w:rsidP="002B55BD">
                  <w:pPr>
                    <w:pStyle w:val="Footer"/>
                  </w:pPr>
                  <w:r>
                    <w:t>G.</w:t>
                  </w:r>
                </w:p>
              </w:tc>
              <w:tc>
                <w:tcPr>
                  <w:tcW w:w="4500" w:type="dxa"/>
                  <w:tcBorders>
                    <w:top w:val="single" w:sz="4" w:space="0" w:color="auto"/>
                  </w:tcBorders>
                  <w:vAlign w:val="center"/>
                </w:tcPr>
                <w:p w14:paraId="6F392F53" w14:textId="77777777" w:rsidR="00C1528E" w:rsidRDefault="00C1528E" w:rsidP="002B55BD">
                  <w:r>
                    <w:t>Is there a clause for compliance with Section 402 of the 1974 Vietnam Veterans Act ($10,000 or more)?</w:t>
                  </w:r>
                </w:p>
              </w:tc>
              <w:tc>
                <w:tcPr>
                  <w:tcW w:w="630" w:type="dxa"/>
                  <w:tcBorders>
                    <w:top w:val="single" w:sz="4" w:space="0" w:color="auto"/>
                  </w:tcBorders>
                  <w:vAlign w:val="center"/>
                </w:tcPr>
                <w:p w14:paraId="7FD96FA5" w14:textId="77777777" w:rsidR="00C1528E" w:rsidRDefault="00C1528E" w:rsidP="002B55BD"/>
              </w:tc>
              <w:tc>
                <w:tcPr>
                  <w:tcW w:w="720" w:type="dxa"/>
                  <w:tcBorders>
                    <w:top w:val="single" w:sz="4" w:space="0" w:color="auto"/>
                  </w:tcBorders>
                </w:tcPr>
                <w:p w14:paraId="539D0DBE" w14:textId="77777777" w:rsidR="00C1528E" w:rsidRDefault="00C1528E" w:rsidP="002B55BD"/>
              </w:tc>
              <w:tc>
                <w:tcPr>
                  <w:tcW w:w="720" w:type="dxa"/>
                  <w:tcBorders>
                    <w:top w:val="single" w:sz="4" w:space="0" w:color="auto"/>
                  </w:tcBorders>
                </w:tcPr>
                <w:p w14:paraId="4B251527" w14:textId="77777777" w:rsidR="00C1528E" w:rsidRDefault="00C1528E" w:rsidP="002B55BD"/>
              </w:tc>
              <w:tc>
                <w:tcPr>
                  <w:tcW w:w="2160" w:type="dxa"/>
                  <w:tcBorders>
                    <w:top w:val="single" w:sz="4" w:space="0" w:color="auto"/>
                  </w:tcBorders>
                </w:tcPr>
                <w:p w14:paraId="68A95EEB" w14:textId="77777777" w:rsidR="00C1528E" w:rsidRDefault="00C1528E" w:rsidP="002B55BD"/>
              </w:tc>
            </w:tr>
          </w:tbl>
          <w:p w14:paraId="7B48F80E" w14:textId="77777777" w:rsidR="00C1528E" w:rsidRDefault="00C1528E" w:rsidP="002B55BD">
            <w: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0"/>
              <w:gridCol w:w="630"/>
              <w:gridCol w:w="720"/>
              <w:gridCol w:w="720"/>
              <w:gridCol w:w="2160"/>
            </w:tblGrid>
            <w:tr w:rsidR="00C1528E" w14:paraId="12DBB90B" w14:textId="77777777" w:rsidTr="002B55BD">
              <w:trPr>
                <w:trHeight w:hRule="exact" w:val="257"/>
              </w:trPr>
              <w:tc>
                <w:tcPr>
                  <w:tcW w:w="540" w:type="dxa"/>
                  <w:tcBorders>
                    <w:top w:val="nil"/>
                    <w:left w:val="nil"/>
                    <w:bottom w:val="single" w:sz="4" w:space="0" w:color="auto"/>
                    <w:right w:val="nil"/>
                  </w:tcBorders>
                </w:tcPr>
                <w:p w14:paraId="39613AE1" w14:textId="77777777" w:rsidR="00C1528E" w:rsidRDefault="00C1528E" w:rsidP="002B55BD">
                  <w:pPr>
                    <w:pStyle w:val="Footer"/>
                  </w:pPr>
                </w:p>
              </w:tc>
              <w:tc>
                <w:tcPr>
                  <w:tcW w:w="4500" w:type="dxa"/>
                  <w:tcBorders>
                    <w:top w:val="nil"/>
                    <w:left w:val="nil"/>
                    <w:bottom w:val="single" w:sz="4" w:space="0" w:color="auto"/>
                    <w:right w:val="nil"/>
                  </w:tcBorders>
                  <w:vAlign w:val="center"/>
                </w:tcPr>
                <w:p w14:paraId="621CA513" w14:textId="77777777" w:rsidR="00C1528E" w:rsidRDefault="00C1528E" w:rsidP="002B55BD"/>
              </w:tc>
              <w:tc>
                <w:tcPr>
                  <w:tcW w:w="630" w:type="dxa"/>
                  <w:tcBorders>
                    <w:top w:val="nil"/>
                    <w:left w:val="nil"/>
                    <w:bottom w:val="single" w:sz="4" w:space="0" w:color="auto"/>
                    <w:right w:val="nil"/>
                  </w:tcBorders>
                  <w:vAlign w:val="center"/>
                </w:tcPr>
                <w:p w14:paraId="7FF5B3D9" w14:textId="77777777" w:rsidR="00C1528E" w:rsidRDefault="00C1528E" w:rsidP="002B55BD">
                  <w:r>
                    <w:t>Yes</w:t>
                  </w:r>
                </w:p>
              </w:tc>
              <w:tc>
                <w:tcPr>
                  <w:tcW w:w="720" w:type="dxa"/>
                  <w:tcBorders>
                    <w:top w:val="nil"/>
                    <w:left w:val="nil"/>
                    <w:bottom w:val="single" w:sz="4" w:space="0" w:color="auto"/>
                    <w:right w:val="nil"/>
                  </w:tcBorders>
                </w:tcPr>
                <w:p w14:paraId="100185E5" w14:textId="77777777" w:rsidR="00C1528E" w:rsidRDefault="00C1528E" w:rsidP="002B55BD">
                  <w:r>
                    <w:t>No</w:t>
                  </w:r>
                </w:p>
              </w:tc>
              <w:tc>
                <w:tcPr>
                  <w:tcW w:w="720" w:type="dxa"/>
                  <w:tcBorders>
                    <w:top w:val="nil"/>
                    <w:left w:val="nil"/>
                    <w:bottom w:val="single" w:sz="4" w:space="0" w:color="auto"/>
                    <w:right w:val="nil"/>
                  </w:tcBorders>
                </w:tcPr>
                <w:p w14:paraId="257A519F" w14:textId="77777777" w:rsidR="00C1528E" w:rsidRDefault="00C1528E" w:rsidP="002B55BD">
                  <w:r>
                    <w:t>N/A</w:t>
                  </w:r>
                </w:p>
              </w:tc>
              <w:tc>
                <w:tcPr>
                  <w:tcW w:w="2160" w:type="dxa"/>
                  <w:tcBorders>
                    <w:top w:val="nil"/>
                    <w:left w:val="nil"/>
                    <w:bottom w:val="single" w:sz="4" w:space="0" w:color="auto"/>
                    <w:right w:val="nil"/>
                  </w:tcBorders>
                </w:tcPr>
                <w:p w14:paraId="609A19C6" w14:textId="77777777" w:rsidR="00C1528E" w:rsidRDefault="00C1528E" w:rsidP="002B55BD">
                  <w:r>
                    <w:t>Notes</w:t>
                  </w:r>
                </w:p>
              </w:tc>
            </w:tr>
            <w:tr w:rsidR="00C1528E" w14:paraId="30D4F8A5" w14:textId="77777777" w:rsidTr="002B55BD">
              <w:trPr>
                <w:trHeight w:hRule="exact" w:val="892"/>
              </w:trPr>
              <w:tc>
                <w:tcPr>
                  <w:tcW w:w="540" w:type="dxa"/>
                  <w:tcBorders>
                    <w:top w:val="single" w:sz="4" w:space="0" w:color="auto"/>
                  </w:tcBorders>
                </w:tcPr>
                <w:p w14:paraId="125694FE" w14:textId="77777777" w:rsidR="00C1528E" w:rsidRDefault="00C1528E" w:rsidP="002B55BD">
                  <w:pPr>
                    <w:pStyle w:val="Footer"/>
                  </w:pPr>
                  <w:r>
                    <w:t>H.</w:t>
                  </w:r>
                </w:p>
              </w:tc>
              <w:tc>
                <w:tcPr>
                  <w:tcW w:w="4500" w:type="dxa"/>
                  <w:tcBorders>
                    <w:top w:val="single" w:sz="4" w:space="0" w:color="auto"/>
                  </w:tcBorders>
                  <w:vAlign w:val="center"/>
                </w:tcPr>
                <w:p w14:paraId="1E9E9E61" w14:textId="77777777" w:rsidR="00C1528E" w:rsidRDefault="00C1528E" w:rsidP="002B55BD">
                  <w:r>
                    <w:t>Is there a clause for compliance with the Age Discrimination Act of 1975 ($2,000 or more)?</w:t>
                  </w:r>
                </w:p>
              </w:tc>
              <w:tc>
                <w:tcPr>
                  <w:tcW w:w="630" w:type="dxa"/>
                  <w:tcBorders>
                    <w:top w:val="single" w:sz="4" w:space="0" w:color="auto"/>
                  </w:tcBorders>
                  <w:vAlign w:val="center"/>
                </w:tcPr>
                <w:p w14:paraId="462EBB5E" w14:textId="77777777" w:rsidR="00C1528E" w:rsidRDefault="00C1528E" w:rsidP="002B55BD"/>
              </w:tc>
              <w:tc>
                <w:tcPr>
                  <w:tcW w:w="720" w:type="dxa"/>
                  <w:tcBorders>
                    <w:top w:val="single" w:sz="4" w:space="0" w:color="auto"/>
                  </w:tcBorders>
                </w:tcPr>
                <w:p w14:paraId="09D6CD9C" w14:textId="77777777" w:rsidR="00C1528E" w:rsidRDefault="00C1528E" w:rsidP="002B55BD"/>
              </w:tc>
              <w:tc>
                <w:tcPr>
                  <w:tcW w:w="720" w:type="dxa"/>
                  <w:tcBorders>
                    <w:top w:val="single" w:sz="4" w:space="0" w:color="auto"/>
                  </w:tcBorders>
                </w:tcPr>
                <w:p w14:paraId="109A7F97" w14:textId="77777777" w:rsidR="00C1528E" w:rsidRDefault="00C1528E" w:rsidP="002B55BD"/>
              </w:tc>
              <w:tc>
                <w:tcPr>
                  <w:tcW w:w="2160" w:type="dxa"/>
                  <w:tcBorders>
                    <w:top w:val="single" w:sz="4" w:space="0" w:color="auto"/>
                  </w:tcBorders>
                </w:tcPr>
                <w:p w14:paraId="121D73E3" w14:textId="77777777" w:rsidR="00C1528E" w:rsidRDefault="00C1528E" w:rsidP="002B55BD"/>
                <w:p w14:paraId="0EF38F81" w14:textId="77777777" w:rsidR="00C1528E" w:rsidRDefault="00C1528E" w:rsidP="002B55BD"/>
              </w:tc>
            </w:tr>
            <w:tr w:rsidR="00C1528E" w14:paraId="27E80A8D" w14:textId="77777777" w:rsidTr="002B55BD">
              <w:trPr>
                <w:trHeight w:hRule="exact" w:val="1180"/>
              </w:trPr>
              <w:tc>
                <w:tcPr>
                  <w:tcW w:w="540" w:type="dxa"/>
                  <w:tcBorders>
                    <w:top w:val="single" w:sz="4" w:space="0" w:color="auto"/>
                  </w:tcBorders>
                </w:tcPr>
                <w:p w14:paraId="75538EEE" w14:textId="77777777" w:rsidR="00C1528E" w:rsidRDefault="00C1528E" w:rsidP="002B55BD">
                  <w:pPr>
                    <w:pStyle w:val="Footer"/>
                  </w:pPr>
                  <w:r>
                    <w:t>I.</w:t>
                  </w:r>
                </w:p>
              </w:tc>
              <w:tc>
                <w:tcPr>
                  <w:tcW w:w="4500" w:type="dxa"/>
                  <w:tcBorders>
                    <w:top w:val="single" w:sz="4" w:space="0" w:color="auto"/>
                  </w:tcBorders>
                  <w:vAlign w:val="center"/>
                </w:tcPr>
                <w:p w14:paraId="219F3B1F" w14:textId="77777777" w:rsidR="00C1528E" w:rsidRDefault="00C1528E" w:rsidP="002B55BD">
                  <w:r>
                    <w:t>Is there a clause for compliance with the Clean Air Act, Clean Water Act, and EPA regulations in all contracts over $100,000?</w:t>
                  </w:r>
                </w:p>
              </w:tc>
              <w:tc>
                <w:tcPr>
                  <w:tcW w:w="630" w:type="dxa"/>
                  <w:tcBorders>
                    <w:top w:val="single" w:sz="4" w:space="0" w:color="auto"/>
                  </w:tcBorders>
                  <w:vAlign w:val="center"/>
                </w:tcPr>
                <w:p w14:paraId="74ABD512" w14:textId="77777777" w:rsidR="00C1528E" w:rsidRDefault="00C1528E" w:rsidP="002B55BD"/>
              </w:tc>
              <w:tc>
                <w:tcPr>
                  <w:tcW w:w="720" w:type="dxa"/>
                  <w:tcBorders>
                    <w:top w:val="single" w:sz="4" w:space="0" w:color="auto"/>
                  </w:tcBorders>
                </w:tcPr>
                <w:p w14:paraId="7F1A184F" w14:textId="77777777" w:rsidR="00C1528E" w:rsidRDefault="00C1528E" w:rsidP="002B55BD"/>
              </w:tc>
              <w:tc>
                <w:tcPr>
                  <w:tcW w:w="720" w:type="dxa"/>
                  <w:tcBorders>
                    <w:top w:val="single" w:sz="4" w:space="0" w:color="auto"/>
                  </w:tcBorders>
                </w:tcPr>
                <w:p w14:paraId="272389CF" w14:textId="77777777" w:rsidR="00C1528E" w:rsidRDefault="00C1528E" w:rsidP="002B55BD"/>
              </w:tc>
              <w:tc>
                <w:tcPr>
                  <w:tcW w:w="2160" w:type="dxa"/>
                  <w:tcBorders>
                    <w:top w:val="single" w:sz="4" w:space="0" w:color="auto"/>
                  </w:tcBorders>
                </w:tcPr>
                <w:p w14:paraId="196A8E76" w14:textId="77777777" w:rsidR="00C1528E" w:rsidRDefault="00C1528E" w:rsidP="002B55BD"/>
              </w:tc>
            </w:tr>
            <w:tr w:rsidR="00C1528E" w14:paraId="397BD8F0" w14:textId="77777777" w:rsidTr="002B55BD">
              <w:trPr>
                <w:trHeight w:hRule="exact" w:val="622"/>
              </w:trPr>
              <w:tc>
                <w:tcPr>
                  <w:tcW w:w="540" w:type="dxa"/>
                  <w:tcBorders>
                    <w:top w:val="single" w:sz="4" w:space="0" w:color="auto"/>
                  </w:tcBorders>
                </w:tcPr>
                <w:p w14:paraId="0BE99A38" w14:textId="77777777" w:rsidR="00C1528E" w:rsidRDefault="00C1528E" w:rsidP="002B55BD">
                  <w:pPr>
                    <w:pStyle w:val="Footer"/>
                  </w:pPr>
                  <w:r>
                    <w:t>J.</w:t>
                  </w:r>
                </w:p>
              </w:tc>
              <w:tc>
                <w:tcPr>
                  <w:tcW w:w="4500" w:type="dxa"/>
                  <w:tcBorders>
                    <w:top w:val="single" w:sz="4" w:space="0" w:color="auto"/>
                  </w:tcBorders>
                  <w:vAlign w:val="center"/>
                </w:tcPr>
                <w:p w14:paraId="1BCE0567" w14:textId="77777777" w:rsidR="00C1528E" w:rsidRDefault="00C1528E" w:rsidP="002B55BD">
                  <w:r>
                    <w:t>Were wage rates included in the solicitation of bid specifications?</w:t>
                  </w:r>
                </w:p>
              </w:tc>
              <w:tc>
                <w:tcPr>
                  <w:tcW w:w="630" w:type="dxa"/>
                  <w:tcBorders>
                    <w:top w:val="single" w:sz="4" w:space="0" w:color="auto"/>
                  </w:tcBorders>
                  <w:vAlign w:val="center"/>
                </w:tcPr>
                <w:p w14:paraId="49B1F697" w14:textId="77777777" w:rsidR="00C1528E" w:rsidRDefault="00C1528E" w:rsidP="002B55BD"/>
              </w:tc>
              <w:tc>
                <w:tcPr>
                  <w:tcW w:w="720" w:type="dxa"/>
                  <w:tcBorders>
                    <w:top w:val="single" w:sz="4" w:space="0" w:color="auto"/>
                  </w:tcBorders>
                </w:tcPr>
                <w:p w14:paraId="4B4DE535" w14:textId="77777777" w:rsidR="00C1528E" w:rsidRDefault="00C1528E" w:rsidP="002B55BD"/>
              </w:tc>
              <w:tc>
                <w:tcPr>
                  <w:tcW w:w="720" w:type="dxa"/>
                  <w:tcBorders>
                    <w:top w:val="single" w:sz="4" w:space="0" w:color="auto"/>
                  </w:tcBorders>
                </w:tcPr>
                <w:p w14:paraId="065F00BE" w14:textId="77777777" w:rsidR="00C1528E" w:rsidRDefault="00C1528E" w:rsidP="002B55BD"/>
              </w:tc>
              <w:tc>
                <w:tcPr>
                  <w:tcW w:w="2160" w:type="dxa"/>
                  <w:tcBorders>
                    <w:top w:val="single" w:sz="4" w:space="0" w:color="auto"/>
                  </w:tcBorders>
                </w:tcPr>
                <w:p w14:paraId="05AC2E60" w14:textId="77777777" w:rsidR="00C1528E" w:rsidRDefault="00C1528E" w:rsidP="002B55BD"/>
              </w:tc>
            </w:tr>
          </w:tbl>
          <w:p w14:paraId="5F3E54A4" w14:textId="77777777" w:rsidR="00C1528E" w:rsidRDefault="00C1528E" w:rsidP="002B55BD">
            <w:pPr>
              <w:pStyle w:val="Header"/>
              <w:rPr>
                <w:b/>
              </w:rPr>
            </w:pPr>
          </w:p>
          <w:p w14:paraId="7541EF2B" w14:textId="77777777" w:rsidR="00C1528E" w:rsidRDefault="00C1528E" w:rsidP="002B55BD">
            <w:pPr>
              <w:pStyle w:val="Header"/>
              <w:rPr>
                <w:b/>
              </w:rPr>
            </w:pPr>
            <w:r>
              <w:rPr>
                <w:b/>
              </w:rPr>
              <w:t>V.     Change Orders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0"/>
              <w:gridCol w:w="690"/>
              <w:gridCol w:w="690"/>
              <w:gridCol w:w="690"/>
              <w:gridCol w:w="2160"/>
            </w:tblGrid>
            <w:tr w:rsidR="00C1528E" w14:paraId="652393DB" w14:textId="77777777" w:rsidTr="002B55BD">
              <w:trPr>
                <w:trHeight w:hRule="exact" w:val="271"/>
              </w:trPr>
              <w:tc>
                <w:tcPr>
                  <w:tcW w:w="540" w:type="dxa"/>
                  <w:tcBorders>
                    <w:top w:val="nil"/>
                    <w:left w:val="nil"/>
                    <w:bottom w:val="nil"/>
                    <w:right w:val="nil"/>
                  </w:tcBorders>
                </w:tcPr>
                <w:p w14:paraId="7D812B6B" w14:textId="77777777" w:rsidR="00C1528E" w:rsidRDefault="00C1528E" w:rsidP="002B55BD">
                  <w:pPr>
                    <w:pStyle w:val="Header"/>
                  </w:pPr>
                </w:p>
              </w:tc>
              <w:tc>
                <w:tcPr>
                  <w:tcW w:w="4500" w:type="dxa"/>
                  <w:tcBorders>
                    <w:top w:val="nil"/>
                    <w:left w:val="nil"/>
                    <w:bottom w:val="nil"/>
                    <w:right w:val="nil"/>
                  </w:tcBorders>
                  <w:vAlign w:val="center"/>
                </w:tcPr>
                <w:p w14:paraId="5F6BB02A" w14:textId="77777777" w:rsidR="00C1528E" w:rsidRDefault="00C1528E" w:rsidP="002B55BD"/>
              </w:tc>
              <w:tc>
                <w:tcPr>
                  <w:tcW w:w="690" w:type="dxa"/>
                  <w:tcBorders>
                    <w:top w:val="nil"/>
                    <w:left w:val="nil"/>
                    <w:bottom w:val="nil"/>
                    <w:right w:val="nil"/>
                  </w:tcBorders>
                  <w:vAlign w:val="bottom"/>
                </w:tcPr>
                <w:p w14:paraId="415224AF" w14:textId="77777777" w:rsidR="00C1528E" w:rsidRDefault="00C1528E" w:rsidP="002B55BD">
                  <w:pPr>
                    <w:jc w:val="center"/>
                  </w:pPr>
                </w:p>
              </w:tc>
              <w:tc>
                <w:tcPr>
                  <w:tcW w:w="690" w:type="dxa"/>
                  <w:tcBorders>
                    <w:top w:val="nil"/>
                    <w:left w:val="nil"/>
                    <w:bottom w:val="nil"/>
                    <w:right w:val="nil"/>
                  </w:tcBorders>
                  <w:vAlign w:val="bottom"/>
                </w:tcPr>
                <w:p w14:paraId="075616DC" w14:textId="77777777" w:rsidR="00C1528E" w:rsidRDefault="00C1528E" w:rsidP="002B55BD">
                  <w:pPr>
                    <w:jc w:val="center"/>
                  </w:pPr>
                </w:p>
              </w:tc>
              <w:tc>
                <w:tcPr>
                  <w:tcW w:w="690" w:type="dxa"/>
                  <w:tcBorders>
                    <w:top w:val="nil"/>
                    <w:left w:val="nil"/>
                    <w:bottom w:val="nil"/>
                    <w:right w:val="nil"/>
                  </w:tcBorders>
                  <w:vAlign w:val="bottom"/>
                </w:tcPr>
                <w:p w14:paraId="0CB79BC4" w14:textId="77777777" w:rsidR="00C1528E" w:rsidRDefault="00C1528E" w:rsidP="002B55BD">
                  <w:pPr>
                    <w:jc w:val="center"/>
                  </w:pPr>
                </w:p>
              </w:tc>
              <w:tc>
                <w:tcPr>
                  <w:tcW w:w="2160" w:type="dxa"/>
                  <w:tcBorders>
                    <w:top w:val="nil"/>
                    <w:left w:val="nil"/>
                    <w:bottom w:val="nil"/>
                    <w:right w:val="nil"/>
                  </w:tcBorders>
                  <w:vAlign w:val="bottom"/>
                </w:tcPr>
                <w:p w14:paraId="7ADF5743" w14:textId="77777777" w:rsidR="00C1528E" w:rsidRDefault="00C1528E" w:rsidP="002B55BD">
                  <w:pPr>
                    <w:jc w:val="center"/>
                  </w:pPr>
                </w:p>
              </w:tc>
            </w:tr>
            <w:tr w:rsidR="00C1528E" w14:paraId="7A867567" w14:textId="77777777" w:rsidTr="002B55BD">
              <w:trPr>
                <w:trHeight w:hRule="exact" w:val="901"/>
              </w:trPr>
              <w:tc>
                <w:tcPr>
                  <w:tcW w:w="540" w:type="dxa"/>
                  <w:tcBorders>
                    <w:top w:val="single" w:sz="4" w:space="0" w:color="auto"/>
                  </w:tcBorders>
                </w:tcPr>
                <w:p w14:paraId="20EC35C4" w14:textId="77777777" w:rsidR="00C1528E" w:rsidRDefault="00C1528E" w:rsidP="002B55BD">
                  <w:pPr>
                    <w:pStyle w:val="Header"/>
                  </w:pPr>
                  <w:r>
                    <w:t>A.</w:t>
                  </w:r>
                </w:p>
              </w:tc>
              <w:tc>
                <w:tcPr>
                  <w:tcW w:w="4500" w:type="dxa"/>
                  <w:tcBorders>
                    <w:top w:val="single" w:sz="4" w:space="0" w:color="auto"/>
                  </w:tcBorders>
                  <w:vAlign w:val="center"/>
                </w:tcPr>
                <w:p w14:paraId="20D767B0" w14:textId="77777777" w:rsidR="00C1528E" w:rsidRDefault="00C1528E" w:rsidP="002B55BD">
                  <w:r>
                    <w:t>Is the final contract amount different from the award price due to change orders?</w:t>
                  </w:r>
                </w:p>
              </w:tc>
              <w:tc>
                <w:tcPr>
                  <w:tcW w:w="690" w:type="dxa"/>
                  <w:tcBorders>
                    <w:top w:val="single" w:sz="4" w:space="0" w:color="auto"/>
                  </w:tcBorders>
                </w:tcPr>
                <w:p w14:paraId="02B1895B" w14:textId="77777777" w:rsidR="00C1528E" w:rsidRDefault="00C1528E" w:rsidP="002B55BD"/>
              </w:tc>
              <w:tc>
                <w:tcPr>
                  <w:tcW w:w="690" w:type="dxa"/>
                  <w:tcBorders>
                    <w:top w:val="single" w:sz="4" w:space="0" w:color="auto"/>
                  </w:tcBorders>
                </w:tcPr>
                <w:p w14:paraId="6FEF274C" w14:textId="77777777" w:rsidR="00C1528E" w:rsidRDefault="00C1528E" w:rsidP="002B55BD"/>
              </w:tc>
              <w:tc>
                <w:tcPr>
                  <w:tcW w:w="690" w:type="dxa"/>
                  <w:tcBorders>
                    <w:top w:val="single" w:sz="4" w:space="0" w:color="auto"/>
                  </w:tcBorders>
                </w:tcPr>
                <w:p w14:paraId="44C37424" w14:textId="77777777" w:rsidR="00C1528E" w:rsidRDefault="00C1528E" w:rsidP="002B55BD"/>
              </w:tc>
              <w:tc>
                <w:tcPr>
                  <w:tcW w:w="2160" w:type="dxa"/>
                  <w:tcBorders>
                    <w:top w:val="single" w:sz="4" w:space="0" w:color="auto"/>
                  </w:tcBorders>
                </w:tcPr>
                <w:p w14:paraId="194B5848" w14:textId="77777777" w:rsidR="00C1528E" w:rsidRDefault="00C1528E" w:rsidP="002B55BD"/>
              </w:tc>
            </w:tr>
            <w:tr w:rsidR="00C1528E" w14:paraId="1614AE3E" w14:textId="77777777" w:rsidTr="002B55BD">
              <w:trPr>
                <w:trHeight w:hRule="exact" w:val="982"/>
              </w:trPr>
              <w:tc>
                <w:tcPr>
                  <w:tcW w:w="540" w:type="dxa"/>
                  <w:tcBorders>
                    <w:top w:val="single" w:sz="4" w:space="0" w:color="auto"/>
                  </w:tcBorders>
                </w:tcPr>
                <w:p w14:paraId="1352F9EA" w14:textId="77777777" w:rsidR="00C1528E" w:rsidRDefault="00C1528E" w:rsidP="002B55BD">
                  <w:pPr>
                    <w:pStyle w:val="Footer"/>
                    <w:jc w:val="center"/>
                  </w:pPr>
                </w:p>
              </w:tc>
              <w:tc>
                <w:tcPr>
                  <w:tcW w:w="4500" w:type="dxa"/>
                  <w:tcBorders>
                    <w:top w:val="single" w:sz="4" w:space="0" w:color="auto"/>
                  </w:tcBorders>
                  <w:vAlign w:val="center"/>
                </w:tcPr>
                <w:p w14:paraId="714A4578" w14:textId="77777777" w:rsidR="00C1528E" w:rsidRDefault="00C1528E" w:rsidP="00C1528E">
                  <w:pPr>
                    <w:numPr>
                      <w:ilvl w:val="0"/>
                      <w:numId w:val="10"/>
                    </w:numPr>
                    <w:spacing w:after="0" w:line="240" w:lineRule="auto"/>
                  </w:pPr>
                  <w:r>
                    <w:t>Do cumulative changes result in less than a ten percent increase in the contract award price?</w:t>
                  </w:r>
                </w:p>
              </w:tc>
              <w:tc>
                <w:tcPr>
                  <w:tcW w:w="690" w:type="dxa"/>
                  <w:tcBorders>
                    <w:top w:val="single" w:sz="4" w:space="0" w:color="auto"/>
                  </w:tcBorders>
                </w:tcPr>
                <w:p w14:paraId="49580707" w14:textId="77777777" w:rsidR="00C1528E" w:rsidRDefault="00C1528E" w:rsidP="002B55BD"/>
              </w:tc>
              <w:tc>
                <w:tcPr>
                  <w:tcW w:w="690" w:type="dxa"/>
                  <w:tcBorders>
                    <w:top w:val="single" w:sz="4" w:space="0" w:color="auto"/>
                  </w:tcBorders>
                </w:tcPr>
                <w:p w14:paraId="511269E3" w14:textId="77777777" w:rsidR="00C1528E" w:rsidRDefault="00C1528E" w:rsidP="002B55BD"/>
              </w:tc>
              <w:tc>
                <w:tcPr>
                  <w:tcW w:w="690" w:type="dxa"/>
                  <w:tcBorders>
                    <w:top w:val="single" w:sz="4" w:space="0" w:color="auto"/>
                  </w:tcBorders>
                </w:tcPr>
                <w:p w14:paraId="4A751B35" w14:textId="77777777" w:rsidR="00C1528E" w:rsidRDefault="00C1528E" w:rsidP="002B55BD"/>
              </w:tc>
              <w:tc>
                <w:tcPr>
                  <w:tcW w:w="2160" w:type="dxa"/>
                  <w:tcBorders>
                    <w:top w:val="single" w:sz="4" w:space="0" w:color="auto"/>
                  </w:tcBorders>
                </w:tcPr>
                <w:p w14:paraId="09A18FC2" w14:textId="77777777" w:rsidR="00C1528E" w:rsidRDefault="00C1528E" w:rsidP="002B55BD">
                  <w:pPr>
                    <w:pStyle w:val="Header"/>
                  </w:pPr>
                </w:p>
              </w:tc>
            </w:tr>
            <w:tr w:rsidR="00C1528E" w14:paraId="2EF50D6B" w14:textId="77777777" w:rsidTr="002B55BD">
              <w:trPr>
                <w:trHeight w:hRule="exact" w:val="901"/>
              </w:trPr>
              <w:tc>
                <w:tcPr>
                  <w:tcW w:w="540" w:type="dxa"/>
                  <w:tcBorders>
                    <w:top w:val="single" w:sz="4" w:space="0" w:color="auto"/>
                  </w:tcBorders>
                </w:tcPr>
                <w:p w14:paraId="326D2CCF" w14:textId="77777777" w:rsidR="00C1528E" w:rsidRDefault="00C1528E" w:rsidP="002B55BD">
                  <w:pPr>
                    <w:pStyle w:val="Footer"/>
                    <w:jc w:val="center"/>
                  </w:pPr>
                </w:p>
              </w:tc>
              <w:tc>
                <w:tcPr>
                  <w:tcW w:w="4500" w:type="dxa"/>
                  <w:tcBorders>
                    <w:top w:val="single" w:sz="4" w:space="0" w:color="auto"/>
                  </w:tcBorders>
                  <w:vAlign w:val="center"/>
                </w:tcPr>
                <w:p w14:paraId="215CC217" w14:textId="77777777" w:rsidR="00C1528E" w:rsidRDefault="00C1528E" w:rsidP="00C1528E">
                  <w:pPr>
                    <w:numPr>
                      <w:ilvl w:val="0"/>
                      <w:numId w:val="10"/>
                    </w:numPr>
                    <w:spacing w:after="0" w:line="240" w:lineRule="auto"/>
                  </w:pPr>
                  <w:r>
                    <w:t>Do change orders pertain to minor changes consistent with the general scope of the original project?</w:t>
                  </w:r>
                </w:p>
              </w:tc>
              <w:tc>
                <w:tcPr>
                  <w:tcW w:w="690" w:type="dxa"/>
                  <w:tcBorders>
                    <w:top w:val="single" w:sz="4" w:space="0" w:color="auto"/>
                  </w:tcBorders>
                </w:tcPr>
                <w:p w14:paraId="7E8EAB5E" w14:textId="77777777" w:rsidR="00C1528E" w:rsidRDefault="00C1528E" w:rsidP="002B55BD"/>
              </w:tc>
              <w:tc>
                <w:tcPr>
                  <w:tcW w:w="690" w:type="dxa"/>
                  <w:tcBorders>
                    <w:top w:val="single" w:sz="4" w:space="0" w:color="auto"/>
                  </w:tcBorders>
                </w:tcPr>
                <w:p w14:paraId="42512C22" w14:textId="77777777" w:rsidR="00C1528E" w:rsidRDefault="00C1528E" w:rsidP="002B55BD"/>
              </w:tc>
              <w:tc>
                <w:tcPr>
                  <w:tcW w:w="690" w:type="dxa"/>
                  <w:tcBorders>
                    <w:top w:val="single" w:sz="4" w:space="0" w:color="auto"/>
                  </w:tcBorders>
                </w:tcPr>
                <w:p w14:paraId="3F16FF46" w14:textId="77777777" w:rsidR="00C1528E" w:rsidRDefault="00C1528E" w:rsidP="002B55BD"/>
              </w:tc>
              <w:tc>
                <w:tcPr>
                  <w:tcW w:w="2160" w:type="dxa"/>
                  <w:tcBorders>
                    <w:top w:val="single" w:sz="4" w:space="0" w:color="auto"/>
                  </w:tcBorders>
                </w:tcPr>
                <w:p w14:paraId="704C01FC" w14:textId="77777777" w:rsidR="00C1528E" w:rsidRDefault="00C1528E" w:rsidP="002B55BD"/>
              </w:tc>
            </w:tr>
            <w:tr w:rsidR="00C1528E" w14:paraId="4E6F9726" w14:textId="77777777" w:rsidTr="002B55BD">
              <w:trPr>
                <w:trHeight w:hRule="exact" w:val="1162"/>
              </w:trPr>
              <w:tc>
                <w:tcPr>
                  <w:tcW w:w="540" w:type="dxa"/>
                  <w:tcBorders>
                    <w:top w:val="single" w:sz="4" w:space="0" w:color="auto"/>
                  </w:tcBorders>
                </w:tcPr>
                <w:p w14:paraId="0A1098DE" w14:textId="77777777" w:rsidR="00C1528E" w:rsidRDefault="00C1528E" w:rsidP="002B55BD">
                  <w:pPr>
                    <w:pStyle w:val="Footer"/>
                    <w:jc w:val="center"/>
                  </w:pPr>
                </w:p>
              </w:tc>
              <w:tc>
                <w:tcPr>
                  <w:tcW w:w="4500" w:type="dxa"/>
                  <w:tcBorders>
                    <w:top w:val="single" w:sz="4" w:space="0" w:color="auto"/>
                  </w:tcBorders>
                  <w:vAlign w:val="center"/>
                </w:tcPr>
                <w:p w14:paraId="39C52BB4" w14:textId="77777777" w:rsidR="00C1528E" w:rsidRDefault="00C1528E" w:rsidP="00C1528E">
                  <w:pPr>
                    <w:numPr>
                      <w:ilvl w:val="0"/>
                      <w:numId w:val="11"/>
                    </w:numPr>
                    <w:spacing w:after="0" w:line="240" w:lineRule="auto"/>
                  </w:pPr>
                  <w:r>
                    <w:t xml:space="preserve">If cumulative changes exceed ten percent, are contract items and unit costs consistent with the original contract? </w:t>
                  </w:r>
                </w:p>
              </w:tc>
              <w:tc>
                <w:tcPr>
                  <w:tcW w:w="690" w:type="dxa"/>
                  <w:tcBorders>
                    <w:top w:val="single" w:sz="4" w:space="0" w:color="auto"/>
                  </w:tcBorders>
                </w:tcPr>
                <w:p w14:paraId="5C2A74ED" w14:textId="77777777" w:rsidR="00C1528E" w:rsidRDefault="00C1528E" w:rsidP="002B55BD"/>
              </w:tc>
              <w:tc>
                <w:tcPr>
                  <w:tcW w:w="690" w:type="dxa"/>
                  <w:tcBorders>
                    <w:top w:val="single" w:sz="4" w:space="0" w:color="auto"/>
                  </w:tcBorders>
                </w:tcPr>
                <w:p w14:paraId="63D48E73" w14:textId="77777777" w:rsidR="00C1528E" w:rsidRDefault="00C1528E" w:rsidP="002B55BD"/>
              </w:tc>
              <w:tc>
                <w:tcPr>
                  <w:tcW w:w="690" w:type="dxa"/>
                  <w:tcBorders>
                    <w:top w:val="single" w:sz="4" w:space="0" w:color="auto"/>
                  </w:tcBorders>
                </w:tcPr>
                <w:p w14:paraId="6C69B042" w14:textId="77777777" w:rsidR="00C1528E" w:rsidRDefault="00C1528E" w:rsidP="002B55BD"/>
              </w:tc>
              <w:tc>
                <w:tcPr>
                  <w:tcW w:w="2160" w:type="dxa"/>
                  <w:tcBorders>
                    <w:top w:val="single" w:sz="4" w:space="0" w:color="auto"/>
                  </w:tcBorders>
                </w:tcPr>
                <w:p w14:paraId="2D9BD60E" w14:textId="77777777" w:rsidR="00C1528E" w:rsidRDefault="00C1528E" w:rsidP="002B55BD"/>
              </w:tc>
            </w:tr>
            <w:tr w:rsidR="00C1528E" w14:paraId="4F28360A" w14:textId="77777777" w:rsidTr="002B55BD">
              <w:trPr>
                <w:trHeight w:hRule="exact" w:val="1720"/>
              </w:trPr>
              <w:tc>
                <w:tcPr>
                  <w:tcW w:w="540" w:type="dxa"/>
                  <w:tcBorders>
                    <w:top w:val="single" w:sz="4" w:space="0" w:color="auto"/>
                  </w:tcBorders>
                </w:tcPr>
                <w:p w14:paraId="2A067242" w14:textId="77777777" w:rsidR="00C1528E" w:rsidRDefault="00C1528E" w:rsidP="002B55BD">
                  <w:pPr>
                    <w:pStyle w:val="Footer"/>
                    <w:jc w:val="center"/>
                  </w:pPr>
                </w:p>
              </w:tc>
              <w:tc>
                <w:tcPr>
                  <w:tcW w:w="4500" w:type="dxa"/>
                  <w:tcBorders>
                    <w:top w:val="single" w:sz="4" w:space="0" w:color="auto"/>
                  </w:tcBorders>
                  <w:vAlign w:val="center"/>
                </w:tcPr>
                <w:p w14:paraId="545A2591" w14:textId="77777777" w:rsidR="00C1528E" w:rsidRDefault="00C1528E" w:rsidP="00C1528E">
                  <w:pPr>
                    <w:numPr>
                      <w:ilvl w:val="0"/>
                      <w:numId w:val="11"/>
                    </w:numPr>
                    <w:spacing w:after="0" w:line="240" w:lineRule="auto"/>
                  </w:pPr>
                  <w:r>
                    <w:t>If the answers to all of the above are no, then are the changes necessitated by extraordinary circumstances that have been documented by the architect and/or engineer?</w:t>
                  </w:r>
                </w:p>
              </w:tc>
              <w:tc>
                <w:tcPr>
                  <w:tcW w:w="690" w:type="dxa"/>
                  <w:tcBorders>
                    <w:top w:val="single" w:sz="4" w:space="0" w:color="auto"/>
                  </w:tcBorders>
                </w:tcPr>
                <w:p w14:paraId="2160127B" w14:textId="77777777" w:rsidR="00C1528E" w:rsidRDefault="00C1528E" w:rsidP="002B55BD"/>
              </w:tc>
              <w:tc>
                <w:tcPr>
                  <w:tcW w:w="690" w:type="dxa"/>
                  <w:tcBorders>
                    <w:top w:val="single" w:sz="4" w:space="0" w:color="auto"/>
                  </w:tcBorders>
                </w:tcPr>
                <w:p w14:paraId="7DB1B440" w14:textId="77777777" w:rsidR="00C1528E" w:rsidRDefault="00C1528E" w:rsidP="002B55BD"/>
              </w:tc>
              <w:tc>
                <w:tcPr>
                  <w:tcW w:w="690" w:type="dxa"/>
                  <w:tcBorders>
                    <w:top w:val="single" w:sz="4" w:space="0" w:color="auto"/>
                  </w:tcBorders>
                </w:tcPr>
                <w:p w14:paraId="255CE49A" w14:textId="77777777" w:rsidR="00C1528E" w:rsidRDefault="00C1528E" w:rsidP="002B55BD"/>
              </w:tc>
              <w:tc>
                <w:tcPr>
                  <w:tcW w:w="2160" w:type="dxa"/>
                  <w:tcBorders>
                    <w:top w:val="single" w:sz="4" w:space="0" w:color="auto"/>
                  </w:tcBorders>
                </w:tcPr>
                <w:p w14:paraId="77BAAA67" w14:textId="77777777" w:rsidR="00C1528E" w:rsidRDefault="00C1528E" w:rsidP="002B55BD"/>
              </w:tc>
            </w:tr>
            <w:tr w:rsidR="00C1528E" w14:paraId="48D2AB5F" w14:textId="77777777" w:rsidTr="002B55BD">
              <w:trPr>
                <w:trHeight w:hRule="exact" w:val="622"/>
              </w:trPr>
              <w:tc>
                <w:tcPr>
                  <w:tcW w:w="540" w:type="dxa"/>
                </w:tcPr>
                <w:p w14:paraId="54AE0AF4" w14:textId="77777777" w:rsidR="00C1528E" w:rsidRDefault="00C1528E" w:rsidP="002B55BD">
                  <w:r>
                    <w:t>B.</w:t>
                  </w:r>
                </w:p>
              </w:tc>
              <w:tc>
                <w:tcPr>
                  <w:tcW w:w="4500" w:type="dxa"/>
                  <w:vAlign w:val="center"/>
                </w:tcPr>
                <w:p w14:paraId="33E70D01" w14:textId="77777777" w:rsidR="00C1528E" w:rsidRDefault="00C1528E" w:rsidP="002B55BD">
                  <w:r>
                    <w:t>Have all contract change orders been approved by the local governing body?</w:t>
                  </w:r>
                </w:p>
              </w:tc>
              <w:tc>
                <w:tcPr>
                  <w:tcW w:w="690" w:type="dxa"/>
                </w:tcPr>
                <w:p w14:paraId="41EABB73" w14:textId="77777777" w:rsidR="00C1528E" w:rsidRDefault="00C1528E" w:rsidP="002B55BD"/>
              </w:tc>
              <w:tc>
                <w:tcPr>
                  <w:tcW w:w="690" w:type="dxa"/>
                </w:tcPr>
                <w:p w14:paraId="65260DAE" w14:textId="77777777" w:rsidR="00C1528E" w:rsidRDefault="00C1528E" w:rsidP="002B55BD"/>
              </w:tc>
              <w:tc>
                <w:tcPr>
                  <w:tcW w:w="690" w:type="dxa"/>
                </w:tcPr>
                <w:p w14:paraId="7FE7C36B" w14:textId="77777777" w:rsidR="00C1528E" w:rsidRDefault="00C1528E" w:rsidP="002B55BD"/>
              </w:tc>
              <w:tc>
                <w:tcPr>
                  <w:tcW w:w="2160" w:type="dxa"/>
                </w:tcPr>
                <w:p w14:paraId="7940DFB2" w14:textId="77777777" w:rsidR="00C1528E" w:rsidRDefault="00C1528E" w:rsidP="002B55BD"/>
              </w:tc>
            </w:tr>
            <w:tr w:rsidR="00C1528E" w14:paraId="37E65589" w14:textId="77777777" w:rsidTr="002B55BD">
              <w:trPr>
                <w:trHeight w:val="615"/>
              </w:trPr>
              <w:tc>
                <w:tcPr>
                  <w:tcW w:w="540" w:type="dxa"/>
                </w:tcPr>
                <w:p w14:paraId="55053127" w14:textId="77777777" w:rsidR="00C1528E" w:rsidRDefault="00C1528E" w:rsidP="002B55BD">
                  <w:pPr>
                    <w:pStyle w:val="Header"/>
                  </w:pPr>
                  <w:r>
                    <w:t>C.</w:t>
                  </w:r>
                </w:p>
              </w:tc>
              <w:tc>
                <w:tcPr>
                  <w:tcW w:w="4500" w:type="dxa"/>
                </w:tcPr>
                <w:p w14:paraId="433B969C" w14:textId="77777777" w:rsidR="00C1528E" w:rsidRDefault="00C1528E" w:rsidP="002B55BD">
                  <w:pPr>
                    <w:pStyle w:val="Header"/>
                  </w:pPr>
                  <w:r>
                    <w:t>For projects from 2009 or later, were all change orders approved by ADECA’s Engineer?</w:t>
                  </w:r>
                </w:p>
              </w:tc>
              <w:tc>
                <w:tcPr>
                  <w:tcW w:w="690" w:type="dxa"/>
                </w:tcPr>
                <w:p w14:paraId="600DB8A9" w14:textId="77777777" w:rsidR="00C1528E" w:rsidRDefault="00C1528E" w:rsidP="002B55BD">
                  <w:pPr>
                    <w:pStyle w:val="Header"/>
                  </w:pPr>
                </w:p>
              </w:tc>
              <w:tc>
                <w:tcPr>
                  <w:tcW w:w="690" w:type="dxa"/>
                </w:tcPr>
                <w:p w14:paraId="09720B02" w14:textId="77777777" w:rsidR="00C1528E" w:rsidRDefault="00C1528E" w:rsidP="002B55BD">
                  <w:pPr>
                    <w:pStyle w:val="Header"/>
                  </w:pPr>
                </w:p>
              </w:tc>
              <w:tc>
                <w:tcPr>
                  <w:tcW w:w="690" w:type="dxa"/>
                </w:tcPr>
                <w:p w14:paraId="771CF682" w14:textId="77777777" w:rsidR="00C1528E" w:rsidRDefault="00C1528E" w:rsidP="002B55BD">
                  <w:pPr>
                    <w:pStyle w:val="Header"/>
                  </w:pPr>
                </w:p>
              </w:tc>
              <w:tc>
                <w:tcPr>
                  <w:tcW w:w="2160" w:type="dxa"/>
                </w:tcPr>
                <w:p w14:paraId="2D29CE91" w14:textId="77777777" w:rsidR="00C1528E" w:rsidRDefault="00C1528E" w:rsidP="002B55BD">
                  <w:pPr>
                    <w:pStyle w:val="Header"/>
                  </w:pPr>
                </w:p>
              </w:tc>
            </w:tr>
          </w:tbl>
          <w:p w14:paraId="45D9D121" w14:textId="0ECB8CC6" w:rsidR="00C1528E" w:rsidRDefault="00C1528E" w:rsidP="002B55BD">
            <w:pPr>
              <w:pStyle w:val="Header"/>
            </w:pPr>
            <w:r>
              <w:br w:type="page"/>
            </w:r>
            <w:r>
              <w:rPr>
                <w:b/>
              </w:rPr>
              <w:t>VI.     Hook Ups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0"/>
              <w:gridCol w:w="690"/>
              <w:gridCol w:w="690"/>
              <w:gridCol w:w="690"/>
              <w:gridCol w:w="2160"/>
            </w:tblGrid>
            <w:tr w:rsidR="00C1528E" w14:paraId="6B231203" w14:textId="77777777" w:rsidTr="002B55BD">
              <w:trPr>
                <w:trHeight w:hRule="exact" w:val="447"/>
              </w:trPr>
              <w:tc>
                <w:tcPr>
                  <w:tcW w:w="540" w:type="dxa"/>
                  <w:tcBorders>
                    <w:top w:val="nil"/>
                    <w:left w:val="nil"/>
                    <w:bottom w:val="single" w:sz="4" w:space="0" w:color="auto"/>
                    <w:right w:val="nil"/>
                  </w:tcBorders>
                </w:tcPr>
                <w:p w14:paraId="5038B767" w14:textId="77777777" w:rsidR="00C1528E" w:rsidRDefault="00C1528E" w:rsidP="002B55BD">
                  <w:pPr>
                    <w:pStyle w:val="Header"/>
                  </w:pPr>
                </w:p>
              </w:tc>
              <w:tc>
                <w:tcPr>
                  <w:tcW w:w="4500" w:type="dxa"/>
                  <w:tcBorders>
                    <w:top w:val="nil"/>
                    <w:left w:val="nil"/>
                    <w:bottom w:val="single" w:sz="4" w:space="0" w:color="auto"/>
                    <w:right w:val="nil"/>
                  </w:tcBorders>
                  <w:vAlign w:val="center"/>
                </w:tcPr>
                <w:p w14:paraId="2AE0D125" w14:textId="77777777" w:rsidR="00C1528E" w:rsidRDefault="00C1528E" w:rsidP="002B55BD"/>
              </w:tc>
              <w:tc>
                <w:tcPr>
                  <w:tcW w:w="690" w:type="dxa"/>
                  <w:tcBorders>
                    <w:top w:val="nil"/>
                    <w:left w:val="nil"/>
                    <w:bottom w:val="single" w:sz="4" w:space="0" w:color="auto"/>
                    <w:right w:val="nil"/>
                  </w:tcBorders>
                  <w:vAlign w:val="bottom"/>
                </w:tcPr>
                <w:p w14:paraId="0DC45368" w14:textId="77777777" w:rsidR="00C1528E" w:rsidRDefault="00C1528E" w:rsidP="002B55BD">
                  <w:pPr>
                    <w:pStyle w:val="Footer"/>
                    <w:ind w:right="-108"/>
                  </w:pPr>
                  <w:r>
                    <w:t>Yes</w:t>
                  </w:r>
                </w:p>
              </w:tc>
              <w:tc>
                <w:tcPr>
                  <w:tcW w:w="690" w:type="dxa"/>
                  <w:tcBorders>
                    <w:top w:val="nil"/>
                    <w:left w:val="nil"/>
                    <w:bottom w:val="single" w:sz="4" w:space="0" w:color="auto"/>
                    <w:right w:val="nil"/>
                  </w:tcBorders>
                  <w:vAlign w:val="bottom"/>
                </w:tcPr>
                <w:p w14:paraId="3FC083E3" w14:textId="77777777" w:rsidR="00C1528E" w:rsidRDefault="00C1528E" w:rsidP="002B55BD">
                  <w:pPr>
                    <w:pStyle w:val="Footer"/>
                  </w:pPr>
                  <w:r>
                    <w:t>No</w:t>
                  </w:r>
                </w:p>
              </w:tc>
              <w:tc>
                <w:tcPr>
                  <w:tcW w:w="690" w:type="dxa"/>
                  <w:tcBorders>
                    <w:top w:val="nil"/>
                    <w:left w:val="nil"/>
                    <w:bottom w:val="single" w:sz="4" w:space="0" w:color="auto"/>
                    <w:right w:val="nil"/>
                  </w:tcBorders>
                  <w:vAlign w:val="bottom"/>
                </w:tcPr>
                <w:p w14:paraId="579083C4" w14:textId="77777777" w:rsidR="00C1528E" w:rsidRDefault="00C1528E" w:rsidP="002B55BD">
                  <w:pPr>
                    <w:jc w:val="center"/>
                  </w:pPr>
                  <w:r>
                    <w:t>N/A</w:t>
                  </w:r>
                </w:p>
              </w:tc>
              <w:tc>
                <w:tcPr>
                  <w:tcW w:w="2160" w:type="dxa"/>
                  <w:tcBorders>
                    <w:top w:val="nil"/>
                    <w:left w:val="nil"/>
                    <w:bottom w:val="single" w:sz="4" w:space="0" w:color="auto"/>
                    <w:right w:val="nil"/>
                  </w:tcBorders>
                  <w:vAlign w:val="bottom"/>
                </w:tcPr>
                <w:p w14:paraId="5E1BCA0C" w14:textId="77777777" w:rsidR="00C1528E" w:rsidRDefault="00C1528E" w:rsidP="002B55BD">
                  <w:pPr>
                    <w:jc w:val="center"/>
                  </w:pPr>
                  <w:r>
                    <w:t>Notes</w:t>
                  </w:r>
                </w:p>
              </w:tc>
            </w:tr>
            <w:tr w:rsidR="00C1528E" w14:paraId="6943566C" w14:textId="77777777" w:rsidTr="002B55BD">
              <w:trPr>
                <w:trHeight w:hRule="exact" w:val="1792"/>
              </w:trPr>
              <w:tc>
                <w:tcPr>
                  <w:tcW w:w="540" w:type="dxa"/>
                  <w:tcBorders>
                    <w:top w:val="single" w:sz="4" w:space="0" w:color="auto"/>
                  </w:tcBorders>
                </w:tcPr>
                <w:p w14:paraId="3B76ED42" w14:textId="77777777" w:rsidR="00C1528E" w:rsidRDefault="00C1528E" w:rsidP="002B55BD">
                  <w:pPr>
                    <w:pStyle w:val="Header"/>
                  </w:pPr>
                  <w:r>
                    <w:t>A.</w:t>
                  </w:r>
                </w:p>
              </w:tc>
              <w:tc>
                <w:tcPr>
                  <w:tcW w:w="4500" w:type="dxa"/>
                  <w:tcBorders>
                    <w:top w:val="single" w:sz="4" w:space="0" w:color="auto"/>
                  </w:tcBorders>
                  <w:vAlign w:val="center"/>
                </w:tcPr>
                <w:p w14:paraId="5C78D3AB" w14:textId="77777777" w:rsidR="00C1528E" w:rsidRDefault="00C1528E" w:rsidP="002B55BD">
                  <w:r>
                    <w:t>If hookups were a requirement of the project, is there a construction contract with the community to provide all documented hookups, or are there individual rehabilitation contracts for all documented hookups?</w:t>
                  </w:r>
                </w:p>
              </w:tc>
              <w:tc>
                <w:tcPr>
                  <w:tcW w:w="690" w:type="dxa"/>
                  <w:tcBorders>
                    <w:top w:val="single" w:sz="4" w:space="0" w:color="auto"/>
                  </w:tcBorders>
                </w:tcPr>
                <w:p w14:paraId="225D2708" w14:textId="77777777" w:rsidR="00C1528E" w:rsidRDefault="00C1528E" w:rsidP="002B55BD"/>
              </w:tc>
              <w:tc>
                <w:tcPr>
                  <w:tcW w:w="690" w:type="dxa"/>
                  <w:tcBorders>
                    <w:top w:val="single" w:sz="4" w:space="0" w:color="auto"/>
                  </w:tcBorders>
                </w:tcPr>
                <w:p w14:paraId="6AAF2490" w14:textId="77777777" w:rsidR="00C1528E" w:rsidRDefault="00C1528E" w:rsidP="002B55BD"/>
              </w:tc>
              <w:tc>
                <w:tcPr>
                  <w:tcW w:w="690" w:type="dxa"/>
                  <w:tcBorders>
                    <w:top w:val="single" w:sz="4" w:space="0" w:color="auto"/>
                  </w:tcBorders>
                </w:tcPr>
                <w:p w14:paraId="5C1A8D2A" w14:textId="77777777" w:rsidR="00C1528E" w:rsidRDefault="00C1528E" w:rsidP="002B55BD"/>
              </w:tc>
              <w:tc>
                <w:tcPr>
                  <w:tcW w:w="2160" w:type="dxa"/>
                  <w:tcBorders>
                    <w:top w:val="single" w:sz="4" w:space="0" w:color="auto"/>
                  </w:tcBorders>
                </w:tcPr>
                <w:p w14:paraId="01A670D5" w14:textId="77777777" w:rsidR="00C1528E" w:rsidRDefault="00C1528E" w:rsidP="002B55BD"/>
              </w:tc>
            </w:tr>
            <w:tr w:rsidR="00C1528E" w14:paraId="2498705E" w14:textId="77777777" w:rsidTr="002B55BD">
              <w:trPr>
                <w:trHeight w:hRule="exact" w:val="631"/>
              </w:trPr>
              <w:tc>
                <w:tcPr>
                  <w:tcW w:w="540" w:type="dxa"/>
                  <w:tcBorders>
                    <w:top w:val="single" w:sz="4" w:space="0" w:color="auto"/>
                  </w:tcBorders>
                </w:tcPr>
                <w:p w14:paraId="57574C2B" w14:textId="77777777" w:rsidR="00C1528E" w:rsidRDefault="00C1528E" w:rsidP="002B55BD">
                  <w:pPr>
                    <w:pStyle w:val="Footer"/>
                  </w:pPr>
                  <w:r>
                    <w:t>B.</w:t>
                  </w:r>
                </w:p>
              </w:tc>
              <w:tc>
                <w:tcPr>
                  <w:tcW w:w="4500" w:type="dxa"/>
                  <w:tcBorders>
                    <w:top w:val="single" w:sz="4" w:space="0" w:color="auto"/>
                  </w:tcBorders>
                  <w:vAlign w:val="center"/>
                </w:tcPr>
                <w:p w14:paraId="4B11F83E" w14:textId="77777777" w:rsidR="00C1528E" w:rsidRDefault="00C1528E" w:rsidP="002B55BD">
                  <w:r>
                    <w:t>Is there sufficient documentation for all LMI households not being hooked up?</w:t>
                  </w:r>
                </w:p>
              </w:tc>
              <w:tc>
                <w:tcPr>
                  <w:tcW w:w="690" w:type="dxa"/>
                  <w:tcBorders>
                    <w:top w:val="single" w:sz="4" w:space="0" w:color="auto"/>
                  </w:tcBorders>
                </w:tcPr>
                <w:p w14:paraId="0B6D4E93" w14:textId="77777777" w:rsidR="00C1528E" w:rsidRDefault="00C1528E" w:rsidP="002B55BD"/>
              </w:tc>
              <w:tc>
                <w:tcPr>
                  <w:tcW w:w="690" w:type="dxa"/>
                  <w:tcBorders>
                    <w:top w:val="single" w:sz="4" w:space="0" w:color="auto"/>
                  </w:tcBorders>
                </w:tcPr>
                <w:p w14:paraId="7B6C0E07" w14:textId="77777777" w:rsidR="00C1528E" w:rsidRDefault="00C1528E" w:rsidP="002B55BD"/>
              </w:tc>
              <w:tc>
                <w:tcPr>
                  <w:tcW w:w="690" w:type="dxa"/>
                  <w:tcBorders>
                    <w:top w:val="single" w:sz="4" w:space="0" w:color="auto"/>
                  </w:tcBorders>
                </w:tcPr>
                <w:p w14:paraId="7B631E52" w14:textId="77777777" w:rsidR="00C1528E" w:rsidRDefault="00C1528E" w:rsidP="002B55BD"/>
              </w:tc>
              <w:tc>
                <w:tcPr>
                  <w:tcW w:w="2160" w:type="dxa"/>
                  <w:tcBorders>
                    <w:top w:val="single" w:sz="4" w:space="0" w:color="auto"/>
                  </w:tcBorders>
                </w:tcPr>
                <w:p w14:paraId="248F32B1" w14:textId="77777777" w:rsidR="00C1528E" w:rsidRDefault="00C1528E" w:rsidP="002B55BD"/>
              </w:tc>
            </w:tr>
            <w:tr w:rsidR="00C1528E" w14:paraId="660440D0" w14:textId="77777777" w:rsidTr="002B55BD">
              <w:trPr>
                <w:trHeight w:hRule="exact" w:val="1342"/>
              </w:trPr>
              <w:tc>
                <w:tcPr>
                  <w:tcW w:w="540" w:type="dxa"/>
                  <w:tcBorders>
                    <w:top w:val="single" w:sz="4" w:space="0" w:color="auto"/>
                  </w:tcBorders>
                </w:tcPr>
                <w:p w14:paraId="071B853E" w14:textId="77777777" w:rsidR="00C1528E" w:rsidRDefault="00C1528E" w:rsidP="002B55BD">
                  <w:pPr>
                    <w:pStyle w:val="Footer"/>
                  </w:pPr>
                  <w:r>
                    <w:t>C.</w:t>
                  </w:r>
                </w:p>
              </w:tc>
              <w:tc>
                <w:tcPr>
                  <w:tcW w:w="4500" w:type="dxa"/>
                  <w:tcBorders>
                    <w:top w:val="single" w:sz="4" w:space="0" w:color="auto"/>
                  </w:tcBorders>
                  <w:vAlign w:val="center"/>
                </w:tcPr>
                <w:p w14:paraId="45D34CC0" w14:textId="77777777" w:rsidR="00C1528E" w:rsidRDefault="00C1528E" w:rsidP="002B55BD">
                  <w:r>
                    <w:t>Does number being hooked up correspond to approved application and contracts? If so, how many have been completed to date?__________</w:t>
                  </w:r>
                </w:p>
              </w:tc>
              <w:tc>
                <w:tcPr>
                  <w:tcW w:w="690" w:type="dxa"/>
                  <w:tcBorders>
                    <w:top w:val="single" w:sz="4" w:space="0" w:color="auto"/>
                  </w:tcBorders>
                </w:tcPr>
                <w:p w14:paraId="5634488D" w14:textId="77777777" w:rsidR="00C1528E" w:rsidRDefault="00C1528E" w:rsidP="002B55BD"/>
              </w:tc>
              <w:tc>
                <w:tcPr>
                  <w:tcW w:w="690" w:type="dxa"/>
                  <w:tcBorders>
                    <w:top w:val="single" w:sz="4" w:space="0" w:color="auto"/>
                  </w:tcBorders>
                </w:tcPr>
                <w:p w14:paraId="2ED02B28" w14:textId="77777777" w:rsidR="00C1528E" w:rsidRDefault="00C1528E" w:rsidP="002B55BD"/>
              </w:tc>
              <w:tc>
                <w:tcPr>
                  <w:tcW w:w="690" w:type="dxa"/>
                  <w:tcBorders>
                    <w:top w:val="single" w:sz="4" w:space="0" w:color="auto"/>
                  </w:tcBorders>
                </w:tcPr>
                <w:p w14:paraId="03146085" w14:textId="77777777" w:rsidR="00C1528E" w:rsidRDefault="00C1528E" w:rsidP="002B55BD"/>
              </w:tc>
              <w:tc>
                <w:tcPr>
                  <w:tcW w:w="2160" w:type="dxa"/>
                  <w:tcBorders>
                    <w:top w:val="single" w:sz="4" w:space="0" w:color="auto"/>
                  </w:tcBorders>
                </w:tcPr>
                <w:p w14:paraId="3FC790A1" w14:textId="77777777" w:rsidR="00C1528E" w:rsidRDefault="00C1528E" w:rsidP="002B55BD"/>
              </w:tc>
            </w:tr>
            <w:tr w:rsidR="00C1528E" w14:paraId="4AF7F588" w14:textId="77777777" w:rsidTr="002B55BD">
              <w:trPr>
                <w:trHeight w:hRule="exact" w:val="910"/>
              </w:trPr>
              <w:tc>
                <w:tcPr>
                  <w:tcW w:w="540" w:type="dxa"/>
                  <w:tcBorders>
                    <w:top w:val="single" w:sz="4" w:space="0" w:color="auto"/>
                  </w:tcBorders>
                </w:tcPr>
                <w:p w14:paraId="4C37519D" w14:textId="77777777" w:rsidR="00C1528E" w:rsidRDefault="00C1528E" w:rsidP="002B55BD">
                  <w:r>
                    <w:t>D.</w:t>
                  </w:r>
                </w:p>
              </w:tc>
              <w:tc>
                <w:tcPr>
                  <w:tcW w:w="4500" w:type="dxa"/>
                  <w:tcBorders>
                    <w:top w:val="single" w:sz="4" w:space="0" w:color="auto"/>
                  </w:tcBorders>
                  <w:vAlign w:val="center"/>
                </w:tcPr>
                <w:p w14:paraId="0142DD04" w14:textId="77777777" w:rsidR="00C1528E" w:rsidRDefault="00C1528E" w:rsidP="002B55BD">
                  <w:r>
                    <w:t>Are there temporary easements/rights of entry for each household that is being hooked up?</w:t>
                  </w:r>
                </w:p>
              </w:tc>
              <w:tc>
                <w:tcPr>
                  <w:tcW w:w="690" w:type="dxa"/>
                  <w:tcBorders>
                    <w:top w:val="single" w:sz="4" w:space="0" w:color="auto"/>
                  </w:tcBorders>
                </w:tcPr>
                <w:p w14:paraId="7D2581EB" w14:textId="77777777" w:rsidR="00C1528E" w:rsidRDefault="00C1528E" w:rsidP="002B55BD"/>
              </w:tc>
              <w:tc>
                <w:tcPr>
                  <w:tcW w:w="690" w:type="dxa"/>
                  <w:tcBorders>
                    <w:top w:val="single" w:sz="4" w:space="0" w:color="auto"/>
                  </w:tcBorders>
                </w:tcPr>
                <w:p w14:paraId="22F61FAB" w14:textId="77777777" w:rsidR="00C1528E" w:rsidRDefault="00C1528E" w:rsidP="002B55BD"/>
              </w:tc>
              <w:tc>
                <w:tcPr>
                  <w:tcW w:w="690" w:type="dxa"/>
                  <w:tcBorders>
                    <w:top w:val="single" w:sz="4" w:space="0" w:color="auto"/>
                  </w:tcBorders>
                </w:tcPr>
                <w:p w14:paraId="5729958C" w14:textId="77777777" w:rsidR="00C1528E" w:rsidRDefault="00C1528E" w:rsidP="002B55BD"/>
              </w:tc>
              <w:tc>
                <w:tcPr>
                  <w:tcW w:w="2160" w:type="dxa"/>
                  <w:tcBorders>
                    <w:top w:val="single" w:sz="4" w:space="0" w:color="auto"/>
                  </w:tcBorders>
                </w:tcPr>
                <w:p w14:paraId="715AFF10" w14:textId="77777777" w:rsidR="00C1528E" w:rsidRDefault="00C1528E" w:rsidP="002B55BD"/>
              </w:tc>
            </w:tr>
            <w:tr w:rsidR="00C1528E" w14:paraId="703D26C0" w14:textId="77777777" w:rsidTr="002B55BD">
              <w:trPr>
                <w:trHeight w:hRule="exact" w:val="622"/>
              </w:trPr>
              <w:tc>
                <w:tcPr>
                  <w:tcW w:w="540" w:type="dxa"/>
                </w:tcPr>
                <w:p w14:paraId="259351D4" w14:textId="77777777" w:rsidR="00C1528E" w:rsidRDefault="00C1528E" w:rsidP="002B55BD">
                  <w:r>
                    <w:t>E.</w:t>
                  </w:r>
                </w:p>
              </w:tc>
              <w:tc>
                <w:tcPr>
                  <w:tcW w:w="4500" w:type="dxa"/>
                  <w:vAlign w:val="center"/>
                </w:tcPr>
                <w:p w14:paraId="1FB6E951" w14:textId="77777777" w:rsidR="00C1528E" w:rsidRDefault="00C1528E" w:rsidP="002B55BD">
                  <w:r>
                    <w:t>How is household income documented for households being hooked up?</w:t>
                  </w:r>
                </w:p>
              </w:tc>
              <w:tc>
                <w:tcPr>
                  <w:tcW w:w="690" w:type="dxa"/>
                </w:tcPr>
                <w:p w14:paraId="47217DD9" w14:textId="77777777" w:rsidR="00C1528E" w:rsidRDefault="00C1528E" w:rsidP="002B55BD"/>
              </w:tc>
              <w:tc>
                <w:tcPr>
                  <w:tcW w:w="690" w:type="dxa"/>
                </w:tcPr>
                <w:p w14:paraId="6AE5DB3A" w14:textId="77777777" w:rsidR="00C1528E" w:rsidRDefault="00C1528E" w:rsidP="002B55BD"/>
              </w:tc>
              <w:tc>
                <w:tcPr>
                  <w:tcW w:w="690" w:type="dxa"/>
                </w:tcPr>
                <w:p w14:paraId="0F182168" w14:textId="77777777" w:rsidR="00C1528E" w:rsidRDefault="00C1528E" w:rsidP="002B55BD"/>
              </w:tc>
              <w:tc>
                <w:tcPr>
                  <w:tcW w:w="2160" w:type="dxa"/>
                </w:tcPr>
                <w:p w14:paraId="2BC64476" w14:textId="77777777" w:rsidR="00C1528E" w:rsidRDefault="00C1528E" w:rsidP="002B55BD"/>
              </w:tc>
            </w:tr>
            <w:tr w:rsidR="00C1528E" w14:paraId="32483310" w14:textId="77777777" w:rsidTr="002B55BD">
              <w:trPr>
                <w:trHeight w:hRule="exact" w:val="667"/>
              </w:trPr>
              <w:tc>
                <w:tcPr>
                  <w:tcW w:w="540" w:type="dxa"/>
                </w:tcPr>
                <w:p w14:paraId="75048351" w14:textId="77777777" w:rsidR="00C1528E" w:rsidRDefault="00C1528E" w:rsidP="002B55BD">
                  <w:r>
                    <w:t>F.</w:t>
                  </w:r>
                </w:p>
              </w:tc>
              <w:tc>
                <w:tcPr>
                  <w:tcW w:w="4500" w:type="dxa"/>
                  <w:vAlign w:val="center"/>
                </w:tcPr>
                <w:p w14:paraId="492EA619" w14:textId="77777777" w:rsidR="00C1528E" w:rsidRDefault="00C1528E" w:rsidP="002B55BD">
                  <w:r>
                    <w:t>Did a Licensed Plumber or a Certified Inspector approve the connections?</w:t>
                  </w:r>
                </w:p>
              </w:tc>
              <w:tc>
                <w:tcPr>
                  <w:tcW w:w="690" w:type="dxa"/>
                </w:tcPr>
                <w:p w14:paraId="1DA6E7AC" w14:textId="77777777" w:rsidR="00C1528E" w:rsidRDefault="00C1528E" w:rsidP="002B55BD"/>
              </w:tc>
              <w:tc>
                <w:tcPr>
                  <w:tcW w:w="690" w:type="dxa"/>
                </w:tcPr>
                <w:p w14:paraId="27127C1D" w14:textId="77777777" w:rsidR="00C1528E" w:rsidRDefault="00C1528E" w:rsidP="002B55BD"/>
              </w:tc>
              <w:tc>
                <w:tcPr>
                  <w:tcW w:w="690" w:type="dxa"/>
                </w:tcPr>
                <w:p w14:paraId="0B303B15" w14:textId="77777777" w:rsidR="00C1528E" w:rsidRDefault="00C1528E" w:rsidP="002B55BD"/>
              </w:tc>
              <w:tc>
                <w:tcPr>
                  <w:tcW w:w="2160" w:type="dxa"/>
                </w:tcPr>
                <w:p w14:paraId="5457403C" w14:textId="77777777" w:rsidR="00C1528E" w:rsidRDefault="00C1528E" w:rsidP="002B55BD"/>
              </w:tc>
            </w:tr>
          </w:tbl>
          <w:p w14:paraId="042AD6D7" w14:textId="77777777" w:rsidR="00C1528E" w:rsidRDefault="00C1528E" w:rsidP="002B55BD">
            <w:pPr>
              <w:rPr>
                <w:rFonts w:ascii="Times New Roman" w:eastAsia="Garamond" w:hAnsi="Times New Roman" w:cs="Times New Roman"/>
                <w:b/>
                <w:bCs/>
                <w:spacing w:val="-3"/>
                <w:position w:val="1"/>
                <w:sz w:val="24"/>
                <w:szCs w:val="24"/>
              </w:rPr>
            </w:pPr>
          </w:p>
        </w:tc>
      </w:tr>
    </w:tbl>
    <w:p w14:paraId="368618D3" w14:textId="1230984C" w:rsidR="00C1528E" w:rsidRDefault="00C1528E" w:rsidP="00965655">
      <w:pPr>
        <w:spacing w:line="240" w:lineRule="auto"/>
        <w:rPr>
          <w:rFonts w:ascii="Times New Roman" w:eastAsia="Garamond" w:hAnsi="Times New Roman" w:cs="Times New Roman"/>
          <w:b/>
          <w:bCs/>
          <w:spacing w:val="-3"/>
          <w:position w:val="1"/>
          <w:sz w:val="24"/>
          <w:szCs w:val="24"/>
        </w:rPr>
      </w:pPr>
    </w:p>
    <w:p w14:paraId="6D4F63FD" w14:textId="0F8F8F7A" w:rsidR="00965655" w:rsidRDefault="00965655" w:rsidP="00965655">
      <w:pPr>
        <w:spacing w:line="240" w:lineRule="auto"/>
        <w:rPr>
          <w:rFonts w:ascii="Times New Roman" w:eastAsia="Garamond" w:hAnsi="Times New Roman" w:cs="Times New Roman"/>
          <w:b/>
          <w:bCs/>
          <w:spacing w:val="-3"/>
          <w:position w:val="1"/>
          <w:sz w:val="24"/>
          <w:szCs w:val="24"/>
        </w:rPr>
      </w:pPr>
    </w:p>
    <w:p w14:paraId="117FE402" w14:textId="725AEC67" w:rsidR="00965655" w:rsidRDefault="00965655" w:rsidP="00965655">
      <w:pPr>
        <w:spacing w:line="240" w:lineRule="auto"/>
        <w:rPr>
          <w:rFonts w:ascii="Times New Roman" w:eastAsia="Garamond" w:hAnsi="Times New Roman" w:cs="Times New Roman"/>
          <w:b/>
          <w:bCs/>
          <w:spacing w:val="-3"/>
          <w:position w:val="1"/>
          <w:sz w:val="24"/>
          <w:szCs w:val="24"/>
        </w:rPr>
      </w:pPr>
    </w:p>
    <w:p w14:paraId="252C16CB" w14:textId="27732877" w:rsidR="00965655" w:rsidRDefault="00965655" w:rsidP="00965655">
      <w:pPr>
        <w:spacing w:line="240" w:lineRule="auto"/>
        <w:rPr>
          <w:rFonts w:ascii="Times New Roman" w:eastAsia="Garamond" w:hAnsi="Times New Roman" w:cs="Times New Roman"/>
          <w:b/>
          <w:bCs/>
          <w:spacing w:val="-3"/>
          <w:position w:val="1"/>
          <w:sz w:val="24"/>
          <w:szCs w:val="24"/>
        </w:rPr>
      </w:pPr>
    </w:p>
    <w:p w14:paraId="07E411FC" w14:textId="53929F3A" w:rsidR="00965655" w:rsidRDefault="00965655" w:rsidP="00965655">
      <w:pPr>
        <w:spacing w:line="240" w:lineRule="auto"/>
        <w:rPr>
          <w:rFonts w:ascii="Times New Roman" w:eastAsia="Garamond" w:hAnsi="Times New Roman" w:cs="Times New Roman"/>
          <w:b/>
          <w:bCs/>
          <w:spacing w:val="-3"/>
          <w:position w:val="1"/>
          <w:sz w:val="24"/>
          <w:szCs w:val="24"/>
        </w:rPr>
      </w:pPr>
    </w:p>
    <w:p w14:paraId="517332BD" w14:textId="77777777" w:rsidR="00C1528E" w:rsidRPr="00EE1588" w:rsidRDefault="00C1528E" w:rsidP="00C1528E">
      <w:pPr>
        <w:spacing w:line="240" w:lineRule="auto"/>
        <w:ind w:left="720" w:firstLine="720"/>
        <w:rPr>
          <w:rFonts w:ascii="Times New Roman" w:eastAsia="Garamond" w:hAnsi="Times New Roman" w:cs="Times New Roman"/>
          <w:b/>
          <w:bCs/>
          <w:spacing w:val="-3"/>
          <w:position w:val="1"/>
          <w:sz w:val="24"/>
          <w:szCs w:val="24"/>
        </w:rPr>
      </w:pPr>
      <w:r w:rsidRPr="00CD6F62">
        <w:rPr>
          <w:rFonts w:ascii="Times New Roman" w:eastAsia="Garamond" w:hAnsi="Times New Roman" w:cs="Times New Roman"/>
          <w:b/>
          <w:bCs/>
          <w:spacing w:val="-3"/>
          <w:position w:val="1"/>
          <w:sz w:val="24"/>
          <w:szCs w:val="24"/>
        </w:rPr>
        <w:lastRenderedPageBreak/>
        <w:t>Bidding and Contracting – Other Procurement Methods Monitoring</w:t>
      </w:r>
      <w:r>
        <w:rPr>
          <w:rFonts w:ascii="Times New Roman" w:eastAsia="Garamond" w:hAnsi="Times New Roman" w:cs="Times New Roman"/>
          <w:b/>
          <w:bCs/>
          <w:spacing w:val="-3"/>
          <w:position w:val="1"/>
          <w:sz w:val="24"/>
          <w:szCs w:val="24"/>
        </w:rPr>
        <w:t xml:space="preserve"> </w:t>
      </w:r>
      <w:r w:rsidRPr="00CD6F62">
        <w:rPr>
          <w:rFonts w:ascii="Times New Roman" w:eastAsia="Garamond" w:hAnsi="Times New Roman" w:cs="Times New Roman"/>
          <w:b/>
          <w:bCs/>
          <w:spacing w:val="-3"/>
          <w:position w:val="1"/>
          <w:sz w:val="24"/>
          <w:szCs w:val="24"/>
        </w:rPr>
        <w:t>Checklist</w:t>
      </w:r>
    </w:p>
    <w:tbl>
      <w:tblPr>
        <w:tblStyle w:val="TableGrid"/>
        <w:tblW w:w="0" w:type="auto"/>
        <w:tblLook w:val="04A0" w:firstRow="1" w:lastRow="0" w:firstColumn="1" w:lastColumn="0" w:noHBand="0" w:noVBand="1"/>
      </w:tblPr>
      <w:tblGrid>
        <w:gridCol w:w="9350"/>
      </w:tblGrid>
      <w:tr w:rsidR="00C1528E" w14:paraId="4A49C094" w14:textId="77777777" w:rsidTr="002B55BD">
        <w:tc>
          <w:tcPr>
            <w:tcW w:w="9350"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C1528E" w14:paraId="2E1B0425" w14:textId="77777777" w:rsidTr="002B55BD">
              <w:trPr>
                <w:trHeight w:hRule="exact" w:val="400"/>
              </w:trPr>
              <w:tc>
                <w:tcPr>
                  <w:tcW w:w="3330" w:type="dxa"/>
                  <w:tcBorders>
                    <w:top w:val="nil"/>
                    <w:left w:val="nil"/>
                    <w:bottom w:val="nil"/>
                    <w:right w:val="nil"/>
                  </w:tcBorders>
                  <w:vAlign w:val="bottom"/>
                </w:tcPr>
                <w:p w14:paraId="4B6E5F91" w14:textId="77777777" w:rsidR="00C1528E" w:rsidRDefault="00C1528E" w:rsidP="002B55BD">
                  <w:pPr>
                    <w:pStyle w:val="Footer"/>
                  </w:pPr>
                  <w:r>
                    <w:t>Grantee Name</w:t>
                  </w:r>
                </w:p>
              </w:tc>
              <w:tc>
                <w:tcPr>
                  <w:tcW w:w="3780" w:type="dxa"/>
                  <w:tcBorders>
                    <w:top w:val="nil"/>
                    <w:left w:val="nil"/>
                    <w:bottom w:val="single" w:sz="4" w:space="0" w:color="auto"/>
                    <w:right w:val="nil"/>
                  </w:tcBorders>
                </w:tcPr>
                <w:p w14:paraId="64550E86" w14:textId="77777777" w:rsidR="00C1528E" w:rsidRDefault="00C1528E" w:rsidP="002B55BD">
                  <w:pPr>
                    <w:pStyle w:val="Footer"/>
                  </w:pPr>
                </w:p>
              </w:tc>
            </w:tr>
            <w:tr w:rsidR="00C1528E" w14:paraId="3D5DA92F" w14:textId="77777777" w:rsidTr="002B55BD">
              <w:trPr>
                <w:trHeight w:hRule="exact" w:val="400"/>
              </w:trPr>
              <w:tc>
                <w:tcPr>
                  <w:tcW w:w="3330" w:type="dxa"/>
                  <w:tcBorders>
                    <w:top w:val="nil"/>
                    <w:left w:val="nil"/>
                    <w:bottom w:val="nil"/>
                    <w:right w:val="nil"/>
                  </w:tcBorders>
                  <w:vAlign w:val="bottom"/>
                </w:tcPr>
                <w:p w14:paraId="5D7AD4A2" w14:textId="77777777" w:rsidR="00C1528E" w:rsidRDefault="00C1528E" w:rsidP="002B55BD">
                  <w:r>
                    <w:t>Project No.</w:t>
                  </w:r>
                </w:p>
              </w:tc>
              <w:tc>
                <w:tcPr>
                  <w:tcW w:w="3780" w:type="dxa"/>
                  <w:tcBorders>
                    <w:top w:val="nil"/>
                    <w:left w:val="nil"/>
                    <w:bottom w:val="single" w:sz="4" w:space="0" w:color="auto"/>
                    <w:right w:val="nil"/>
                  </w:tcBorders>
                </w:tcPr>
                <w:p w14:paraId="4C3C38D9" w14:textId="77777777" w:rsidR="00C1528E" w:rsidRDefault="00C1528E" w:rsidP="002B55BD"/>
              </w:tc>
            </w:tr>
            <w:tr w:rsidR="00C1528E" w14:paraId="0DD3C877" w14:textId="77777777" w:rsidTr="002B55BD">
              <w:trPr>
                <w:trHeight w:hRule="exact" w:val="400"/>
              </w:trPr>
              <w:tc>
                <w:tcPr>
                  <w:tcW w:w="3330" w:type="dxa"/>
                  <w:tcBorders>
                    <w:top w:val="nil"/>
                    <w:left w:val="nil"/>
                    <w:bottom w:val="nil"/>
                    <w:right w:val="nil"/>
                  </w:tcBorders>
                  <w:vAlign w:val="bottom"/>
                </w:tcPr>
                <w:p w14:paraId="4D304D6F" w14:textId="77777777" w:rsidR="00C1528E" w:rsidRDefault="00C1528E" w:rsidP="002B55BD">
                  <w:r>
                    <w:t>Preparer</w:t>
                  </w:r>
                </w:p>
              </w:tc>
              <w:tc>
                <w:tcPr>
                  <w:tcW w:w="3780" w:type="dxa"/>
                  <w:tcBorders>
                    <w:top w:val="nil"/>
                    <w:left w:val="nil"/>
                    <w:bottom w:val="nil"/>
                    <w:right w:val="nil"/>
                  </w:tcBorders>
                </w:tcPr>
                <w:p w14:paraId="5117819A" w14:textId="77777777" w:rsidR="00C1528E" w:rsidRDefault="00C1528E" w:rsidP="002B55BD"/>
              </w:tc>
            </w:tr>
            <w:tr w:rsidR="00C1528E" w14:paraId="3B2A833E" w14:textId="77777777" w:rsidTr="002B55BD">
              <w:trPr>
                <w:trHeight w:hRule="exact" w:val="400"/>
              </w:trPr>
              <w:tc>
                <w:tcPr>
                  <w:tcW w:w="3330" w:type="dxa"/>
                  <w:tcBorders>
                    <w:top w:val="nil"/>
                    <w:left w:val="nil"/>
                    <w:bottom w:val="nil"/>
                    <w:right w:val="nil"/>
                  </w:tcBorders>
                  <w:vAlign w:val="bottom"/>
                </w:tcPr>
                <w:p w14:paraId="10BE36B4" w14:textId="77777777" w:rsidR="00C1528E" w:rsidRDefault="00C1528E" w:rsidP="002B55BD">
                  <w:r>
                    <w:t>Date Prepared</w:t>
                  </w:r>
                </w:p>
              </w:tc>
              <w:tc>
                <w:tcPr>
                  <w:tcW w:w="3780" w:type="dxa"/>
                  <w:tcBorders>
                    <w:top w:val="single" w:sz="4" w:space="0" w:color="auto"/>
                    <w:left w:val="nil"/>
                    <w:bottom w:val="single" w:sz="4" w:space="0" w:color="auto"/>
                    <w:right w:val="nil"/>
                  </w:tcBorders>
                </w:tcPr>
                <w:p w14:paraId="6C455714" w14:textId="77777777" w:rsidR="00C1528E" w:rsidRDefault="00C1528E" w:rsidP="002B55BD"/>
              </w:tc>
            </w:tr>
            <w:tr w:rsidR="00C1528E" w14:paraId="27754AFB" w14:textId="77777777" w:rsidTr="002B55BD">
              <w:trPr>
                <w:trHeight w:hRule="exact" w:val="400"/>
              </w:trPr>
              <w:tc>
                <w:tcPr>
                  <w:tcW w:w="3330" w:type="dxa"/>
                  <w:tcBorders>
                    <w:top w:val="nil"/>
                    <w:left w:val="nil"/>
                    <w:bottom w:val="nil"/>
                    <w:right w:val="nil"/>
                  </w:tcBorders>
                  <w:vAlign w:val="bottom"/>
                </w:tcPr>
                <w:p w14:paraId="68F9A76E" w14:textId="77777777" w:rsidR="00C1528E" w:rsidRDefault="00C1528E" w:rsidP="002B55BD">
                  <w:r>
                    <w:t>Follow-up Review Indicated</w:t>
                  </w:r>
                </w:p>
              </w:tc>
              <w:tc>
                <w:tcPr>
                  <w:tcW w:w="3780" w:type="dxa"/>
                  <w:tcBorders>
                    <w:top w:val="nil"/>
                    <w:left w:val="nil"/>
                    <w:bottom w:val="single" w:sz="4" w:space="0" w:color="auto"/>
                    <w:right w:val="nil"/>
                  </w:tcBorders>
                </w:tcPr>
                <w:p w14:paraId="4C9912DB" w14:textId="77777777" w:rsidR="00C1528E" w:rsidRDefault="00C1528E" w:rsidP="002B55BD"/>
              </w:tc>
            </w:tr>
          </w:tbl>
          <w:p w14:paraId="59CA367B" w14:textId="77777777" w:rsidR="00C1528E" w:rsidRDefault="00C1528E" w:rsidP="002B55BD">
            <w:pPr>
              <w:pStyle w:val="Footer"/>
            </w:pPr>
          </w:p>
          <w:p w14:paraId="3D98E879" w14:textId="77777777" w:rsidR="00C1528E" w:rsidRPr="00CF6F47" w:rsidRDefault="00C1528E" w:rsidP="002B55BD">
            <w:pPr>
              <w:pStyle w:val="Heading1"/>
              <w:outlineLvl w:val="0"/>
              <w:rPr>
                <w:rFonts w:ascii="Arial" w:hAnsi="Arial" w:cs="Arial"/>
                <w:b w:val="0"/>
                <w:bCs w:val="0"/>
                <w:sz w:val="24"/>
                <w:szCs w:val="24"/>
              </w:rPr>
            </w:pPr>
            <w:r w:rsidRPr="00CF6F47">
              <w:rPr>
                <w:rFonts w:ascii="Arial" w:hAnsi="Arial" w:cs="Arial"/>
                <w:b w:val="0"/>
                <w:bCs w:val="0"/>
                <w:sz w:val="24"/>
                <w:szCs w:val="24"/>
              </w:rPr>
              <w:t>Bidding and Contracting - Other Procurement Methods</w:t>
            </w:r>
          </w:p>
          <w:p w14:paraId="2E1B30FE" w14:textId="77777777" w:rsidR="00C1528E" w:rsidRDefault="00C1528E" w:rsidP="00C1528E">
            <w:pPr>
              <w:pStyle w:val="Footer"/>
              <w:numPr>
                <w:ilvl w:val="0"/>
                <w:numId w:val="13"/>
              </w:numPr>
              <w:tabs>
                <w:tab w:val="clear" w:pos="4680"/>
                <w:tab w:val="clear" w:pos="9360"/>
              </w:tabs>
              <w:rPr>
                <w:b/>
              </w:rPr>
            </w:pPr>
            <w:r>
              <w:rPr>
                <w:b/>
              </w:rPr>
              <w:t>Small Purchase Procedures</w:t>
            </w:r>
          </w:p>
          <w:p w14:paraId="64333B3D" w14:textId="77777777" w:rsidR="00C1528E" w:rsidRDefault="00C1528E" w:rsidP="002B55BD">
            <w:pPr>
              <w:pStyle w:val="Footer"/>
              <w:ind w:left="360"/>
              <w:rPr>
                <w:b/>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0"/>
              <w:gridCol w:w="690"/>
              <w:gridCol w:w="690"/>
              <w:gridCol w:w="690"/>
              <w:gridCol w:w="2160"/>
            </w:tblGrid>
            <w:tr w:rsidR="00C1528E" w14:paraId="5140F848" w14:textId="77777777" w:rsidTr="002B55BD">
              <w:trPr>
                <w:trHeight w:val="383"/>
              </w:trPr>
              <w:tc>
                <w:tcPr>
                  <w:tcW w:w="540" w:type="dxa"/>
                  <w:tcBorders>
                    <w:top w:val="nil"/>
                    <w:left w:val="nil"/>
                    <w:bottom w:val="nil"/>
                    <w:right w:val="nil"/>
                  </w:tcBorders>
                </w:tcPr>
                <w:p w14:paraId="1C74917E" w14:textId="77777777" w:rsidR="00C1528E" w:rsidRDefault="00C1528E" w:rsidP="002B55BD">
                  <w:pPr>
                    <w:jc w:val="center"/>
                  </w:pPr>
                </w:p>
              </w:tc>
              <w:tc>
                <w:tcPr>
                  <w:tcW w:w="4500" w:type="dxa"/>
                  <w:tcBorders>
                    <w:top w:val="nil"/>
                    <w:left w:val="nil"/>
                    <w:bottom w:val="nil"/>
                    <w:right w:val="nil"/>
                  </w:tcBorders>
                </w:tcPr>
                <w:p w14:paraId="3EFE4BB1" w14:textId="77777777" w:rsidR="00C1528E" w:rsidRDefault="00C1528E" w:rsidP="002B55BD"/>
              </w:tc>
              <w:tc>
                <w:tcPr>
                  <w:tcW w:w="690" w:type="dxa"/>
                  <w:tcBorders>
                    <w:top w:val="nil"/>
                    <w:left w:val="nil"/>
                    <w:bottom w:val="nil"/>
                    <w:right w:val="nil"/>
                  </w:tcBorders>
                </w:tcPr>
                <w:p w14:paraId="3CAA92A1" w14:textId="77777777" w:rsidR="00C1528E" w:rsidRDefault="00C1528E" w:rsidP="002B55BD">
                  <w:pPr>
                    <w:jc w:val="center"/>
                  </w:pPr>
                  <w:r>
                    <w:t>Yes</w:t>
                  </w:r>
                </w:p>
              </w:tc>
              <w:tc>
                <w:tcPr>
                  <w:tcW w:w="690" w:type="dxa"/>
                  <w:tcBorders>
                    <w:top w:val="nil"/>
                    <w:left w:val="nil"/>
                    <w:bottom w:val="nil"/>
                    <w:right w:val="nil"/>
                  </w:tcBorders>
                </w:tcPr>
                <w:p w14:paraId="76C7EF58" w14:textId="77777777" w:rsidR="00C1528E" w:rsidRDefault="00C1528E" w:rsidP="002B55BD">
                  <w:pPr>
                    <w:jc w:val="center"/>
                  </w:pPr>
                  <w:r>
                    <w:t>No</w:t>
                  </w:r>
                </w:p>
              </w:tc>
              <w:tc>
                <w:tcPr>
                  <w:tcW w:w="690" w:type="dxa"/>
                  <w:tcBorders>
                    <w:top w:val="nil"/>
                    <w:left w:val="nil"/>
                    <w:bottom w:val="nil"/>
                    <w:right w:val="nil"/>
                  </w:tcBorders>
                </w:tcPr>
                <w:p w14:paraId="6F360065" w14:textId="77777777" w:rsidR="00C1528E" w:rsidRDefault="00C1528E" w:rsidP="002B55BD">
                  <w:pPr>
                    <w:jc w:val="center"/>
                  </w:pPr>
                  <w:r>
                    <w:t>N/A</w:t>
                  </w:r>
                </w:p>
              </w:tc>
              <w:tc>
                <w:tcPr>
                  <w:tcW w:w="2160" w:type="dxa"/>
                  <w:tcBorders>
                    <w:top w:val="nil"/>
                    <w:left w:val="nil"/>
                    <w:bottom w:val="nil"/>
                    <w:right w:val="nil"/>
                  </w:tcBorders>
                </w:tcPr>
                <w:p w14:paraId="05BA2598" w14:textId="77777777" w:rsidR="00C1528E" w:rsidRDefault="00C1528E" w:rsidP="002B55BD">
                  <w:pPr>
                    <w:jc w:val="center"/>
                  </w:pPr>
                  <w:r>
                    <w:t>Notes</w:t>
                  </w:r>
                </w:p>
              </w:tc>
            </w:tr>
            <w:tr w:rsidR="00C1528E" w14:paraId="2A4EABD5" w14:textId="77777777" w:rsidTr="002B55BD">
              <w:trPr>
                <w:trHeight w:hRule="exact" w:val="870"/>
              </w:trPr>
              <w:tc>
                <w:tcPr>
                  <w:tcW w:w="540" w:type="dxa"/>
                </w:tcPr>
                <w:p w14:paraId="4481C79C" w14:textId="77777777" w:rsidR="00C1528E" w:rsidRDefault="00C1528E" w:rsidP="002B55BD">
                  <w:pPr>
                    <w:pStyle w:val="Footer"/>
                  </w:pPr>
                  <w:r>
                    <w:t>A.</w:t>
                  </w:r>
                </w:p>
              </w:tc>
              <w:tc>
                <w:tcPr>
                  <w:tcW w:w="4500" w:type="dxa"/>
                  <w:vAlign w:val="center"/>
                </w:tcPr>
                <w:p w14:paraId="41D38343" w14:textId="77777777" w:rsidR="00C1528E" w:rsidRDefault="00C1528E" w:rsidP="002B55BD">
                  <w:r>
                    <w:t>Did grantee use procurement by small purchase procedures?</w:t>
                  </w:r>
                </w:p>
              </w:tc>
              <w:tc>
                <w:tcPr>
                  <w:tcW w:w="690" w:type="dxa"/>
                </w:tcPr>
                <w:p w14:paraId="6A5F8824" w14:textId="77777777" w:rsidR="00C1528E" w:rsidRDefault="00C1528E" w:rsidP="002B55BD"/>
              </w:tc>
              <w:tc>
                <w:tcPr>
                  <w:tcW w:w="690" w:type="dxa"/>
                </w:tcPr>
                <w:p w14:paraId="6DF6AF02" w14:textId="77777777" w:rsidR="00C1528E" w:rsidRDefault="00C1528E" w:rsidP="002B55BD"/>
              </w:tc>
              <w:tc>
                <w:tcPr>
                  <w:tcW w:w="690" w:type="dxa"/>
                </w:tcPr>
                <w:p w14:paraId="2BA4C914" w14:textId="77777777" w:rsidR="00C1528E" w:rsidRDefault="00C1528E" w:rsidP="002B55BD"/>
              </w:tc>
              <w:tc>
                <w:tcPr>
                  <w:tcW w:w="2160" w:type="dxa"/>
                  <w:tcBorders>
                    <w:bottom w:val="single" w:sz="4" w:space="0" w:color="auto"/>
                  </w:tcBorders>
                </w:tcPr>
                <w:p w14:paraId="6BC2C6BA" w14:textId="77777777" w:rsidR="00C1528E" w:rsidRDefault="00C1528E" w:rsidP="002B55BD"/>
              </w:tc>
            </w:tr>
            <w:tr w:rsidR="00C1528E" w14:paraId="639FFB11" w14:textId="77777777" w:rsidTr="002B55BD">
              <w:trPr>
                <w:trHeight w:hRule="exact" w:val="1527"/>
              </w:trPr>
              <w:tc>
                <w:tcPr>
                  <w:tcW w:w="540" w:type="dxa"/>
                </w:tcPr>
                <w:p w14:paraId="2722D156" w14:textId="77777777" w:rsidR="00C1528E" w:rsidRDefault="00C1528E" w:rsidP="002B55BD">
                  <w:pPr>
                    <w:jc w:val="center"/>
                  </w:pPr>
                </w:p>
              </w:tc>
              <w:tc>
                <w:tcPr>
                  <w:tcW w:w="4500" w:type="dxa"/>
                  <w:vAlign w:val="center"/>
                </w:tcPr>
                <w:p w14:paraId="7DC5AA9A" w14:textId="77777777" w:rsidR="00C1528E" w:rsidRDefault="00C1528E" w:rsidP="00C1528E">
                  <w:pPr>
                    <w:numPr>
                      <w:ilvl w:val="0"/>
                      <w:numId w:val="6"/>
                    </w:numPr>
                    <w:spacing w:after="0" w:line="240" w:lineRule="auto"/>
                  </w:pPr>
                  <w:r>
                    <w:t xml:space="preserve">Was the purchase amount $15,000 or less for purchases covered by the Alabama Bid Law, or $50,000 or less for purchases covered by the Alabama Public Works Law? </w:t>
                  </w:r>
                </w:p>
              </w:tc>
              <w:tc>
                <w:tcPr>
                  <w:tcW w:w="690" w:type="dxa"/>
                </w:tcPr>
                <w:p w14:paraId="232ED866" w14:textId="77777777" w:rsidR="00C1528E" w:rsidRDefault="00C1528E" w:rsidP="002B55BD"/>
              </w:tc>
              <w:tc>
                <w:tcPr>
                  <w:tcW w:w="690" w:type="dxa"/>
                </w:tcPr>
                <w:p w14:paraId="57307DAC" w14:textId="77777777" w:rsidR="00C1528E" w:rsidRDefault="00C1528E" w:rsidP="002B55BD"/>
              </w:tc>
              <w:tc>
                <w:tcPr>
                  <w:tcW w:w="690" w:type="dxa"/>
                </w:tcPr>
                <w:p w14:paraId="7A52074C" w14:textId="77777777" w:rsidR="00C1528E" w:rsidRDefault="00C1528E" w:rsidP="002B55BD"/>
              </w:tc>
              <w:tc>
                <w:tcPr>
                  <w:tcW w:w="2160" w:type="dxa"/>
                  <w:tcBorders>
                    <w:top w:val="nil"/>
                  </w:tcBorders>
                </w:tcPr>
                <w:p w14:paraId="37EEEA51" w14:textId="77777777" w:rsidR="00C1528E" w:rsidRDefault="00C1528E" w:rsidP="002B55BD"/>
              </w:tc>
            </w:tr>
            <w:tr w:rsidR="00C1528E" w14:paraId="0068464B" w14:textId="77777777" w:rsidTr="002B55BD">
              <w:trPr>
                <w:trHeight w:hRule="exact" w:val="897"/>
              </w:trPr>
              <w:tc>
                <w:tcPr>
                  <w:tcW w:w="540" w:type="dxa"/>
                </w:tcPr>
                <w:p w14:paraId="0B6FAC9F" w14:textId="77777777" w:rsidR="00C1528E" w:rsidRDefault="00C1528E" w:rsidP="002B55BD">
                  <w:pPr>
                    <w:jc w:val="center"/>
                  </w:pPr>
                </w:p>
              </w:tc>
              <w:tc>
                <w:tcPr>
                  <w:tcW w:w="4500" w:type="dxa"/>
                  <w:vAlign w:val="center"/>
                </w:tcPr>
                <w:p w14:paraId="563E0363" w14:textId="77777777" w:rsidR="00C1528E" w:rsidRDefault="00C1528E" w:rsidP="00C1528E">
                  <w:pPr>
                    <w:numPr>
                      <w:ilvl w:val="0"/>
                      <w:numId w:val="6"/>
                    </w:numPr>
                    <w:spacing w:after="0" w:line="240" w:lineRule="auto"/>
                  </w:pPr>
                  <w:r>
                    <w:t>Did the grantee follow their written procurement procedures?</w:t>
                  </w:r>
                </w:p>
              </w:tc>
              <w:tc>
                <w:tcPr>
                  <w:tcW w:w="690" w:type="dxa"/>
                </w:tcPr>
                <w:p w14:paraId="2414CC93" w14:textId="77777777" w:rsidR="00C1528E" w:rsidRDefault="00C1528E" w:rsidP="002B55BD"/>
              </w:tc>
              <w:tc>
                <w:tcPr>
                  <w:tcW w:w="690" w:type="dxa"/>
                </w:tcPr>
                <w:p w14:paraId="4CF8F48D" w14:textId="77777777" w:rsidR="00C1528E" w:rsidRDefault="00C1528E" w:rsidP="002B55BD"/>
              </w:tc>
              <w:tc>
                <w:tcPr>
                  <w:tcW w:w="690" w:type="dxa"/>
                </w:tcPr>
                <w:p w14:paraId="05CA9433" w14:textId="77777777" w:rsidR="00C1528E" w:rsidRDefault="00C1528E" w:rsidP="002B55BD"/>
              </w:tc>
              <w:tc>
                <w:tcPr>
                  <w:tcW w:w="2160" w:type="dxa"/>
                  <w:tcBorders>
                    <w:top w:val="nil"/>
                  </w:tcBorders>
                </w:tcPr>
                <w:p w14:paraId="47A42D3D" w14:textId="77777777" w:rsidR="00C1528E" w:rsidRDefault="00C1528E" w:rsidP="002B55BD"/>
              </w:tc>
            </w:tr>
            <w:tr w:rsidR="00C1528E" w14:paraId="2B523567" w14:textId="77777777" w:rsidTr="002B55BD">
              <w:trPr>
                <w:trHeight w:hRule="exact" w:val="1077"/>
              </w:trPr>
              <w:tc>
                <w:tcPr>
                  <w:tcW w:w="540" w:type="dxa"/>
                </w:tcPr>
                <w:p w14:paraId="3B5D6983" w14:textId="77777777" w:rsidR="00C1528E" w:rsidRDefault="00C1528E" w:rsidP="002B55BD">
                  <w:pPr>
                    <w:jc w:val="center"/>
                  </w:pPr>
                </w:p>
              </w:tc>
              <w:tc>
                <w:tcPr>
                  <w:tcW w:w="4500" w:type="dxa"/>
                  <w:vAlign w:val="center"/>
                </w:tcPr>
                <w:p w14:paraId="09A59E43" w14:textId="77777777" w:rsidR="00C1528E" w:rsidRDefault="00C1528E" w:rsidP="00C1528E">
                  <w:pPr>
                    <w:numPr>
                      <w:ilvl w:val="0"/>
                      <w:numId w:val="6"/>
                    </w:numPr>
                    <w:spacing w:after="0" w:line="240" w:lineRule="auto"/>
                  </w:pPr>
                  <w:r>
                    <w:t>Were price or rate quotations obtained from an adequate number of qualified sources?</w:t>
                  </w:r>
                </w:p>
              </w:tc>
              <w:tc>
                <w:tcPr>
                  <w:tcW w:w="690" w:type="dxa"/>
                </w:tcPr>
                <w:p w14:paraId="31B51FC5" w14:textId="77777777" w:rsidR="00C1528E" w:rsidRDefault="00C1528E" w:rsidP="002B55BD"/>
              </w:tc>
              <w:tc>
                <w:tcPr>
                  <w:tcW w:w="690" w:type="dxa"/>
                </w:tcPr>
                <w:p w14:paraId="0C90A196" w14:textId="77777777" w:rsidR="00C1528E" w:rsidRDefault="00C1528E" w:rsidP="002B55BD"/>
              </w:tc>
              <w:tc>
                <w:tcPr>
                  <w:tcW w:w="690" w:type="dxa"/>
                </w:tcPr>
                <w:p w14:paraId="2393A2E1" w14:textId="77777777" w:rsidR="00C1528E" w:rsidRDefault="00C1528E" w:rsidP="002B55BD"/>
              </w:tc>
              <w:tc>
                <w:tcPr>
                  <w:tcW w:w="2160" w:type="dxa"/>
                  <w:tcBorders>
                    <w:top w:val="nil"/>
                  </w:tcBorders>
                </w:tcPr>
                <w:p w14:paraId="71DC4BBB" w14:textId="77777777" w:rsidR="00C1528E" w:rsidRDefault="00C1528E" w:rsidP="002B55BD"/>
              </w:tc>
            </w:tr>
            <w:tr w:rsidR="00C1528E" w14:paraId="5FBE8C94" w14:textId="77777777" w:rsidTr="002B55BD">
              <w:trPr>
                <w:trHeight w:hRule="exact" w:val="672"/>
              </w:trPr>
              <w:tc>
                <w:tcPr>
                  <w:tcW w:w="540" w:type="dxa"/>
                </w:tcPr>
                <w:p w14:paraId="0BD77CA0" w14:textId="77777777" w:rsidR="00C1528E" w:rsidRDefault="00C1528E" w:rsidP="002B55BD">
                  <w:pPr>
                    <w:jc w:val="right"/>
                  </w:pPr>
                </w:p>
              </w:tc>
              <w:tc>
                <w:tcPr>
                  <w:tcW w:w="4500" w:type="dxa"/>
                  <w:vAlign w:val="center"/>
                </w:tcPr>
                <w:p w14:paraId="64D4AF2F" w14:textId="77777777" w:rsidR="00C1528E" w:rsidRDefault="00C1528E" w:rsidP="00C1528E">
                  <w:pPr>
                    <w:pStyle w:val="Footer"/>
                    <w:numPr>
                      <w:ilvl w:val="0"/>
                      <w:numId w:val="14"/>
                    </w:numPr>
                    <w:tabs>
                      <w:tab w:val="clear" w:pos="4680"/>
                      <w:tab w:val="clear" w:pos="9360"/>
                    </w:tabs>
                  </w:pPr>
                  <w:r>
                    <w:t>List sources.</w:t>
                  </w:r>
                </w:p>
              </w:tc>
              <w:tc>
                <w:tcPr>
                  <w:tcW w:w="690" w:type="dxa"/>
                </w:tcPr>
                <w:p w14:paraId="4E518C98" w14:textId="77777777" w:rsidR="00C1528E" w:rsidRDefault="00C1528E" w:rsidP="002B55BD"/>
              </w:tc>
              <w:tc>
                <w:tcPr>
                  <w:tcW w:w="690" w:type="dxa"/>
                </w:tcPr>
                <w:p w14:paraId="298B79FD" w14:textId="77777777" w:rsidR="00C1528E" w:rsidRDefault="00C1528E" w:rsidP="002B55BD"/>
              </w:tc>
              <w:tc>
                <w:tcPr>
                  <w:tcW w:w="690" w:type="dxa"/>
                </w:tcPr>
                <w:p w14:paraId="66D39F6C" w14:textId="77777777" w:rsidR="00C1528E" w:rsidRDefault="00C1528E" w:rsidP="002B55BD"/>
              </w:tc>
              <w:tc>
                <w:tcPr>
                  <w:tcW w:w="2160" w:type="dxa"/>
                </w:tcPr>
                <w:p w14:paraId="5F97DB22" w14:textId="77777777" w:rsidR="00C1528E" w:rsidRDefault="00C1528E" w:rsidP="002B55BD"/>
              </w:tc>
            </w:tr>
            <w:tr w:rsidR="00C1528E" w14:paraId="013D91BE" w14:textId="77777777" w:rsidTr="002B55BD">
              <w:trPr>
                <w:trHeight w:hRule="exact" w:val="357"/>
              </w:trPr>
              <w:tc>
                <w:tcPr>
                  <w:tcW w:w="540" w:type="dxa"/>
                </w:tcPr>
                <w:p w14:paraId="2C23F2D1" w14:textId="77777777" w:rsidR="00C1528E" w:rsidRDefault="00C1528E" w:rsidP="002B55BD">
                  <w:pPr>
                    <w:jc w:val="right"/>
                  </w:pPr>
                </w:p>
              </w:tc>
              <w:tc>
                <w:tcPr>
                  <w:tcW w:w="4500" w:type="dxa"/>
                  <w:vAlign w:val="center"/>
                </w:tcPr>
                <w:p w14:paraId="7A2708B9" w14:textId="77777777" w:rsidR="00C1528E" w:rsidRDefault="00C1528E" w:rsidP="00C1528E">
                  <w:pPr>
                    <w:numPr>
                      <w:ilvl w:val="0"/>
                      <w:numId w:val="6"/>
                    </w:numPr>
                    <w:spacing w:after="0" w:line="240" w:lineRule="auto"/>
                  </w:pPr>
                  <w:r>
                    <w:t>Was the low bidder selected?</w:t>
                  </w:r>
                </w:p>
              </w:tc>
              <w:tc>
                <w:tcPr>
                  <w:tcW w:w="690" w:type="dxa"/>
                </w:tcPr>
                <w:p w14:paraId="4686A861" w14:textId="77777777" w:rsidR="00C1528E" w:rsidRDefault="00C1528E" w:rsidP="002B55BD"/>
              </w:tc>
              <w:tc>
                <w:tcPr>
                  <w:tcW w:w="690" w:type="dxa"/>
                </w:tcPr>
                <w:p w14:paraId="36F65ECA" w14:textId="77777777" w:rsidR="00C1528E" w:rsidRDefault="00C1528E" w:rsidP="002B55BD"/>
              </w:tc>
              <w:tc>
                <w:tcPr>
                  <w:tcW w:w="690" w:type="dxa"/>
                </w:tcPr>
                <w:p w14:paraId="249F4526" w14:textId="77777777" w:rsidR="00C1528E" w:rsidRDefault="00C1528E" w:rsidP="002B55BD"/>
              </w:tc>
              <w:tc>
                <w:tcPr>
                  <w:tcW w:w="2160" w:type="dxa"/>
                </w:tcPr>
                <w:p w14:paraId="0D2C8D83" w14:textId="77777777" w:rsidR="00C1528E" w:rsidRDefault="00C1528E" w:rsidP="002B55BD"/>
              </w:tc>
            </w:tr>
            <w:tr w:rsidR="00C1528E" w14:paraId="42E8851E" w14:textId="77777777" w:rsidTr="002B55BD">
              <w:trPr>
                <w:trHeight w:hRule="exact" w:val="717"/>
              </w:trPr>
              <w:tc>
                <w:tcPr>
                  <w:tcW w:w="540" w:type="dxa"/>
                </w:tcPr>
                <w:p w14:paraId="320CCD83" w14:textId="77777777" w:rsidR="00C1528E" w:rsidRDefault="00C1528E" w:rsidP="002B55BD">
                  <w:pPr>
                    <w:jc w:val="right"/>
                  </w:pPr>
                </w:p>
              </w:tc>
              <w:tc>
                <w:tcPr>
                  <w:tcW w:w="4500" w:type="dxa"/>
                  <w:vAlign w:val="center"/>
                </w:tcPr>
                <w:p w14:paraId="3034E9DE" w14:textId="77777777" w:rsidR="00C1528E" w:rsidRDefault="00C1528E" w:rsidP="00C1528E">
                  <w:pPr>
                    <w:numPr>
                      <w:ilvl w:val="0"/>
                      <w:numId w:val="6"/>
                    </w:numPr>
                    <w:spacing w:after="0" w:line="240" w:lineRule="auto"/>
                  </w:pPr>
                  <w:r>
                    <w:t>Was a purchase order issued?  If no, please see part III below.</w:t>
                  </w:r>
                </w:p>
              </w:tc>
              <w:tc>
                <w:tcPr>
                  <w:tcW w:w="690" w:type="dxa"/>
                </w:tcPr>
                <w:p w14:paraId="78FCAF5E" w14:textId="77777777" w:rsidR="00C1528E" w:rsidRDefault="00C1528E" w:rsidP="002B55BD"/>
              </w:tc>
              <w:tc>
                <w:tcPr>
                  <w:tcW w:w="690" w:type="dxa"/>
                </w:tcPr>
                <w:p w14:paraId="10E096CF" w14:textId="77777777" w:rsidR="00C1528E" w:rsidRDefault="00C1528E" w:rsidP="002B55BD"/>
              </w:tc>
              <w:tc>
                <w:tcPr>
                  <w:tcW w:w="690" w:type="dxa"/>
                </w:tcPr>
                <w:p w14:paraId="1306436A" w14:textId="77777777" w:rsidR="00C1528E" w:rsidRDefault="00C1528E" w:rsidP="002B55BD"/>
              </w:tc>
              <w:tc>
                <w:tcPr>
                  <w:tcW w:w="2160" w:type="dxa"/>
                </w:tcPr>
                <w:p w14:paraId="72550688" w14:textId="77777777" w:rsidR="00C1528E" w:rsidRDefault="00C1528E" w:rsidP="002B55BD"/>
              </w:tc>
            </w:tr>
          </w:tbl>
          <w:p w14:paraId="6D47B786" w14:textId="77777777" w:rsidR="00C1528E" w:rsidRPr="00955D5A" w:rsidRDefault="00C1528E" w:rsidP="002B55BD">
            <w:pPr>
              <w:pStyle w:val="Footer"/>
              <w:ind w:left="360"/>
              <w:rPr>
                <w:b/>
              </w:rPr>
            </w:pPr>
          </w:p>
          <w:p w14:paraId="73587189" w14:textId="77777777" w:rsidR="00C1528E" w:rsidRDefault="00C1528E" w:rsidP="00C1528E">
            <w:pPr>
              <w:pStyle w:val="Footer"/>
              <w:numPr>
                <w:ilvl w:val="0"/>
                <w:numId w:val="13"/>
              </w:numPr>
              <w:tabs>
                <w:tab w:val="clear" w:pos="4680"/>
                <w:tab w:val="clear" w:pos="9360"/>
              </w:tabs>
              <w:rPr>
                <w:b/>
              </w:rPr>
            </w:pPr>
            <w:r w:rsidRPr="00955D5A">
              <w:rPr>
                <w:b/>
              </w:rPr>
              <w:t>Sole Source Procurement and/or Emergency Procurement</w:t>
            </w:r>
          </w:p>
          <w:p w14:paraId="2308774D" w14:textId="77777777" w:rsidR="00C1528E" w:rsidRPr="00955D5A" w:rsidRDefault="00C1528E" w:rsidP="002B55BD">
            <w:pPr>
              <w:pStyle w:val="Footer"/>
              <w:ind w:left="360"/>
              <w:rPr>
                <w:b/>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0"/>
              <w:gridCol w:w="690"/>
              <w:gridCol w:w="690"/>
              <w:gridCol w:w="690"/>
              <w:gridCol w:w="2160"/>
            </w:tblGrid>
            <w:tr w:rsidR="00C1528E" w14:paraId="1F64F7BD" w14:textId="77777777" w:rsidTr="002B55BD">
              <w:trPr>
                <w:trHeight w:hRule="exact" w:val="870"/>
              </w:trPr>
              <w:tc>
                <w:tcPr>
                  <w:tcW w:w="540" w:type="dxa"/>
                </w:tcPr>
                <w:p w14:paraId="16D5996B" w14:textId="77777777" w:rsidR="00C1528E" w:rsidRDefault="00C1528E" w:rsidP="002B55BD">
                  <w:pPr>
                    <w:pStyle w:val="Footer"/>
                  </w:pPr>
                  <w:r>
                    <w:t>B.</w:t>
                  </w:r>
                </w:p>
              </w:tc>
              <w:tc>
                <w:tcPr>
                  <w:tcW w:w="4500" w:type="dxa"/>
                  <w:vAlign w:val="center"/>
                </w:tcPr>
                <w:p w14:paraId="1B6B6C8C" w14:textId="77777777" w:rsidR="00C1528E" w:rsidRDefault="00C1528E" w:rsidP="002B55BD">
                  <w:r>
                    <w:t>Did grantee use procurement by noncompetitive proposals (sole source)</w:t>
                  </w:r>
                </w:p>
              </w:tc>
              <w:tc>
                <w:tcPr>
                  <w:tcW w:w="690" w:type="dxa"/>
                </w:tcPr>
                <w:p w14:paraId="03300610" w14:textId="77777777" w:rsidR="00C1528E" w:rsidRDefault="00C1528E" w:rsidP="002B55BD"/>
              </w:tc>
              <w:tc>
                <w:tcPr>
                  <w:tcW w:w="690" w:type="dxa"/>
                </w:tcPr>
                <w:p w14:paraId="64654710" w14:textId="77777777" w:rsidR="00C1528E" w:rsidRDefault="00C1528E" w:rsidP="002B55BD"/>
              </w:tc>
              <w:tc>
                <w:tcPr>
                  <w:tcW w:w="690" w:type="dxa"/>
                </w:tcPr>
                <w:p w14:paraId="1C6413F3" w14:textId="77777777" w:rsidR="00C1528E" w:rsidRDefault="00C1528E" w:rsidP="002B55BD"/>
              </w:tc>
              <w:tc>
                <w:tcPr>
                  <w:tcW w:w="2160" w:type="dxa"/>
                  <w:tcBorders>
                    <w:bottom w:val="single" w:sz="4" w:space="0" w:color="auto"/>
                  </w:tcBorders>
                </w:tcPr>
                <w:p w14:paraId="465E014E" w14:textId="77777777" w:rsidR="00C1528E" w:rsidRDefault="00C1528E" w:rsidP="002B55BD"/>
              </w:tc>
            </w:tr>
            <w:tr w:rsidR="00C1528E" w14:paraId="35D7FDD8" w14:textId="77777777" w:rsidTr="002B55BD">
              <w:trPr>
                <w:trHeight w:hRule="exact" w:val="735"/>
              </w:trPr>
              <w:tc>
                <w:tcPr>
                  <w:tcW w:w="540" w:type="dxa"/>
                </w:tcPr>
                <w:p w14:paraId="7F80BE6F" w14:textId="77777777" w:rsidR="00C1528E" w:rsidRDefault="00C1528E" w:rsidP="002B55BD">
                  <w:pPr>
                    <w:jc w:val="center"/>
                  </w:pPr>
                </w:p>
              </w:tc>
              <w:tc>
                <w:tcPr>
                  <w:tcW w:w="4500" w:type="dxa"/>
                  <w:vAlign w:val="center"/>
                </w:tcPr>
                <w:p w14:paraId="0916B20C" w14:textId="77777777" w:rsidR="00C1528E" w:rsidRDefault="00C1528E" w:rsidP="00C1528E">
                  <w:pPr>
                    <w:numPr>
                      <w:ilvl w:val="0"/>
                      <w:numId w:val="6"/>
                    </w:numPr>
                    <w:spacing w:after="0" w:line="240" w:lineRule="auto"/>
                  </w:pPr>
                  <w:r>
                    <w:t>Did the grantee follow their written procurement procedures?</w:t>
                  </w:r>
                </w:p>
              </w:tc>
              <w:tc>
                <w:tcPr>
                  <w:tcW w:w="690" w:type="dxa"/>
                </w:tcPr>
                <w:p w14:paraId="46B92471" w14:textId="77777777" w:rsidR="00C1528E" w:rsidRDefault="00C1528E" w:rsidP="002B55BD"/>
              </w:tc>
              <w:tc>
                <w:tcPr>
                  <w:tcW w:w="690" w:type="dxa"/>
                </w:tcPr>
                <w:p w14:paraId="47B7D1BA" w14:textId="77777777" w:rsidR="00C1528E" w:rsidRDefault="00C1528E" w:rsidP="002B55BD"/>
              </w:tc>
              <w:tc>
                <w:tcPr>
                  <w:tcW w:w="690" w:type="dxa"/>
                </w:tcPr>
                <w:p w14:paraId="71F59BC4" w14:textId="77777777" w:rsidR="00C1528E" w:rsidRDefault="00C1528E" w:rsidP="002B55BD"/>
              </w:tc>
              <w:tc>
                <w:tcPr>
                  <w:tcW w:w="2160" w:type="dxa"/>
                  <w:tcBorders>
                    <w:top w:val="nil"/>
                  </w:tcBorders>
                </w:tcPr>
                <w:p w14:paraId="7665AE2D" w14:textId="77777777" w:rsidR="00C1528E" w:rsidRDefault="00C1528E" w:rsidP="002B55BD"/>
              </w:tc>
            </w:tr>
            <w:tr w:rsidR="00C1528E" w14:paraId="1B4B42BE" w14:textId="77777777" w:rsidTr="002B55BD">
              <w:trPr>
                <w:trHeight w:hRule="exact" w:val="915"/>
              </w:trPr>
              <w:tc>
                <w:tcPr>
                  <w:tcW w:w="540" w:type="dxa"/>
                </w:tcPr>
                <w:p w14:paraId="3A3206EF" w14:textId="77777777" w:rsidR="00C1528E" w:rsidRDefault="00C1528E" w:rsidP="002B55BD">
                  <w:pPr>
                    <w:jc w:val="center"/>
                  </w:pPr>
                </w:p>
              </w:tc>
              <w:tc>
                <w:tcPr>
                  <w:tcW w:w="4500" w:type="dxa"/>
                  <w:vAlign w:val="center"/>
                </w:tcPr>
                <w:p w14:paraId="2C40D2E5" w14:textId="77777777" w:rsidR="00C1528E" w:rsidRDefault="00C1528E" w:rsidP="00C1528E">
                  <w:pPr>
                    <w:numPr>
                      <w:ilvl w:val="0"/>
                      <w:numId w:val="6"/>
                    </w:numPr>
                    <w:spacing w:after="0" w:line="240" w:lineRule="auto"/>
                  </w:pPr>
                  <w:r>
                    <w:t xml:space="preserve">Was the award of the contract infeasible under small purchase procedures, sealed bids? </w:t>
                  </w:r>
                </w:p>
              </w:tc>
              <w:tc>
                <w:tcPr>
                  <w:tcW w:w="690" w:type="dxa"/>
                </w:tcPr>
                <w:p w14:paraId="4DE76D63" w14:textId="77777777" w:rsidR="00C1528E" w:rsidRDefault="00C1528E" w:rsidP="002B55BD"/>
              </w:tc>
              <w:tc>
                <w:tcPr>
                  <w:tcW w:w="690" w:type="dxa"/>
                </w:tcPr>
                <w:p w14:paraId="425C52C5" w14:textId="77777777" w:rsidR="00C1528E" w:rsidRDefault="00C1528E" w:rsidP="002B55BD"/>
              </w:tc>
              <w:tc>
                <w:tcPr>
                  <w:tcW w:w="690" w:type="dxa"/>
                </w:tcPr>
                <w:p w14:paraId="6AE0274E" w14:textId="77777777" w:rsidR="00C1528E" w:rsidRDefault="00C1528E" w:rsidP="002B55BD"/>
              </w:tc>
              <w:tc>
                <w:tcPr>
                  <w:tcW w:w="2160" w:type="dxa"/>
                  <w:tcBorders>
                    <w:top w:val="nil"/>
                  </w:tcBorders>
                </w:tcPr>
                <w:p w14:paraId="3450D013" w14:textId="77777777" w:rsidR="00C1528E" w:rsidRDefault="00C1528E" w:rsidP="002B55BD"/>
              </w:tc>
            </w:tr>
          </w:tbl>
          <w:p w14:paraId="314C44B2" w14:textId="77777777" w:rsidR="00C1528E" w:rsidRDefault="00C1528E" w:rsidP="002B55BD">
            <w: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0"/>
              <w:gridCol w:w="690"/>
              <w:gridCol w:w="690"/>
              <w:gridCol w:w="690"/>
              <w:gridCol w:w="2160"/>
            </w:tblGrid>
            <w:tr w:rsidR="00C1528E" w14:paraId="4EBE24EB" w14:textId="77777777" w:rsidTr="002B55BD">
              <w:trPr>
                <w:trHeight w:val="347"/>
              </w:trPr>
              <w:tc>
                <w:tcPr>
                  <w:tcW w:w="540" w:type="dxa"/>
                  <w:tcBorders>
                    <w:top w:val="nil"/>
                    <w:left w:val="nil"/>
                    <w:bottom w:val="nil"/>
                    <w:right w:val="nil"/>
                  </w:tcBorders>
                </w:tcPr>
                <w:p w14:paraId="55F43A0D" w14:textId="77777777" w:rsidR="00C1528E" w:rsidRDefault="00C1528E" w:rsidP="002B55BD">
                  <w:pPr>
                    <w:jc w:val="center"/>
                  </w:pPr>
                </w:p>
              </w:tc>
              <w:tc>
                <w:tcPr>
                  <w:tcW w:w="4500" w:type="dxa"/>
                  <w:tcBorders>
                    <w:top w:val="nil"/>
                    <w:left w:val="nil"/>
                    <w:bottom w:val="nil"/>
                    <w:right w:val="nil"/>
                  </w:tcBorders>
                </w:tcPr>
                <w:p w14:paraId="1563F950" w14:textId="77777777" w:rsidR="00C1528E" w:rsidRDefault="00C1528E" w:rsidP="002B55BD"/>
              </w:tc>
              <w:tc>
                <w:tcPr>
                  <w:tcW w:w="690" w:type="dxa"/>
                  <w:tcBorders>
                    <w:top w:val="nil"/>
                    <w:left w:val="nil"/>
                    <w:bottom w:val="nil"/>
                    <w:right w:val="nil"/>
                  </w:tcBorders>
                </w:tcPr>
                <w:p w14:paraId="37603DD1" w14:textId="77777777" w:rsidR="00C1528E" w:rsidRDefault="00C1528E" w:rsidP="002B55BD">
                  <w:pPr>
                    <w:jc w:val="center"/>
                  </w:pPr>
                  <w:r>
                    <w:t>Yes</w:t>
                  </w:r>
                </w:p>
              </w:tc>
              <w:tc>
                <w:tcPr>
                  <w:tcW w:w="690" w:type="dxa"/>
                  <w:tcBorders>
                    <w:top w:val="nil"/>
                    <w:left w:val="nil"/>
                    <w:bottom w:val="nil"/>
                    <w:right w:val="nil"/>
                  </w:tcBorders>
                </w:tcPr>
                <w:p w14:paraId="023046E8" w14:textId="77777777" w:rsidR="00C1528E" w:rsidRDefault="00C1528E" w:rsidP="002B55BD">
                  <w:pPr>
                    <w:jc w:val="center"/>
                  </w:pPr>
                  <w:r>
                    <w:t>No</w:t>
                  </w:r>
                </w:p>
              </w:tc>
              <w:tc>
                <w:tcPr>
                  <w:tcW w:w="690" w:type="dxa"/>
                  <w:tcBorders>
                    <w:top w:val="nil"/>
                    <w:left w:val="nil"/>
                    <w:bottom w:val="nil"/>
                    <w:right w:val="nil"/>
                  </w:tcBorders>
                </w:tcPr>
                <w:p w14:paraId="111CECCE" w14:textId="77777777" w:rsidR="00C1528E" w:rsidRDefault="00C1528E" w:rsidP="002B55BD">
                  <w:pPr>
                    <w:jc w:val="center"/>
                  </w:pPr>
                  <w:r>
                    <w:t>N/A</w:t>
                  </w:r>
                </w:p>
              </w:tc>
              <w:tc>
                <w:tcPr>
                  <w:tcW w:w="2160" w:type="dxa"/>
                  <w:tcBorders>
                    <w:top w:val="nil"/>
                    <w:left w:val="nil"/>
                    <w:bottom w:val="single" w:sz="4" w:space="0" w:color="auto"/>
                    <w:right w:val="nil"/>
                  </w:tcBorders>
                </w:tcPr>
                <w:p w14:paraId="1DB548FF" w14:textId="77777777" w:rsidR="00C1528E" w:rsidRDefault="00C1528E" w:rsidP="002B55BD">
                  <w:pPr>
                    <w:jc w:val="center"/>
                  </w:pPr>
                  <w:r>
                    <w:t>Notes</w:t>
                  </w:r>
                </w:p>
              </w:tc>
            </w:tr>
            <w:tr w:rsidR="00C1528E" w14:paraId="4300085B" w14:textId="77777777" w:rsidTr="002B55BD">
              <w:trPr>
                <w:trHeight w:hRule="exact" w:val="1185"/>
              </w:trPr>
              <w:tc>
                <w:tcPr>
                  <w:tcW w:w="540" w:type="dxa"/>
                </w:tcPr>
                <w:p w14:paraId="6F9B33BE" w14:textId="77777777" w:rsidR="00C1528E" w:rsidRDefault="00C1528E" w:rsidP="002B55BD">
                  <w:pPr>
                    <w:jc w:val="center"/>
                  </w:pPr>
                </w:p>
              </w:tc>
              <w:tc>
                <w:tcPr>
                  <w:tcW w:w="4500" w:type="dxa"/>
                  <w:vAlign w:val="center"/>
                </w:tcPr>
                <w:p w14:paraId="301D0133" w14:textId="77777777" w:rsidR="00C1528E" w:rsidRDefault="00C1528E" w:rsidP="00C1528E">
                  <w:pPr>
                    <w:numPr>
                      <w:ilvl w:val="0"/>
                      <w:numId w:val="15"/>
                    </w:numPr>
                    <w:tabs>
                      <w:tab w:val="clear" w:pos="1080"/>
                      <w:tab w:val="num" w:pos="702"/>
                    </w:tabs>
                    <w:spacing w:after="0" w:line="240" w:lineRule="auto"/>
                    <w:ind w:left="702"/>
                  </w:pPr>
                  <w:r>
                    <w:t>Is there adequate documentation that the item or service was only available from a single source?</w:t>
                  </w:r>
                </w:p>
              </w:tc>
              <w:tc>
                <w:tcPr>
                  <w:tcW w:w="690" w:type="dxa"/>
                </w:tcPr>
                <w:p w14:paraId="63C3E10F" w14:textId="77777777" w:rsidR="00C1528E" w:rsidRDefault="00C1528E" w:rsidP="002B55BD"/>
              </w:tc>
              <w:tc>
                <w:tcPr>
                  <w:tcW w:w="690" w:type="dxa"/>
                </w:tcPr>
                <w:p w14:paraId="6C9DECFD" w14:textId="77777777" w:rsidR="00C1528E" w:rsidRDefault="00C1528E" w:rsidP="002B55BD"/>
              </w:tc>
              <w:tc>
                <w:tcPr>
                  <w:tcW w:w="690" w:type="dxa"/>
                </w:tcPr>
                <w:p w14:paraId="01999F60" w14:textId="77777777" w:rsidR="00C1528E" w:rsidRDefault="00C1528E" w:rsidP="002B55BD"/>
              </w:tc>
              <w:tc>
                <w:tcPr>
                  <w:tcW w:w="2160" w:type="dxa"/>
                  <w:tcBorders>
                    <w:top w:val="single" w:sz="4" w:space="0" w:color="auto"/>
                  </w:tcBorders>
                </w:tcPr>
                <w:p w14:paraId="7D83C3EB" w14:textId="77777777" w:rsidR="00C1528E" w:rsidRDefault="00C1528E" w:rsidP="002B55BD"/>
              </w:tc>
            </w:tr>
            <w:tr w:rsidR="00C1528E" w14:paraId="69A393D5" w14:textId="77777777" w:rsidTr="002B55BD">
              <w:trPr>
                <w:trHeight w:hRule="exact" w:val="1977"/>
              </w:trPr>
              <w:tc>
                <w:tcPr>
                  <w:tcW w:w="540" w:type="dxa"/>
                </w:tcPr>
                <w:p w14:paraId="734D6558" w14:textId="77777777" w:rsidR="00C1528E" w:rsidRDefault="00C1528E" w:rsidP="002B55BD">
                  <w:pPr>
                    <w:jc w:val="center"/>
                  </w:pPr>
                </w:p>
              </w:tc>
              <w:tc>
                <w:tcPr>
                  <w:tcW w:w="4500" w:type="dxa"/>
                  <w:vAlign w:val="center"/>
                </w:tcPr>
                <w:p w14:paraId="7B35DC73" w14:textId="77777777" w:rsidR="00C1528E" w:rsidRDefault="00C1528E" w:rsidP="00C1528E">
                  <w:pPr>
                    <w:numPr>
                      <w:ilvl w:val="0"/>
                      <w:numId w:val="16"/>
                    </w:numPr>
                    <w:tabs>
                      <w:tab w:val="clear" w:pos="1080"/>
                      <w:tab w:val="num" w:pos="702"/>
                    </w:tabs>
                    <w:spacing w:after="0" w:line="240" w:lineRule="auto"/>
                    <w:ind w:left="702"/>
                  </w:pPr>
                  <w:r>
                    <w:t>Is there adequate documentation that the public exigency or emergency was such that the requirement would not permit a delay resulting from competitive solicitation?</w:t>
                  </w:r>
                </w:p>
              </w:tc>
              <w:tc>
                <w:tcPr>
                  <w:tcW w:w="690" w:type="dxa"/>
                </w:tcPr>
                <w:p w14:paraId="5C570ECD" w14:textId="77777777" w:rsidR="00C1528E" w:rsidRDefault="00C1528E" w:rsidP="002B55BD"/>
              </w:tc>
              <w:tc>
                <w:tcPr>
                  <w:tcW w:w="690" w:type="dxa"/>
                </w:tcPr>
                <w:p w14:paraId="12DFC563" w14:textId="77777777" w:rsidR="00C1528E" w:rsidRDefault="00C1528E" w:rsidP="002B55BD"/>
              </w:tc>
              <w:tc>
                <w:tcPr>
                  <w:tcW w:w="690" w:type="dxa"/>
                </w:tcPr>
                <w:p w14:paraId="2DA4248F" w14:textId="77777777" w:rsidR="00C1528E" w:rsidRDefault="00C1528E" w:rsidP="002B55BD"/>
              </w:tc>
              <w:tc>
                <w:tcPr>
                  <w:tcW w:w="2160" w:type="dxa"/>
                  <w:tcBorders>
                    <w:top w:val="nil"/>
                  </w:tcBorders>
                </w:tcPr>
                <w:p w14:paraId="0D1B4144" w14:textId="77777777" w:rsidR="00C1528E" w:rsidRDefault="00C1528E" w:rsidP="002B55BD"/>
              </w:tc>
            </w:tr>
            <w:tr w:rsidR="00C1528E" w14:paraId="70762A08" w14:textId="77777777" w:rsidTr="002B55BD">
              <w:trPr>
                <w:trHeight w:hRule="exact" w:val="1437"/>
              </w:trPr>
              <w:tc>
                <w:tcPr>
                  <w:tcW w:w="540" w:type="dxa"/>
                </w:tcPr>
                <w:p w14:paraId="436B532E" w14:textId="77777777" w:rsidR="00C1528E" w:rsidRDefault="00C1528E" w:rsidP="002B55BD">
                  <w:pPr>
                    <w:jc w:val="right"/>
                  </w:pPr>
                </w:p>
              </w:tc>
              <w:tc>
                <w:tcPr>
                  <w:tcW w:w="4500" w:type="dxa"/>
                  <w:vAlign w:val="center"/>
                </w:tcPr>
                <w:p w14:paraId="0762EEC5" w14:textId="77777777" w:rsidR="00C1528E" w:rsidRDefault="00C1528E" w:rsidP="00C1528E">
                  <w:pPr>
                    <w:pStyle w:val="Footer"/>
                    <w:numPr>
                      <w:ilvl w:val="0"/>
                      <w:numId w:val="16"/>
                    </w:numPr>
                    <w:tabs>
                      <w:tab w:val="clear" w:pos="1080"/>
                      <w:tab w:val="clear" w:pos="4680"/>
                      <w:tab w:val="clear" w:pos="9360"/>
                      <w:tab w:val="num" w:pos="702"/>
                    </w:tabs>
                    <w:ind w:left="702"/>
                  </w:pPr>
                  <w:r>
                    <w:t>Is there adequate documentation that competition was considered inadequate after solicitation of a number of sources?</w:t>
                  </w:r>
                </w:p>
              </w:tc>
              <w:tc>
                <w:tcPr>
                  <w:tcW w:w="690" w:type="dxa"/>
                </w:tcPr>
                <w:p w14:paraId="796EB3FC" w14:textId="77777777" w:rsidR="00C1528E" w:rsidRDefault="00C1528E" w:rsidP="002B55BD"/>
              </w:tc>
              <w:tc>
                <w:tcPr>
                  <w:tcW w:w="690" w:type="dxa"/>
                </w:tcPr>
                <w:p w14:paraId="26FBC222" w14:textId="77777777" w:rsidR="00C1528E" w:rsidRDefault="00C1528E" w:rsidP="002B55BD"/>
              </w:tc>
              <w:tc>
                <w:tcPr>
                  <w:tcW w:w="690" w:type="dxa"/>
                </w:tcPr>
                <w:p w14:paraId="2353684C" w14:textId="77777777" w:rsidR="00C1528E" w:rsidRDefault="00C1528E" w:rsidP="002B55BD"/>
              </w:tc>
              <w:tc>
                <w:tcPr>
                  <w:tcW w:w="2160" w:type="dxa"/>
                </w:tcPr>
                <w:p w14:paraId="51D4EC32" w14:textId="77777777" w:rsidR="00C1528E" w:rsidRDefault="00C1528E" w:rsidP="002B55BD"/>
              </w:tc>
            </w:tr>
            <w:tr w:rsidR="00C1528E" w14:paraId="5A88DECF" w14:textId="77777777" w:rsidTr="002B55BD">
              <w:trPr>
                <w:trHeight w:hRule="exact" w:val="1167"/>
              </w:trPr>
              <w:tc>
                <w:tcPr>
                  <w:tcW w:w="540" w:type="dxa"/>
                </w:tcPr>
                <w:p w14:paraId="00375604" w14:textId="77777777" w:rsidR="00C1528E" w:rsidRDefault="00C1528E" w:rsidP="002B55BD">
                  <w:pPr>
                    <w:jc w:val="right"/>
                  </w:pPr>
                </w:p>
              </w:tc>
              <w:tc>
                <w:tcPr>
                  <w:tcW w:w="4500" w:type="dxa"/>
                  <w:vAlign w:val="center"/>
                </w:tcPr>
                <w:p w14:paraId="65EB9A83" w14:textId="77777777" w:rsidR="00C1528E" w:rsidRDefault="00C1528E" w:rsidP="00C1528E">
                  <w:pPr>
                    <w:numPr>
                      <w:ilvl w:val="0"/>
                      <w:numId w:val="6"/>
                    </w:numPr>
                    <w:spacing w:after="0" w:line="240" w:lineRule="auto"/>
                  </w:pPr>
                  <w:r>
                    <w:t>In the case of a negotiated price, was the price negotiated lower than any previously received bids?</w:t>
                  </w:r>
                </w:p>
              </w:tc>
              <w:tc>
                <w:tcPr>
                  <w:tcW w:w="690" w:type="dxa"/>
                </w:tcPr>
                <w:p w14:paraId="1A93833D" w14:textId="77777777" w:rsidR="00C1528E" w:rsidRDefault="00C1528E" w:rsidP="002B55BD"/>
              </w:tc>
              <w:tc>
                <w:tcPr>
                  <w:tcW w:w="690" w:type="dxa"/>
                </w:tcPr>
                <w:p w14:paraId="281E6F63" w14:textId="77777777" w:rsidR="00C1528E" w:rsidRDefault="00C1528E" w:rsidP="002B55BD"/>
              </w:tc>
              <w:tc>
                <w:tcPr>
                  <w:tcW w:w="690" w:type="dxa"/>
                </w:tcPr>
                <w:p w14:paraId="32A3F398" w14:textId="77777777" w:rsidR="00C1528E" w:rsidRDefault="00C1528E" w:rsidP="002B55BD"/>
              </w:tc>
              <w:tc>
                <w:tcPr>
                  <w:tcW w:w="2160" w:type="dxa"/>
                </w:tcPr>
                <w:p w14:paraId="56C4E4C3" w14:textId="77777777" w:rsidR="00C1528E" w:rsidRDefault="00C1528E" w:rsidP="002B55BD"/>
              </w:tc>
            </w:tr>
            <w:tr w:rsidR="00C1528E" w14:paraId="4E79B2AF" w14:textId="77777777" w:rsidTr="002B55BD">
              <w:trPr>
                <w:trHeight w:hRule="exact" w:val="717"/>
              </w:trPr>
              <w:tc>
                <w:tcPr>
                  <w:tcW w:w="540" w:type="dxa"/>
                </w:tcPr>
                <w:p w14:paraId="4FD8A076" w14:textId="77777777" w:rsidR="00C1528E" w:rsidRDefault="00C1528E" w:rsidP="002B55BD">
                  <w:pPr>
                    <w:jc w:val="right"/>
                  </w:pPr>
                </w:p>
              </w:tc>
              <w:tc>
                <w:tcPr>
                  <w:tcW w:w="4500" w:type="dxa"/>
                  <w:vAlign w:val="center"/>
                </w:tcPr>
                <w:p w14:paraId="4490B2F9" w14:textId="77777777" w:rsidR="00C1528E" w:rsidRDefault="00C1528E" w:rsidP="00C1528E">
                  <w:pPr>
                    <w:numPr>
                      <w:ilvl w:val="0"/>
                      <w:numId w:val="6"/>
                    </w:numPr>
                    <w:spacing w:after="0" w:line="240" w:lineRule="auto"/>
                  </w:pPr>
                  <w:r>
                    <w:t>Was a purchase order issued?  If no, please see part III below.</w:t>
                  </w:r>
                </w:p>
              </w:tc>
              <w:tc>
                <w:tcPr>
                  <w:tcW w:w="690" w:type="dxa"/>
                </w:tcPr>
                <w:p w14:paraId="7E2EC7B4" w14:textId="77777777" w:rsidR="00C1528E" w:rsidRDefault="00C1528E" w:rsidP="002B55BD"/>
              </w:tc>
              <w:tc>
                <w:tcPr>
                  <w:tcW w:w="690" w:type="dxa"/>
                </w:tcPr>
                <w:p w14:paraId="63B04F02" w14:textId="77777777" w:rsidR="00C1528E" w:rsidRDefault="00C1528E" w:rsidP="002B55BD"/>
              </w:tc>
              <w:tc>
                <w:tcPr>
                  <w:tcW w:w="690" w:type="dxa"/>
                </w:tcPr>
                <w:p w14:paraId="7DD3DB10" w14:textId="77777777" w:rsidR="00C1528E" w:rsidRDefault="00C1528E" w:rsidP="002B55BD"/>
              </w:tc>
              <w:tc>
                <w:tcPr>
                  <w:tcW w:w="2160" w:type="dxa"/>
                </w:tcPr>
                <w:p w14:paraId="4387DEC3" w14:textId="77777777" w:rsidR="00C1528E" w:rsidRDefault="00C1528E" w:rsidP="002B55BD"/>
              </w:tc>
            </w:tr>
          </w:tbl>
          <w:p w14:paraId="2DC8C73B" w14:textId="77777777" w:rsidR="00C1528E" w:rsidRPr="00955D5A" w:rsidRDefault="00C1528E" w:rsidP="002B55BD">
            <w:pPr>
              <w:pStyle w:val="Footer"/>
              <w:ind w:left="360"/>
              <w:rPr>
                <w:b/>
              </w:rPr>
            </w:pPr>
          </w:p>
          <w:p w14:paraId="0A8FEC3E" w14:textId="77777777" w:rsidR="00C1528E" w:rsidRPr="00955D5A" w:rsidRDefault="00C1528E" w:rsidP="00C1528E">
            <w:pPr>
              <w:pStyle w:val="Footer"/>
              <w:numPr>
                <w:ilvl w:val="0"/>
                <w:numId w:val="13"/>
              </w:numPr>
              <w:tabs>
                <w:tab w:val="clear" w:pos="4680"/>
                <w:tab w:val="clear" w:pos="9360"/>
              </w:tabs>
              <w:rPr>
                <w:b/>
              </w:rPr>
            </w:pPr>
            <w:r w:rsidRPr="00955D5A">
              <w:rPr>
                <w:b/>
              </w:rPr>
              <w:t>Bonding, Insurance, and Contract Requirements</w:t>
            </w:r>
          </w:p>
          <w:p w14:paraId="4E66B6C7" w14:textId="77777777" w:rsidR="00C1528E" w:rsidRPr="00955D5A" w:rsidRDefault="00C1528E" w:rsidP="002B55BD">
            <w:pPr>
              <w:rPr>
                <w:b/>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0"/>
              <w:gridCol w:w="690"/>
              <w:gridCol w:w="690"/>
              <w:gridCol w:w="690"/>
              <w:gridCol w:w="2160"/>
            </w:tblGrid>
            <w:tr w:rsidR="00C1528E" w14:paraId="636DB3EA" w14:textId="77777777" w:rsidTr="002B55BD">
              <w:trPr>
                <w:trHeight w:hRule="exact" w:val="352"/>
              </w:trPr>
              <w:tc>
                <w:tcPr>
                  <w:tcW w:w="540" w:type="dxa"/>
                  <w:tcBorders>
                    <w:top w:val="single" w:sz="4" w:space="0" w:color="auto"/>
                  </w:tcBorders>
                </w:tcPr>
                <w:p w14:paraId="557EC93B" w14:textId="77777777" w:rsidR="00C1528E" w:rsidRDefault="00C1528E" w:rsidP="002B55BD">
                  <w:pPr>
                    <w:pStyle w:val="Footer"/>
                  </w:pPr>
                  <w:r>
                    <w:t>A.</w:t>
                  </w:r>
                </w:p>
              </w:tc>
              <w:tc>
                <w:tcPr>
                  <w:tcW w:w="4500" w:type="dxa"/>
                  <w:tcBorders>
                    <w:top w:val="single" w:sz="4" w:space="0" w:color="auto"/>
                  </w:tcBorders>
                  <w:vAlign w:val="center"/>
                </w:tcPr>
                <w:p w14:paraId="7BFACD92" w14:textId="77777777" w:rsidR="00C1528E" w:rsidRDefault="00C1528E" w:rsidP="002B55BD">
                  <w:r>
                    <w:t>Were contracts properly executed?</w:t>
                  </w:r>
                </w:p>
              </w:tc>
              <w:tc>
                <w:tcPr>
                  <w:tcW w:w="690" w:type="dxa"/>
                  <w:tcBorders>
                    <w:top w:val="single" w:sz="4" w:space="0" w:color="auto"/>
                  </w:tcBorders>
                </w:tcPr>
                <w:p w14:paraId="5FAD64E1" w14:textId="77777777" w:rsidR="00C1528E" w:rsidRDefault="00C1528E" w:rsidP="002B55BD"/>
              </w:tc>
              <w:tc>
                <w:tcPr>
                  <w:tcW w:w="690" w:type="dxa"/>
                  <w:tcBorders>
                    <w:top w:val="single" w:sz="4" w:space="0" w:color="auto"/>
                  </w:tcBorders>
                </w:tcPr>
                <w:p w14:paraId="1A03FBE9" w14:textId="77777777" w:rsidR="00C1528E" w:rsidRDefault="00C1528E" w:rsidP="002B55BD"/>
              </w:tc>
              <w:tc>
                <w:tcPr>
                  <w:tcW w:w="690" w:type="dxa"/>
                  <w:tcBorders>
                    <w:top w:val="single" w:sz="4" w:space="0" w:color="auto"/>
                  </w:tcBorders>
                </w:tcPr>
                <w:p w14:paraId="25E3C9E6" w14:textId="77777777" w:rsidR="00C1528E" w:rsidRDefault="00C1528E" w:rsidP="002B55BD"/>
              </w:tc>
              <w:tc>
                <w:tcPr>
                  <w:tcW w:w="2160" w:type="dxa"/>
                  <w:tcBorders>
                    <w:top w:val="single" w:sz="4" w:space="0" w:color="auto"/>
                  </w:tcBorders>
                </w:tcPr>
                <w:p w14:paraId="2EC5557F" w14:textId="77777777" w:rsidR="00C1528E" w:rsidRDefault="00C1528E" w:rsidP="002B55BD"/>
              </w:tc>
            </w:tr>
            <w:tr w:rsidR="00C1528E" w14:paraId="6D51BA9E" w14:textId="77777777" w:rsidTr="002B55BD">
              <w:trPr>
                <w:trHeight w:hRule="exact" w:val="622"/>
              </w:trPr>
              <w:tc>
                <w:tcPr>
                  <w:tcW w:w="540" w:type="dxa"/>
                  <w:tcBorders>
                    <w:top w:val="single" w:sz="4" w:space="0" w:color="auto"/>
                  </w:tcBorders>
                </w:tcPr>
                <w:p w14:paraId="029BFC7E" w14:textId="77777777" w:rsidR="00C1528E" w:rsidRDefault="00C1528E" w:rsidP="002B55BD">
                  <w:pPr>
                    <w:pStyle w:val="Footer"/>
                  </w:pPr>
                  <w:r>
                    <w:t>B.</w:t>
                  </w:r>
                </w:p>
              </w:tc>
              <w:tc>
                <w:tcPr>
                  <w:tcW w:w="4500" w:type="dxa"/>
                  <w:tcBorders>
                    <w:top w:val="single" w:sz="4" w:space="0" w:color="auto"/>
                  </w:tcBorders>
                  <w:vAlign w:val="center"/>
                </w:tcPr>
                <w:p w14:paraId="35321124" w14:textId="77777777" w:rsidR="00C1528E" w:rsidRDefault="00C1528E" w:rsidP="002B55BD">
                  <w:r>
                    <w:t>Were contracts entered into after the Removal of Grant Conditions?</w:t>
                  </w:r>
                </w:p>
              </w:tc>
              <w:tc>
                <w:tcPr>
                  <w:tcW w:w="690" w:type="dxa"/>
                  <w:tcBorders>
                    <w:top w:val="single" w:sz="4" w:space="0" w:color="auto"/>
                  </w:tcBorders>
                </w:tcPr>
                <w:p w14:paraId="5CC861BA" w14:textId="77777777" w:rsidR="00C1528E" w:rsidRDefault="00C1528E" w:rsidP="002B55BD"/>
              </w:tc>
              <w:tc>
                <w:tcPr>
                  <w:tcW w:w="690" w:type="dxa"/>
                  <w:tcBorders>
                    <w:top w:val="single" w:sz="4" w:space="0" w:color="auto"/>
                  </w:tcBorders>
                </w:tcPr>
                <w:p w14:paraId="0E5A10A3" w14:textId="77777777" w:rsidR="00C1528E" w:rsidRDefault="00C1528E" w:rsidP="002B55BD"/>
              </w:tc>
              <w:tc>
                <w:tcPr>
                  <w:tcW w:w="690" w:type="dxa"/>
                  <w:tcBorders>
                    <w:top w:val="single" w:sz="4" w:space="0" w:color="auto"/>
                  </w:tcBorders>
                </w:tcPr>
                <w:p w14:paraId="303CFE8E" w14:textId="77777777" w:rsidR="00C1528E" w:rsidRDefault="00C1528E" w:rsidP="002B55BD"/>
              </w:tc>
              <w:tc>
                <w:tcPr>
                  <w:tcW w:w="2160" w:type="dxa"/>
                  <w:tcBorders>
                    <w:top w:val="single" w:sz="4" w:space="0" w:color="auto"/>
                  </w:tcBorders>
                </w:tcPr>
                <w:p w14:paraId="2EFE500C" w14:textId="77777777" w:rsidR="00C1528E" w:rsidRDefault="00C1528E" w:rsidP="002B55BD"/>
              </w:tc>
            </w:tr>
            <w:tr w:rsidR="00C1528E" w14:paraId="6901D17A" w14:textId="77777777" w:rsidTr="002B55BD">
              <w:trPr>
                <w:trHeight w:hRule="exact" w:val="622"/>
              </w:trPr>
              <w:tc>
                <w:tcPr>
                  <w:tcW w:w="540" w:type="dxa"/>
                  <w:tcBorders>
                    <w:top w:val="single" w:sz="4" w:space="0" w:color="auto"/>
                  </w:tcBorders>
                </w:tcPr>
                <w:p w14:paraId="73712C91" w14:textId="77777777" w:rsidR="00C1528E" w:rsidRDefault="00C1528E" w:rsidP="002B55BD">
                  <w:pPr>
                    <w:pStyle w:val="Footer"/>
                  </w:pPr>
                  <w:r>
                    <w:t>C.</w:t>
                  </w:r>
                </w:p>
              </w:tc>
              <w:tc>
                <w:tcPr>
                  <w:tcW w:w="4500" w:type="dxa"/>
                  <w:tcBorders>
                    <w:top w:val="single" w:sz="4" w:space="0" w:color="auto"/>
                  </w:tcBorders>
                  <w:vAlign w:val="center"/>
                </w:tcPr>
                <w:p w14:paraId="57C7A98A" w14:textId="77777777" w:rsidR="00C1528E" w:rsidRDefault="00C1528E" w:rsidP="002B55BD">
                  <w:r>
                    <w:t>How was the contract price determined (lump sum, unit price, etc.)?</w:t>
                  </w:r>
                </w:p>
              </w:tc>
              <w:tc>
                <w:tcPr>
                  <w:tcW w:w="690" w:type="dxa"/>
                  <w:tcBorders>
                    <w:top w:val="single" w:sz="4" w:space="0" w:color="auto"/>
                  </w:tcBorders>
                </w:tcPr>
                <w:p w14:paraId="21BFFE82" w14:textId="77777777" w:rsidR="00C1528E" w:rsidRDefault="00C1528E" w:rsidP="002B55BD"/>
              </w:tc>
              <w:tc>
                <w:tcPr>
                  <w:tcW w:w="690" w:type="dxa"/>
                  <w:tcBorders>
                    <w:top w:val="single" w:sz="4" w:space="0" w:color="auto"/>
                  </w:tcBorders>
                </w:tcPr>
                <w:p w14:paraId="5D937FDD" w14:textId="77777777" w:rsidR="00C1528E" w:rsidRDefault="00C1528E" w:rsidP="002B55BD"/>
              </w:tc>
              <w:tc>
                <w:tcPr>
                  <w:tcW w:w="690" w:type="dxa"/>
                  <w:tcBorders>
                    <w:top w:val="single" w:sz="4" w:space="0" w:color="auto"/>
                  </w:tcBorders>
                </w:tcPr>
                <w:p w14:paraId="7E9D3BCA" w14:textId="77777777" w:rsidR="00C1528E" w:rsidRDefault="00C1528E" w:rsidP="002B55BD"/>
              </w:tc>
              <w:tc>
                <w:tcPr>
                  <w:tcW w:w="2160" w:type="dxa"/>
                  <w:tcBorders>
                    <w:top w:val="single" w:sz="4" w:space="0" w:color="auto"/>
                  </w:tcBorders>
                </w:tcPr>
                <w:p w14:paraId="710BB3E8" w14:textId="77777777" w:rsidR="00C1528E" w:rsidRDefault="00C1528E" w:rsidP="002B55BD"/>
              </w:tc>
            </w:tr>
            <w:tr w:rsidR="00C1528E" w14:paraId="0EDECC74" w14:textId="77777777" w:rsidTr="002B55BD">
              <w:trPr>
                <w:trHeight w:hRule="exact" w:val="838"/>
              </w:trPr>
              <w:tc>
                <w:tcPr>
                  <w:tcW w:w="540" w:type="dxa"/>
                  <w:tcBorders>
                    <w:top w:val="single" w:sz="4" w:space="0" w:color="auto"/>
                  </w:tcBorders>
                </w:tcPr>
                <w:p w14:paraId="05CE1B74" w14:textId="77777777" w:rsidR="00C1528E" w:rsidRDefault="00C1528E" w:rsidP="002B55BD">
                  <w:pPr>
                    <w:pStyle w:val="Footer"/>
                  </w:pPr>
                  <w:r>
                    <w:t>D.</w:t>
                  </w:r>
                </w:p>
              </w:tc>
              <w:tc>
                <w:tcPr>
                  <w:tcW w:w="4500" w:type="dxa"/>
                  <w:tcBorders>
                    <w:top w:val="single" w:sz="4" w:space="0" w:color="auto"/>
                  </w:tcBorders>
                  <w:vAlign w:val="center"/>
                </w:tcPr>
                <w:p w14:paraId="4EFFD45B" w14:textId="77777777" w:rsidR="00C1528E" w:rsidRDefault="00C1528E" w:rsidP="002B55BD">
                  <w:r>
                    <w:t>For construction contracts for public works projects has the grantee obtained:</w:t>
                  </w:r>
                </w:p>
              </w:tc>
              <w:tc>
                <w:tcPr>
                  <w:tcW w:w="690" w:type="dxa"/>
                  <w:tcBorders>
                    <w:top w:val="single" w:sz="4" w:space="0" w:color="auto"/>
                  </w:tcBorders>
                </w:tcPr>
                <w:p w14:paraId="47828F22" w14:textId="77777777" w:rsidR="00C1528E" w:rsidRDefault="00C1528E" w:rsidP="002B55BD"/>
              </w:tc>
              <w:tc>
                <w:tcPr>
                  <w:tcW w:w="690" w:type="dxa"/>
                  <w:tcBorders>
                    <w:top w:val="single" w:sz="4" w:space="0" w:color="auto"/>
                  </w:tcBorders>
                </w:tcPr>
                <w:p w14:paraId="76B9F0A7" w14:textId="77777777" w:rsidR="00C1528E" w:rsidRDefault="00C1528E" w:rsidP="002B55BD"/>
              </w:tc>
              <w:tc>
                <w:tcPr>
                  <w:tcW w:w="690" w:type="dxa"/>
                  <w:tcBorders>
                    <w:top w:val="single" w:sz="4" w:space="0" w:color="auto"/>
                  </w:tcBorders>
                </w:tcPr>
                <w:p w14:paraId="565226AF" w14:textId="77777777" w:rsidR="00C1528E" w:rsidRDefault="00C1528E" w:rsidP="002B55BD"/>
              </w:tc>
              <w:tc>
                <w:tcPr>
                  <w:tcW w:w="2160" w:type="dxa"/>
                  <w:tcBorders>
                    <w:top w:val="single" w:sz="4" w:space="0" w:color="auto"/>
                  </w:tcBorders>
                </w:tcPr>
                <w:p w14:paraId="28A2F6B2" w14:textId="77777777" w:rsidR="00C1528E" w:rsidRDefault="00C1528E" w:rsidP="002B55BD"/>
              </w:tc>
            </w:tr>
            <w:tr w:rsidR="00C1528E" w14:paraId="290702FF" w14:textId="77777777" w:rsidTr="002B55BD">
              <w:trPr>
                <w:trHeight w:hRule="exact" w:val="631"/>
              </w:trPr>
              <w:tc>
                <w:tcPr>
                  <w:tcW w:w="540" w:type="dxa"/>
                </w:tcPr>
                <w:p w14:paraId="1456440D" w14:textId="77777777" w:rsidR="00C1528E" w:rsidRDefault="00C1528E" w:rsidP="002B55BD">
                  <w:pPr>
                    <w:jc w:val="center"/>
                  </w:pPr>
                </w:p>
              </w:tc>
              <w:tc>
                <w:tcPr>
                  <w:tcW w:w="4500" w:type="dxa"/>
                  <w:vAlign w:val="center"/>
                </w:tcPr>
                <w:p w14:paraId="4C7D6C41" w14:textId="77777777" w:rsidR="00C1528E" w:rsidRDefault="00C1528E" w:rsidP="00C1528E">
                  <w:pPr>
                    <w:numPr>
                      <w:ilvl w:val="0"/>
                      <w:numId w:val="9"/>
                    </w:numPr>
                    <w:spacing w:after="0" w:line="240" w:lineRule="auto"/>
                  </w:pPr>
                  <w:r>
                    <w:t>A bid guarantee of 5%.</w:t>
                  </w:r>
                </w:p>
              </w:tc>
              <w:tc>
                <w:tcPr>
                  <w:tcW w:w="690" w:type="dxa"/>
                </w:tcPr>
                <w:p w14:paraId="02AEE909" w14:textId="77777777" w:rsidR="00C1528E" w:rsidRDefault="00C1528E" w:rsidP="002B55BD"/>
              </w:tc>
              <w:tc>
                <w:tcPr>
                  <w:tcW w:w="690" w:type="dxa"/>
                </w:tcPr>
                <w:p w14:paraId="0B2EB592" w14:textId="77777777" w:rsidR="00C1528E" w:rsidRDefault="00C1528E" w:rsidP="002B55BD"/>
              </w:tc>
              <w:tc>
                <w:tcPr>
                  <w:tcW w:w="690" w:type="dxa"/>
                </w:tcPr>
                <w:p w14:paraId="19F85778" w14:textId="77777777" w:rsidR="00C1528E" w:rsidRDefault="00C1528E" w:rsidP="002B55BD"/>
              </w:tc>
              <w:tc>
                <w:tcPr>
                  <w:tcW w:w="2160" w:type="dxa"/>
                </w:tcPr>
                <w:p w14:paraId="67404E41" w14:textId="77777777" w:rsidR="00C1528E" w:rsidRDefault="00C1528E" w:rsidP="002B55BD"/>
              </w:tc>
            </w:tr>
            <w:tr w:rsidR="00C1528E" w14:paraId="790627CB" w14:textId="77777777" w:rsidTr="002B55BD">
              <w:trPr>
                <w:trHeight w:hRule="exact" w:val="838"/>
              </w:trPr>
              <w:tc>
                <w:tcPr>
                  <w:tcW w:w="540" w:type="dxa"/>
                </w:tcPr>
                <w:p w14:paraId="0D0AB7AC" w14:textId="77777777" w:rsidR="00C1528E" w:rsidRDefault="00C1528E" w:rsidP="002B55BD">
                  <w:pPr>
                    <w:jc w:val="center"/>
                  </w:pPr>
                </w:p>
              </w:tc>
              <w:tc>
                <w:tcPr>
                  <w:tcW w:w="4500" w:type="dxa"/>
                  <w:vAlign w:val="center"/>
                </w:tcPr>
                <w:p w14:paraId="6F34FC73" w14:textId="77777777" w:rsidR="00C1528E" w:rsidRDefault="00C1528E" w:rsidP="00C1528E">
                  <w:pPr>
                    <w:numPr>
                      <w:ilvl w:val="0"/>
                      <w:numId w:val="9"/>
                    </w:numPr>
                    <w:spacing w:after="0" w:line="240" w:lineRule="auto"/>
                  </w:pPr>
                  <w:r>
                    <w:t>A performance bond from the contractor for 100% of the contract price?</w:t>
                  </w:r>
                </w:p>
              </w:tc>
              <w:tc>
                <w:tcPr>
                  <w:tcW w:w="690" w:type="dxa"/>
                </w:tcPr>
                <w:p w14:paraId="5EC5C61B" w14:textId="77777777" w:rsidR="00C1528E" w:rsidRDefault="00C1528E" w:rsidP="002B55BD"/>
              </w:tc>
              <w:tc>
                <w:tcPr>
                  <w:tcW w:w="690" w:type="dxa"/>
                </w:tcPr>
                <w:p w14:paraId="644DDD3D" w14:textId="77777777" w:rsidR="00C1528E" w:rsidRDefault="00C1528E" w:rsidP="002B55BD"/>
              </w:tc>
              <w:tc>
                <w:tcPr>
                  <w:tcW w:w="690" w:type="dxa"/>
                </w:tcPr>
                <w:p w14:paraId="1A2D486D" w14:textId="77777777" w:rsidR="00C1528E" w:rsidRDefault="00C1528E" w:rsidP="002B55BD"/>
              </w:tc>
              <w:tc>
                <w:tcPr>
                  <w:tcW w:w="2160" w:type="dxa"/>
                </w:tcPr>
                <w:p w14:paraId="56403A37" w14:textId="77777777" w:rsidR="00C1528E" w:rsidRDefault="00C1528E" w:rsidP="002B55BD"/>
              </w:tc>
            </w:tr>
            <w:tr w:rsidR="00C1528E" w14:paraId="284E64A7" w14:textId="77777777" w:rsidTr="002B55BD">
              <w:trPr>
                <w:trHeight w:hRule="exact" w:val="1234"/>
              </w:trPr>
              <w:tc>
                <w:tcPr>
                  <w:tcW w:w="540" w:type="dxa"/>
                </w:tcPr>
                <w:p w14:paraId="7C319273" w14:textId="77777777" w:rsidR="00C1528E" w:rsidRDefault="00C1528E" w:rsidP="002B55BD">
                  <w:pPr>
                    <w:pStyle w:val="Header"/>
                    <w:jc w:val="center"/>
                  </w:pPr>
                </w:p>
              </w:tc>
              <w:tc>
                <w:tcPr>
                  <w:tcW w:w="4500" w:type="dxa"/>
                  <w:vAlign w:val="center"/>
                </w:tcPr>
                <w:p w14:paraId="14CC41C9" w14:textId="77777777" w:rsidR="00C1528E" w:rsidRDefault="00C1528E" w:rsidP="002B55BD">
                  <w:r>
                    <w:t>A payment bond from the contractor:</w:t>
                  </w:r>
                </w:p>
                <w:p w14:paraId="7B04872B" w14:textId="77777777" w:rsidR="00C1528E" w:rsidRDefault="00C1528E" w:rsidP="002B55BD"/>
                <w:p w14:paraId="77C283F0" w14:textId="77777777" w:rsidR="00C1528E" w:rsidRDefault="00C1528E" w:rsidP="00C1528E">
                  <w:pPr>
                    <w:numPr>
                      <w:ilvl w:val="0"/>
                      <w:numId w:val="12"/>
                    </w:numPr>
                    <w:spacing w:after="0" w:line="240" w:lineRule="auto"/>
                  </w:pPr>
                  <w:r>
                    <w:t>50% for contracts under $100,000</w:t>
                  </w:r>
                </w:p>
                <w:p w14:paraId="7C4C902F" w14:textId="77777777" w:rsidR="00C1528E" w:rsidRDefault="00C1528E" w:rsidP="00C1528E">
                  <w:pPr>
                    <w:numPr>
                      <w:ilvl w:val="0"/>
                      <w:numId w:val="12"/>
                    </w:numPr>
                    <w:spacing w:after="0" w:line="240" w:lineRule="auto"/>
                  </w:pPr>
                  <w:r>
                    <w:t>100% for contracts $100,000 or over</w:t>
                  </w:r>
                </w:p>
              </w:tc>
              <w:tc>
                <w:tcPr>
                  <w:tcW w:w="690" w:type="dxa"/>
                </w:tcPr>
                <w:p w14:paraId="204460F9" w14:textId="77777777" w:rsidR="00C1528E" w:rsidRDefault="00C1528E" w:rsidP="002B55BD"/>
              </w:tc>
              <w:tc>
                <w:tcPr>
                  <w:tcW w:w="690" w:type="dxa"/>
                </w:tcPr>
                <w:p w14:paraId="7A48FAB5" w14:textId="77777777" w:rsidR="00C1528E" w:rsidRDefault="00C1528E" w:rsidP="002B55BD"/>
              </w:tc>
              <w:tc>
                <w:tcPr>
                  <w:tcW w:w="690" w:type="dxa"/>
                </w:tcPr>
                <w:p w14:paraId="5CC6F22E" w14:textId="77777777" w:rsidR="00C1528E" w:rsidRDefault="00C1528E" w:rsidP="002B55BD"/>
              </w:tc>
              <w:tc>
                <w:tcPr>
                  <w:tcW w:w="2160" w:type="dxa"/>
                </w:tcPr>
                <w:p w14:paraId="5745B570" w14:textId="77777777" w:rsidR="00C1528E" w:rsidRDefault="00C1528E" w:rsidP="002B55BD"/>
              </w:tc>
            </w:tr>
          </w:tbl>
          <w:p w14:paraId="627821C6" w14:textId="77777777" w:rsidR="00C1528E" w:rsidRDefault="00C1528E" w:rsidP="002B55BD">
            <w: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0"/>
              <w:gridCol w:w="690"/>
              <w:gridCol w:w="690"/>
              <w:gridCol w:w="690"/>
              <w:gridCol w:w="2160"/>
            </w:tblGrid>
            <w:tr w:rsidR="00C1528E" w14:paraId="524A5BB3" w14:textId="77777777" w:rsidTr="002B55BD">
              <w:trPr>
                <w:trHeight w:hRule="exact" w:val="271"/>
              </w:trPr>
              <w:tc>
                <w:tcPr>
                  <w:tcW w:w="540" w:type="dxa"/>
                  <w:tcBorders>
                    <w:top w:val="nil"/>
                    <w:left w:val="nil"/>
                    <w:bottom w:val="nil"/>
                    <w:right w:val="nil"/>
                  </w:tcBorders>
                </w:tcPr>
                <w:p w14:paraId="35B4913B" w14:textId="77777777" w:rsidR="00C1528E" w:rsidRDefault="00C1528E" w:rsidP="002B55BD">
                  <w:pPr>
                    <w:pStyle w:val="Header"/>
                  </w:pPr>
                </w:p>
              </w:tc>
              <w:tc>
                <w:tcPr>
                  <w:tcW w:w="4500" w:type="dxa"/>
                  <w:tcBorders>
                    <w:top w:val="nil"/>
                    <w:left w:val="nil"/>
                    <w:bottom w:val="nil"/>
                    <w:right w:val="nil"/>
                  </w:tcBorders>
                  <w:vAlign w:val="center"/>
                </w:tcPr>
                <w:p w14:paraId="6B345847" w14:textId="77777777" w:rsidR="00C1528E" w:rsidRDefault="00C1528E" w:rsidP="002B55BD"/>
              </w:tc>
              <w:tc>
                <w:tcPr>
                  <w:tcW w:w="690" w:type="dxa"/>
                  <w:tcBorders>
                    <w:top w:val="nil"/>
                    <w:left w:val="nil"/>
                    <w:bottom w:val="nil"/>
                    <w:right w:val="nil"/>
                  </w:tcBorders>
                  <w:vAlign w:val="bottom"/>
                </w:tcPr>
                <w:p w14:paraId="522B7F72" w14:textId="77777777" w:rsidR="00C1528E" w:rsidRDefault="00C1528E" w:rsidP="002B55BD">
                  <w:pPr>
                    <w:jc w:val="center"/>
                  </w:pPr>
                  <w:r>
                    <w:t>Yes</w:t>
                  </w:r>
                </w:p>
              </w:tc>
              <w:tc>
                <w:tcPr>
                  <w:tcW w:w="690" w:type="dxa"/>
                  <w:tcBorders>
                    <w:top w:val="nil"/>
                    <w:left w:val="nil"/>
                    <w:bottom w:val="nil"/>
                    <w:right w:val="nil"/>
                  </w:tcBorders>
                  <w:vAlign w:val="bottom"/>
                </w:tcPr>
                <w:p w14:paraId="69C528BB" w14:textId="77777777" w:rsidR="00C1528E" w:rsidRDefault="00C1528E" w:rsidP="002B55BD">
                  <w:pPr>
                    <w:jc w:val="center"/>
                  </w:pPr>
                  <w:r>
                    <w:t>No</w:t>
                  </w:r>
                </w:p>
              </w:tc>
              <w:tc>
                <w:tcPr>
                  <w:tcW w:w="690" w:type="dxa"/>
                  <w:tcBorders>
                    <w:top w:val="nil"/>
                    <w:left w:val="nil"/>
                    <w:bottom w:val="nil"/>
                    <w:right w:val="nil"/>
                  </w:tcBorders>
                  <w:vAlign w:val="bottom"/>
                </w:tcPr>
                <w:p w14:paraId="4BB8727D" w14:textId="77777777" w:rsidR="00C1528E" w:rsidRDefault="00C1528E" w:rsidP="002B55BD">
                  <w:pPr>
                    <w:jc w:val="center"/>
                  </w:pPr>
                  <w:r>
                    <w:t>N/A</w:t>
                  </w:r>
                </w:p>
              </w:tc>
              <w:tc>
                <w:tcPr>
                  <w:tcW w:w="2160" w:type="dxa"/>
                  <w:tcBorders>
                    <w:top w:val="nil"/>
                    <w:left w:val="nil"/>
                    <w:bottom w:val="nil"/>
                    <w:right w:val="nil"/>
                  </w:tcBorders>
                  <w:vAlign w:val="bottom"/>
                </w:tcPr>
                <w:p w14:paraId="7E0CF61B" w14:textId="77777777" w:rsidR="00C1528E" w:rsidRDefault="00C1528E" w:rsidP="002B55BD">
                  <w:pPr>
                    <w:jc w:val="center"/>
                  </w:pPr>
                  <w:r>
                    <w:t>Notes</w:t>
                  </w:r>
                </w:p>
              </w:tc>
            </w:tr>
            <w:tr w:rsidR="00C1528E" w14:paraId="0C8FC87E" w14:textId="77777777" w:rsidTr="002B55BD">
              <w:trPr>
                <w:trHeight w:hRule="exact" w:val="721"/>
              </w:trPr>
              <w:tc>
                <w:tcPr>
                  <w:tcW w:w="540" w:type="dxa"/>
                </w:tcPr>
                <w:p w14:paraId="09ACBF77" w14:textId="77777777" w:rsidR="00C1528E" w:rsidRDefault="00C1528E" w:rsidP="002B55BD">
                  <w:pPr>
                    <w:pStyle w:val="Header"/>
                    <w:jc w:val="center"/>
                  </w:pPr>
                </w:p>
              </w:tc>
              <w:tc>
                <w:tcPr>
                  <w:tcW w:w="4500" w:type="dxa"/>
                  <w:vAlign w:val="center"/>
                </w:tcPr>
                <w:p w14:paraId="4339FF1D" w14:textId="77777777" w:rsidR="00C1528E" w:rsidRDefault="00C1528E" w:rsidP="00C1528E">
                  <w:pPr>
                    <w:numPr>
                      <w:ilvl w:val="0"/>
                      <w:numId w:val="9"/>
                    </w:numPr>
                    <w:spacing w:after="0" w:line="240" w:lineRule="auto"/>
                  </w:pPr>
                  <w:r>
                    <w:t>Evidence of insurance as required by bid documents?</w:t>
                  </w:r>
                </w:p>
              </w:tc>
              <w:tc>
                <w:tcPr>
                  <w:tcW w:w="690" w:type="dxa"/>
                </w:tcPr>
                <w:p w14:paraId="22FCCEEF" w14:textId="77777777" w:rsidR="00C1528E" w:rsidRDefault="00C1528E" w:rsidP="002B55BD"/>
              </w:tc>
              <w:tc>
                <w:tcPr>
                  <w:tcW w:w="690" w:type="dxa"/>
                </w:tcPr>
                <w:p w14:paraId="579B60AB" w14:textId="77777777" w:rsidR="00C1528E" w:rsidRDefault="00C1528E" w:rsidP="002B55BD"/>
              </w:tc>
              <w:tc>
                <w:tcPr>
                  <w:tcW w:w="690" w:type="dxa"/>
                </w:tcPr>
                <w:p w14:paraId="7ED862A6" w14:textId="77777777" w:rsidR="00C1528E" w:rsidRDefault="00C1528E" w:rsidP="002B55BD"/>
              </w:tc>
              <w:tc>
                <w:tcPr>
                  <w:tcW w:w="2160" w:type="dxa"/>
                </w:tcPr>
                <w:p w14:paraId="4E4D7509" w14:textId="77777777" w:rsidR="00C1528E" w:rsidRDefault="00C1528E" w:rsidP="002B55BD"/>
              </w:tc>
            </w:tr>
            <w:tr w:rsidR="00C1528E" w14:paraId="797D60FB" w14:textId="77777777" w:rsidTr="002B55BD">
              <w:trPr>
                <w:trHeight w:hRule="exact" w:val="1212"/>
              </w:trPr>
              <w:tc>
                <w:tcPr>
                  <w:tcW w:w="540" w:type="dxa"/>
                </w:tcPr>
                <w:p w14:paraId="030B44AC" w14:textId="77777777" w:rsidR="00C1528E" w:rsidRDefault="00C1528E" w:rsidP="002B55BD">
                  <w:r>
                    <w:t>E.</w:t>
                  </w:r>
                </w:p>
              </w:tc>
              <w:tc>
                <w:tcPr>
                  <w:tcW w:w="4500" w:type="dxa"/>
                  <w:vAlign w:val="center"/>
                </w:tcPr>
                <w:p w14:paraId="6256251E" w14:textId="77777777" w:rsidR="00C1528E" w:rsidRDefault="00C1528E" w:rsidP="002B55BD">
                  <w:r>
                    <w:t>For contracts $100,000 or over, were the bid documents and contract awards processes certified to by the grantee’s attorney?</w:t>
                  </w:r>
                </w:p>
              </w:tc>
              <w:tc>
                <w:tcPr>
                  <w:tcW w:w="690" w:type="dxa"/>
                </w:tcPr>
                <w:p w14:paraId="1DDAD74E" w14:textId="77777777" w:rsidR="00C1528E" w:rsidRDefault="00C1528E" w:rsidP="002B55BD"/>
              </w:tc>
              <w:tc>
                <w:tcPr>
                  <w:tcW w:w="690" w:type="dxa"/>
                </w:tcPr>
                <w:p w14:paraId="6F8288ED" w14:textId="77777777" w:rsidR="00C1528E" w:rsidRDefault="00C1528E" w:rsidP="002B55BD"/>
              </w:tc>
              <w:tc>
                <w:tcPr>
                  <w:tcW w:w="690" w:type="dxa"/>
                </w:tcPr>
                <w:p w14:paraId="7DCBD1C6" w14:textId="77777777" w:rsidR="00C1528E" w:rsidRDefault="00C1528E" w:rsidP="002B55BD"/>
              </w:tc>
              <w:tc>
                <w:tcPr>
                  <w:tcW w:w="2160" w:type="dxa"/>
                </w:tcPr>
                <w:p w14:paraId="0F3B8581" w14:textId="77777777" w:rsidR="00C1528E" w:rsidRDefault="00C1528E" w:rsidP="002B55BD"/>
              </w:tc>
            </w:tr>
            <w:tr w:rsidR="00C1528E" w14:paraId="6683EB84" w14:textId="77777777" w:rsidTr="00965655">
              <w:trPr>
                <w:trHeight w:hRule="exact" w:val="1378"/>
              </w:trPr>
              <w:tc>
                <w:tcPr>
                  <w:tcW w:w="540" w:type="dxa"/>
                  <w:tcBorders>
                    <w:top w:val="single" w:sz="4" w:space="0" w:color="auto"/>
                    <w:left w:val="single" w:sz="4" w:space="0" w:color="auto"/>
                    <w:bottom w:val="single" w:sz="4" w:space="0" w:color="auto"/>
                    <w:right w:val="single" w:sz="4" w:space="0" w:color="auto"/>
                  </w:tcBorders>
                </w:tcPr>
                <w:p w14:paraId="59FE6316" w14:textId="77777777" w:rsidR="00C1528E" w:rsidRDefault="00C1528E" w:rsidP="002B55BD">
                  <w:r>
                    <w:t>F.</w:t>
                  </w:r>
                </w:p>
              </w:tc>
              <w:tc>
                <w:tcPr>
                  <w:tcW w:w="4500" w:type="dxa"/>
                  <w:tcBorders>
                    <w:top w:val="single" w:sz="4" w:space="0" w:color="auto"/>
                    <w:left w:val="single" w:sz="4" w:space="0" w:color="auto"/>
                    <w:bottom w:val="single" w:sz="4" w:space="0" w:color="auto"/>
                    <w:right w:val="single" w:sz="4" w:space="0" w:color="auto"/>
                  </w:tcBorders>
                  <w:vAlign w:val="center"/>
                </w:tcPr>
                <w:p w14:paraId="0F2C1E09" w14:textId="77777777" w:rsidR="00C1528E" w:rsidRDefault="00C1528E" w:rsidP="002B55BD">
                  <w:r>
                    <w:t>Was the Beason-Hammon Clause included in the contract?</w:t>
                  </w:r>
                </w:p>
                <w:p w14:paraId="2A88E6FC" w14:textId="77777777" w:rsidR="00C1528E" w:rsidRDefault="00C1528E" w:rsidP="002B55BD">
                  <w:r>
                    <w:t>(Any contract or amendment with an effective date of 4/1/12 or later.)</w:t>
                  </w:r>
                </w:p>
              </w:tc>
              <w:tc>
                <w:tcPr>
                  <w:tcW w:w="690" w:type="dxa"/>
                  <w:tcBorders>
                    <w:top w:val="single" w:sz="4" w:space="0" w:color="auto"/>
                    <w:left w:val="single" w:sz="4" w:space="0" w:color="auto"/>
                    <w:bottom w:val="single" w:sz="4" w:space="0" w:color="auto"/>
                    <w:right w:val="single" w:sz="4" w:space="0" w:color="auto"/>
                  </w:tcBorders>
                </w:tcPr>
                <w:p w14:paraId="61120F5C" w14:textId="77777777" w:rsidR="00C1528E" w:rsidRDefault="00C1528E" w:rsidP="002B55BD"/>
              </w:tc>
              <w:tc>
                <w:tcPr>
                  <w:tcW w:w="690" w:type="dxa"/>
                  <w:tcBorders>
                    <w:top w:val="single" w:sz="4" w:space="0" w:color="auto"/>
                    <w:left w:val="single" w:sz="4" w:space="0" w:color="auto"/>
                    <w:bottom w:val="single" w:sz="4" w:space="0" w:color="auto"/>
                    <w:right w:val="single" w:sz="4" w:space="0" w:color="auto"/>
                  </w:tcBorders>
                </w:tcPr>
                <w:p w14:paraId="0CE43702" w14:textId="77777777" w:rsidR="00C1528E" w:rsidRDefault="00C1528E" w:rsidP="002B55BD"/>
              </w:tc>
              <w:tc>
                <w:tcPr>
                  <w:tcW w:w="690" w:type="dxa"/>
                  <w:tcBorders>
                    <w:top w:val="single" w:sz="4" w:space="0" w:color="auto"/>
                    <w:left w:val="single" w:sz="4" w:space="0" w:color="auto"/>
                    <w:bottom w:val="single" w:sz="4" w:space="0" w:color="auto"/>
                    <w:right w:val="single" w:sz="4" w:space="0" w:color="auto"/>
                  </w:tcBorders>
                </w:tcPr>
                <w:p w14:paraId="2A1F017F" w14:textId="77777777" w:rsidR="00C1528E" w:rsidRDefault="00C1528E" w:rsidP="002B55BD"/>
              </w:tc>
              <w:tc>
                <w:tcPr>
                  <w:tcW w:w="2160" w:type="dxa"/>
                  <w:tcBorders>
                    <w:top w:val="single" w:sz="4" w:space="0" w:color="auto"/>
                    <w:left w:val="single" w:sz="4" w:space="0" w:color="auto"/>
                    <w:bottom w:val="single" w:sz="4" w:space="0" w:color="auto"/>
                    <w:right w:val="single" w:sz="4" w:space="0" w:color="auto"/>
                  </w:tcBorders>
                </w:tcPr>
                <w:p w14:paraId="028940B4" w14:textId="77777777" w:rsidR="00C1528E" w:rsidRDefault="00C1528E" w:rsidP="002B55BD"/>
              </w:tc>
            </w:tr>
            <w:tr w:rsidR="00C1528E" w14:paraId="47B84C38" w14:textId="77777777" w:rsidTr="00965655">
              <w:trPr>
                <w:trHeight w:hRule="exact" w:val="1972"/>
              </w:trPr>
              <w:tc>
                <w:tcPr>
                  <w:tcW w:w="540" w:type="dxa"/>
                  <w:tcBorders>
                    <w:top w:val="single" w:sz="4" w:space="0" w:color="auto"/>
                    <w:left w:val="single" w:sz="4" w:space="0" w:color="auto"/>
                    <w:bottom w:val="single" w:sz="4" w:space="0" w:color="auto"/>
                    <w:right w:val="single" w:sz="4" w:space="0" w:color="auto"/>
                  </w:tcBorders>
                </w:tcPr>
                <w:p w14:paraId="6DEF14A6" w14:textId="77777777" w:rsidR="00C1528E" w:rsidRDefault="00C1528E" w:rsidP="002B55BD">
                  <w:r>
                    <w:t>G.</w:t>
                  </w:r>
                </w:p>
              </w:tc>
              <w:tc>
                <w:tcPr>
                  <w:tcW w:w="4500" w:type="dxa"/>
                  <w:tcBorders>
                    <w:top w:val="single" w:sz="4" w:space="0" w:color="auto"/>
                    <w:left w:val="single" w:sz="4" w:space="0" w:color="auto"/>
                    <w:bottom w:val="single" w:sz="4" w:space="0" w:color="auto"/>
                    <w:right w:val="single" w:sz="4" w:space="0" w:color="auto"/>
                  </w:tcBorders>
                  <w:vAlign w:val="center"/>
                </w:tcPr>
                <w:p w14:paraId="07F81227" w14:textId="77777777" w:rsidR="00C1528E" w:rsidRDefault="00C1528E" w:rsidP="002B55BD">
                  <w:r>
                    <w:t>Did the grantee maintain a copy of the Certification of Compliance with the Beason-Hammon Act and the E-Verify MOU in the CDBG Program Files?</w:t>
                  </w:r>
                </w:p>
                <w:p w14:paraId="52DD20BB" w14:textId="77777777" w:rsidR="00C1528E" w:rsidRDefault="00C1528E" w:rsidP="002B55BD">
                  <w:r>
                    <w:t>(Any contract or amendment with an effective date of 4/1/12 or later.)</w:t>
                  </w:r>
                </w:p>
                <w:p w14:paraId="083D997A" w14:textId="77777777" w:rsidR="00C1528E" w:rsidRDefault="00C1528E" w:rsidP="002B55BD"/>
              </w:tc>
              <w:tc>
                <w:tcPr>
                  <w:tcW w:w="690" w:type="dxa"/>
                  <w:tcBorders>
                    <w:top w:val="single" w:sz="4" w:space="0" w:color="auto"/>
                    <w:left w:val="single" w:sz="4" w:space="0" w:color="auto"/>
                    <w:bottom w:val="single" w:sz="4" w:space="0" w:color="auto"/>
                    <w:right w:val="single" w:sz="4" w:space="0" w:color="auto"/>
                  </w:tcBorders>
                </w:tcPr>
                <w:p w14:paraId="3E35943E" w14:textId="77777777" w:rsidR="00C1528E" w:rsidRDefault="00C1528E" w:rsidP="002B55BD"/>
              </w:tc>
              <w:tc>
                <w:tcPr>
                  <w:tcW w:w="690" w:type="dxa"/>
                  <w:tcBorders>
                    <w:top w:val="single" w:sz="4" w:space="0" w:color="auto"/>
                    <w:left w:val="single" w:sz="4" w:space="0" w:color="auto"/>
                    <w:bottom w:val="single" w:sz="4" w:space="0" w:color="auto"/>
                    <w:right w:val="single" w:sz="4" w:space="0" w:color="auto"/>
                  </w:tcBorders>
                </w:tcPr>
                <w:p w14:paraId="2884EDD5" w14:textId="77777777" w:rsidR="00C1528E" w:rsidRDefault="00C1528E" w:rsidP="002B55BD"/>
              </w:tc>
              <w:tc>
                <w:tcPr>
                  <w:tcW w:w="690" w:type="dxa"/>
                  <w:tcBorders>
                    <w:top w:val="single" w:sz="4" w:space="0" w:color="auto"/>
                    <w:left w:val="single" w:sz="4" w:space="0" w:color="auto"/>
                    <w:bottom w:val="single" w:sz="4" w:space="0" w:color="auto"/>
                    <w:right w:val="single" w:sz="4" w:space="0" w:color="auto"/>
                  </w:tcBorders>
                </w:tcPr>
                <w:p w14:paraId="0EA4E005" w14:textId="77777777" w:rsidR="00C1528E" w:rsidRDefault="00C1528E" w:rsidP="002B55BD"/>
              </w:tc>
              <w:tc>
                <w:tcPr>
                  <w:tcW w:w="2160" w:type="dxa"/>
                  <w:tcBorders>
                    <w:top w:val="single" w:sz="4" w:space="0" w:color="auto"/>
                    <w:left w:val="single" w:sz="4" w:space="0" w:color="auto"/>
                    <w:bottom w:val="single" w:sz="4" w:space="0" w:color="auto"/>
                    <w:right w:val="single" w:sz="4" w:space="0" w:color="auto"/>
                  </w:tcBorders>
                </w:tcPr>
                <w:p w14:paraId="6632D8E9" w14:textId="77777777" w:rsidR="00C1528E" w:rsidRDefault="00C1528E" w:rsidP="002B55BD"/>
              </w:tc>
            </w:tr>
          </w:tbl>
          <w:p w14:paraId="0450D790" w14:textId="77777777" w:rsidR="00C1528E" w:rsidRDefault="00C1528E" w:rsidP="002B55BD">
            <w:pPr>
              <w:pStyle w:val="Footer"/>
            </w:pPr>
          </w:p>
          <w:p w14:paraId="2C6A7346" w14:textId="77777777" w:rsidR="00C1528E" w:rsidRDefault="00C1528E" w:rsidP="002B55BD">
            <w:pPr>
              <w:pStyle w:val="Footer"/>
              <w:tabs>
                <w:tab w:val="left" w:pos="720"/>
              </w:tabs>
              <w:rPr>
                <w:b/>
              </w:rPr>
            </w:pPr>
            <w:r>
              <w:rPr>
                <w:b/>
              </w:rPr>
              <w:t>IV.</w:t>
            </w:r>
            <w:r>
              <w:rPr>
                <w:b/>
              </w:rPr>
              <w:tab/>
              <w:t>General Conditions</w:t>
            </w:r>
          </w:p>
          <w:p w14:paraId="0AD5149B" w14:textId="77777777" w:rsidR="00C1528E" w:rsidRDefault="00C1528E" w:rsidP="002B55BD">
            <w:pPr>
              <w:pStyle w:val="Foote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0"/>
              <w:gridCol w:w="690"/>
              <w:gridCol w:w="690"/>
              <w:gridCol w:w="690"/>
              <w:gridCol w:w="2160"/>
            </w:tblGrid>
            <w:tr w:rsidR="00C1528E" w14:paraId="29CA50E7" w14:textId="77777777" w:rsidTr="002B55BD">
              <w:trPr>
                <w:trHeight w:hRule="exact" w:val="1045"/>
              </w:trPr>
              <w:tc>
                <w:tcPr>
                  <w:tcW w:w="540" w:type="dxa"/>
                  <w:tcBorders>
                    <w:top w:val="single" w:sz="4" w:space="0" w:color="auto"/>
                  </w:tcBorders>
                </w:tcPr>
                <w:p w14:paraId="2B843F6C" w14:textId="77777777" w:rsidR="00C1528E" w:rsidRDefault="00C1528E" w:rsidP="002B55BD">
                  <w:pPr>
                    <w:pStyle w:val="Footer"/>
                  </w:pPr>
                  <w:r>
                    <w:t>A.</w:t>
                  </w:r>
                </w:p>
              </w:tc>
              <w:tc>
                <w:tcPr>
                  <w:tcW w:w="4500" w:type="dxa"/>
                  <w:tcBorders>
                    <w:top w:val="single" w:sz="4" w:space="0" w:color="auto"/>
                  </w:tcBorders>
                  <w:vAlign w:val="center"/>
                </w:tcPr>
                <w:p w14:paraId="0B81E628" w14:textId="77777777" w:rsidR="00C1528E" w:rsidRDefault="00C1528E" w:rsidP="002B55BD">
                  <w:r>
                    <w:t>Does the contract require the contractors to keep all records for five years and to provide access to records?</w:t>
                  </w:r>
                </w:p>
                <w:p w14:paraId="116750CB" w14:textId="77777777" w:rsidR="00C1528E" w:rsidRDefault="00C1528E" w:rsidP="002B55BD"/>
              </w:tc>
              <w:tc>
                <w:tcPr>
                  <w:tcW w:w="690" w:type="dxa"/>
                  <w:tcBorders>
                    <w:top w:val="single" w:sz="4" w:space="0" w:color="auto"/>
                  </w:tcBorders>
                </w:tcPr>
                <w:p w14:paraId="4393416E" w14:textId="77777777" w:rsidR="00C1528E" w:rsidRDefault="00C1528E" w:rsidP="002B55BD"/>
              </w:tc>
              <w:tc>
                <w:tcPr>
                  <w:tcW w:w="690" w:type="dxa"/>
                  <w:tcBorders>
                    <w:top w:val="single" w:sz="4" w:space="0" w:color="auto"/>
                  </w:tcBorders>
                </w:tcPr>
                <w:p w14:paraId="0341EFF5" w14:textId="77777777" w:rsidR="00C1528E" w:rsidRDefault="00C1528E" w:rsidP="002B55BD"/>
              </w:tc>
              <w:tc>
                <w:tcPr>
                  <w:tcW w:w="690" w:type="dxa"/>
                  <w:tcBorders>
                    <w:top w:val="single" w:sz="4" w:space="0" w:color="auto"/>
                  </w:tcBorders>
                </w:tcPr>
                <w:p w14:paraId="139F3910" w14:textId="77777777" w:rsidR="00C1528E" w:rsidRDefault="00C1528E" w:rsidP="002B55BD"/>
              </w:tc>
              <w:tc>
                <w:tcPr>
                  <w:tcW w:w="2160" w:type="dxa"/>
                  <w:tcBorders>
                    <w:top w:val="single" w:sz="4" w:space="0" w:color="auto"/>
                  </w:tcBorders>
                </w:tcPr>
                <w:p w14:paraId="5E5CD0FD" w14:textId="77777777" w:rsidR="00C1528E" w:rsidRDefault="00C1528E" w:rsidP="002B55BD"/>
              </w:tc>
            </w:tr>
            <w:tr w:rsidR="00C1528E" w14:paraId="330DB815" w14:textId="77777777" w:rsidTr="002B55BD">
              <w:trPr>
                <w:trHeight w:hRule="exact" w:val="892"/>
              </w:trPr>
              <w:tc>
                <w:tcPr>
                  <w:tcW w:w="540" w:type="dxa"/>
                  <w:tcBorders>
                    <w:top w:val="single" w:sz="4" w:space="0" w:color="auto"/>
                  </w:tcBorders>
                </w:tcPr>
                <w:p w14:paraId="518E8356" w14:textId="77777777" w:rsidR="00C1528E" w:rsidRDefault="00C1528E" w:rsidP="002B55BD">
                  <w:pPr>
                    <w:pStyle w:val="Footer"/>
                  </w:pPr>
                  <w:r>
                    <w:t>B.</w:t>
                  </w:r>
                </w:p>
              </w:tc>
              <w:tc>
                <w:tcPr>
                  <w:tcW w:w="4500" w:type="dxa"/>
                  <w:tcBorders>
                    <w:top w:val="single" w:sz="4" w:space="0" w:color="auto"/>
                  </w:tcBorders>
                  <w:vAlign w:val="center"/>
                </w:tcPr>
                <w:p w14:paraId="635156C7" w14:textId="77777777" w:rsidR="00C1528E" w:rsidRDefault="00C1528E" w:rsidP="002B55BD">
                  <w:r>
                    <w:t>Does the contract provide for legal remedies for breach of contract by the contractor?</w:t>
                  </w:r>
                </w:p>
              </w:tc>
              <w:tc>
                <w:tcPr>
                  <w:tcW w:w="690" w:type="dxa"/>
                  <w:tcBorders>
                    <w:top w:val="single" w:sz="4" w:space="0" w:color="auto"/>
                  </w:tcBorders>
                </w:tcPr>
                <w:p w14:paraId="427AF6A5" w14:textId="77777777" w:rsidR="00C1528E" w:rsidRDefault="00C1528E" w:rsidP="002B55BD"/>
              </w:tc>
              <w:tc>
                <w:tcPr>
                  <w:tcW w:w="690" w:type="dxa"/>
                  <w:tcBorders>
                    <w:top w:val="single" w:sz="4" w:space="0" w:color="auto"/>
                  </w:tcBorders>
                </w:tcPr>
                <w:p w14:paraId="0254F66E" w14:textId="77777777" w:rsidR="00C1528E" w:rsidRDefault="00C1528E" w:rsidP="002B55BD"/>
              </w:tc>
              <w:tc>
                <w:tcPr>
                  <w:tcW w:w="690" w:type="dxa"/>
                  <w:tcBorders>
                    <w:top w:val="single" w:sz="4" w:space="0" w:color="auto"/>
                  </w:tcBorders>
                </w:tcPr>
                <w:p w14:paraId="107E8F50" w14:textId="77777777" w:rsidR="00C1528E" w:rsidRDefault="00C1528E" w:rsidP="002B55BD"/>
              </w:tc>
              <w:tc>
                <w:tcPr>
                  <w:tcW w:w="2160" w:type="dxa"/>
                  <w:tcBorders>
                    <w:top w:val="single" w:sz="4" w:space="0" w:color="auto"/>
                  </w:tcBorders>
                </w:tcPr>
                <w:p w14:paraId="624CB020" w14:textId="77777777" w:rsidR="00C1528E" w:rsidRDefault="00C1528E" w:rsidP="002B55BD"/>
              </w:tc>
            </w:tr>
            <w:tr w:rsidR="00C1528E" w14:paraId="7BF73BA3" w14:textId="77777777" w:rsidTr="002B55BD">
              <w:trPr>
                <w:trHeight w:hRule="exact" w:val="1171"/>
              </w:trPr>
              <w:tc>
                <w:tcPr>
                  <w:tcW w:w="540" w:type="dxa"/>
                  <w:tcBorders>
                    <w:top w:val="single" w:sz="4" w:space="0" w:color="auto"/>
                  </w:tcBorders>
                </w:tcPr>
                <w:p w14:paraId="305BCC28" w14:textId="77777777" w:rsidR="00C1528E" w:rsidRDefault="00C1528E" w:rsidP="002B55BD">
                  <w:pPr>
                    <w:pStyle w:val="Footer"/>
                  </w:pPr>
                  <w:r>
                    <w:t>C.</w:t>
                  </w:r>
                </w:p>
              </w:tc>
              <w:tc>
                <w:tcPr>
                  <w:tcW w:w="4500" w:type="dxa"/>
                  <w:tcBorders>
                    <w:top w:val="single" w:sz="4" w:space="0" w:color="auto"/>
                  </w:tcBorders>
                  <w:vAlign w:val="center"/>
                </w:tcPr>
                <w:p w14:paraId="4CB3DBCB" w14:textId="77777777" w:rsidR="00C1528E" w:rsidRDefault="00C1528E" w:rsidP="002B55BD">
                  <w:r>
                    <w:t>Does the contract provide a termination clause for the grantee stating conditions under which this can happen in contracts over $10,000?</w:t>
                  </w:r>
                </w:p>
              </w:tc>
              <w:tc>
                <w:tcPr>
                  <w:tcW w:w="690" w:type="dxa"/>
                  <w:tcBorders>
                    <w:top w:val="single" w:sz="4" w:space="0" w:color="auto"/>
                  </w:tcBorders>
                </w:tcPr>
                <w:p w14:paraId="2B03DC9B" w14:textId="77777777" w:rsidR="00C1528E" w:rsidRDefault="00C1528E" w:rsidP="002B55BD"/>
              </w:tc>
              <w:tc>
                <w:tcPr>
                  <w:tcW w:w="690" w:type="dxa"/>
                  <w:tcBorders>
                    <w:top w:val="single" w:sz="4" w:space="0" w:color="auto"/>
                  </w:tcBorders>
                </w:tcPr>
                <w:p w14:paraId="4E32E253" w14:textId="77777777" w:rsidR="00C1528E" w:rsidRDefault="00C1528E" w:rsidP="002B55BD"/>
              </w:tc>
              <w:tc>
                <w:tcPr>
                  <w:tcW w:w="690" w:type="dxa"/>
                  <w:tcBorders>
                    <w:top w:val="single" w:sz="4" w:space="0" w:color="auto"/>
                  </w:tcBorders>
                </w:tcPr>
                <w:p w14:paraId="112176F4" w14:textId="77777777" w:rsidR="00C1528E" w:rsidRDefault="00C1528E" w:rsidP="002B55BD"/>
              </w:tc>
              <w:tc>
                <w:tcPr>
                  <w:tcW w:w="2160" w:type="dxa"/>
                  <w:tcBorders>
                    <w:top w:val="single" w:sz="4" w:space="0" w:color="auto"/>
                  </w:tcBorders>
                </w:tcPr>
                <w:p w14:paraId="4BDD183A" w14:textId="77777777" w:rsidR="00C1528E" w:rsidRDefault="00C1528E" w:rsidP="002B55BD"/>
              </w:tc>
            </w:tr>
            <w:tr w:rsidR="00C1528E" w14:paraId="6FD44EF5" w14:textId="77777777" w:rsidTr="002B55BD">
              <w:trPr>
                <w:trHeight w:hRule="exact" w:val="640"/>
              </w:trPr>
              <w:tc>
                <w:tcPr>
                  <w:tcW w:w="540" w:type="dxa"/>
                </w:tcPr>
                <w:p w14:paraId="56B7E2DC" w14:textId="77777777" w:rsidR="00C1528E" w:rsidRDefault="00C1528E" w:rsidP="002B55BD">
                  <w:r>
                    <w:t>D.</w:t>
                  </w:r>
                </w:p>
              </w:tc>
              <w:tc>
                <w:tcPr>
                  <w:tcW w:w="4500" w:type="dxa"/>
                  <w:vAlign w:val="center"/>
                </w:tcPr>
                <w:p w14:paraId="6786FB7E" w14:textId="77777777" w:rsidR="00C1528E" w:rsidRDefault="00C1528E" w:rsidP="002B55BD">
                  <w:r>
                    <w:t>Is there any evidence of conflict of interest between the parties involved?</w:t>
                  </w:r>
                </w:p>
              </w:tc>
              <w:tc>
                <w:tcPr>
                  <w:tcW w:w="690" w:type="dxa"/>
                </w:tcPr>
                <w:p w14:paraId="406B0E5B" w14:textId="77777777" w:rsidR="00C1528E" w:rsidRDefault="00C1528E" w:rsidP="002B55BD"/>
              </w:tc>
              <w:tc>
                <w:tcPr>
                  <w:tcW w:w="690" w:type="dxa"/>
                </w:tcPr>
                <w:p w14:paraId="66127D04" w14:textId="77777777" w:rsidR="00C1528E" w:rsidRDefault="00C1528E" w:rsidP="002B55BD"/>
              </w:tc>
              <w:tc>
                <w:tcPr>
                  <w:tcW w:w="690" w:type="dxa"/>
                </w:tcPr>
                <w:p w14:paraId="6E52F8FD" w14:textId="77777777" w:rsidR="00C1528E" w:rsidRDefault="00C1528E" w:rsidP="002B55BD"/>
              </w:tc>
              <w:tc>
                <w:tcPr>
                  <w:tcW w:w="2160" w:type="dxa"/>
                </w:tcPr>
                <w:p w14:paraId="0026E964" w14:textId="77777777" w:rsidR="00C1528E" w:rsidRDefault="00C1528E" w:rsidP="002B55BD"/>
              </w:tc>
            </w:tr>
            <w:tr w:rsidR="00C1528E" w14:paraId="4DB89C3B" w14:textId="77777777" w:rsidTr="002B55BD">
              <w:trPr>
                <w:trHeight w:hRule="exact" w:val="1162"/>
              </w:trPr>
              <w:tc>
                <w:tcPr>
                  <w:tcW w:w="540" w:type="dxa"/>
                  <w:tcBorders>
                    <w:bottom w:val="single" w:sz="4" w:space="0" w:color="auto"/>
                  </w:tcBorders>
                </w:tcPr>
                <w:p w14:paraId="3EE5FE99" w14:textId="77777777" w:rsidR="00C1528E" w:rsidRDefault="00C1528E" w:rsidP="002B55BD">
                  <w:r>
                    <w:lastRenderedPageBreak/>
                    <w:t>E.</w:t>
                  </w:r>
                </w:p>
              </w:tc>
              <w:tc>
                <w:tcPr>
                  <w:tcW w:w="4500" w:type="dxa"/>
                  <w:tcBorders>
                    <w:bottom w:val="single" w:sz="4" w:space="0" w:color="auto"/>
                  </w:tcBorders>
                  <w:vAlign w:val="center"/>
                </w:tcPr>
                <w:p w14:paraId="18650389" w14:textId="77777777" w:rsidR="00C1528E" w:rsidRDefault="00C1528E" w:rsidP="002B55BD">
                  <w:r>
                    <w:t>Were all required labor standards provisions included in bid specifications and contracts? (HUD 4010 or comparable language.)</w:t>
                  </w:r>
                </w:p>
              </w:tc>
              <w:tc>
                <w:tcPr>
                  <w:tcW w:w="690" w:type="dxa"/>
                  <w:tcBorders>
                    <w:bottom w:val="single" w:sz="4" w:space="0" w:color="auto"/>
                  </w:tcBorders>
                </w:tcPr>
                <w:p w14:paraId="76454AF9" w14:textId="77777777" w:rsidR="00C1528E" w:rsidRDefault="00C1528E" w:rsidP="002B55BD"/>
              </w:tc>
              <w:tc>
                <w:tcPr>
                  <w:tcW w:w="690" w:type="dxa"/>
                  <w:tcBorders>
                    <w:bottom w:val="single" w:sz="4" w:space="0" w:color="auto"/>
                  </w:tcBorders>
                </w:tcPr>
                <w:p w14:paraId="5B5A391A" w14:textId="77777777" w:rsidR="00C1528E" w:rsidRDefault="00C1528E" w:rsidP="002B55BD"/>
              </w:tc>
              <w:tc>
                <w:tcPr>
                  <w:tcW w:w="690" w:type="dxa"/>
                  <w:tcBorders>
                    <w:bottom w:val="single" w:sz="4" w:space="0" w:color="auto"/>
                  </w:tcBorders>
                </w:tcPr>
                <w:p w14:paraId="2F4D8405" w14:textId="77777777" w:rsidR="00C1528E" w:rsidRDefault="00C1528E" w:rsidP="002B55BD"/>
              </w:tc>
              <w:tc>
                <w:tcPr>
                  <w:tcW w:w="2160" w:type="dxa"/>
                  <w:tcBorders>
                    <w:bottom w:val="single" w:sz="4" w:space="0" w:color="auto"/>
                  </w:tcBorders>
                </w:tcPr>
                <w:p w14:paraId="4BCE8B08" w14:textId="77777777" w:rsidR="00C1528E" w:rsidRDefault="00C1528E" w:rsidP="002B55BD"/>
              </w:tc>
            </w:tr>
          </w:tbl>
          <w:p w14:paraId="3E4E539B" w14:textId="77777777" w:rsidR="00C1528E" w:rsidRDefault="00C1528E" w:rsidP="002B55BD">
            <w:pPr>
              <w:pStyle w:val="Footer"/>
            </w:pPr>
          </w:p>
          <w:p w14:paraId="5DEA48C8" w14:textId="77777777" w:rsidR="00C1528E" w:rsidRDefault="00C1528E" w:rsidP="002B55BD">
            <w:pPr>
              <w:pStyle w:val="Footer"/>
              <w:rPr>
                <w:b/>
              </w:rPr>
            </w:pPr>
            <w:r>
              <w:rPr>
                <w:b/>
              </w:rPr>
              <w:t>V.     Supplemental General Conditions</w:t>
            </w:r>
          </w:p>
          <w:p w14:paraId="7FF71AF0" w14:textId="77777777" w:rsidR="00C1528E" w:rsidRDefault="00C1528E" w:rsidP="002B55BD">
            <w:pPr>
              <w:pStyle w:val="Foote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0"/>
              <w:gridCol w:w="630"/>
              <w:gridCol w:w="720"/>
              <w:gridCol w:w="720"/>
              <w:gridCol w:w="2160"/>
            </w:tblGrid>
            <w:tr w:rsidR="00C1528E" w14:paraId="64E9A96F" w14:textId="77777777" w:rsidTr="002B55BD">
              <w:trPr>
                <w:trHeight w:hRule="exact" w:val="946"/>
              </w:trPr>
              <w:tc>
                <w:tcPr>
                  <w:tcW w:w="540" w:type="dxa"/>
                  <w:tcBorders>
                    <w:top w:val="single" w:sz="4" w:space="0" w:color="auto"/>
                  </w:tcBorders>
                </w:tcPr>
                <w:p w14:paraId="45D153CF" w14:textId="77777777" w:rsidR="00C1528E" w:rsidRDefault="00C1528E" w:rsidP="002B55BD">
                  <w:pPr>
                    <w:pStyle w:val="Footer"/>
                  </w:pPr>
                  <w:r>
                    <w:t>A.</w:t>
                  </w:r>
                </w:p>
              </w:tc>
              <w:tc>
                <w:tcPr>
                  <w:tcW w:w="4500" w:type="dxa"/>
                  <w:tcBorders>
                    <w:top w:val="single" w:sz="4" w:space="0" w:color="auto"/>
                  </w:tcBorders>
                  <w:vAlign w:val="center"/>
                </w:tcPr>
                <w:p w14:paraId="0A891853" w14:textId="77777777" w:rsidR="00C1528E" w:rsidRDefault="00C1528E" w:rsidP="002B55BD">
                  <w:r>
                    <w:t>Did the contract include clauses for compliance with Executive Order 11246 or E.O. clause?</w:t>
                  </w:r>
                </w:p>
              </w:tc>
              <w:tc>
                <w:tcPr>
                  <w:tcW w:w="630" w:type="dxa"/>
                  <w:tcBorders>
                    <w:top w:val="single" w:sz="4" w:space="0" w:color="auto"/>
                  </w:tcBorders>
                  <w:vAlign w:val="center"/>
                </w:tcPr>
                <w:p w14:paraId="4876DFC0" w14:textId="77777777" w:rsidR="00C1528E" w:rsidRDefault="00C1528E" w:rsidP="002B55BD"/>
              </w:tc>
              <w:tc>
                <w:tcPr>
                  <w:tcW w:w="720" w:type="dxa"/>
                  <w:tcBorders>
                    <w:top w:val="single" w:sz="4" w:space="0" w:color="auto"/>
                  </w:tcBorders>
                </w:tcPr>
                <w:p w14:paraId="13729A0D" w14:textId="77777777" w:rsidR="00C1528E" w:rsidRDefault="00C1528E" w:rsidP="002B55BD"/>
              </w:tc>
              <w:tc>
                <w:tcPr>
                  <w:tcW w:w="720" w:type="dxa"/>
                  <w:tcBorders>
                    <w:top w:val="single" w:sz="4" w:space="0" w:color="auto"/>
                  </w:tcBorders>
                </w:tcPr>
                <w:p w14:paraId="2E8C9B46" w14:textId="77777777" w:rsidR="00C1528E" w:rsidRDefault="00C1528E" w:rsidP="002B55BD"/>
              </w:tc>
              <w:tc>
                <w:tcPr>
                  <w:tcW w:w="2160" w:type="dxa"/>
                  <w:tcBorders>
                    <w:top w:val="single" w:sz="4" w:space="0" w:color="auto"/>
                  </w:tcBorders>
                </w:tcPr>
                <w:p w14:paraId="632D88E5" w14:textId="77777777" w:rsidR="00C1528E" w:rsidRDefault="00C1528E" w:rsidP="002B55BD"/>
              </w:tc>
            </w:tr>
            <w:tr w:rsidR="00C1528E" w14:paraId="2CC7AD12" w14:textId="77777777" w:rsidTr="002B55BD">
              <w:trPr>
                <w:trHeight w:hRule="exact" w:val="703"/>
              </w:trPr>
              <w:tc>
                <w:tcPr>
                  <w:tcW w:w="540" w:type="dxa"/>
                  <w:tcBorders>
                    <w:top w:val="single" w:sz="4" w:space="0" w:color="auto"/>
                  </w:tcBorders>
                </w:tcPr>
                <w:p w14:paraId="7315E4E8" w14:textId="77777777" w:rsidR="00C1528E" w:rsidRDefault="00C1528E" w:rsidP="002B55BD">
                  <w:pPr>
                    <w:pStyle w:val="Footer"/>
                  </w:pPr>
                  <w:r>
                    <w:t>B.</w:t>
                  </w:r>
                </w:p>
              </w:tc>
              <w:tc>
                <w:tcPr>
                  <w:tcW w:w="4500" w:type="dxa"/>
                  <w:tcBorders>
                    <w:top w:val="single" w:sz="4" w:space="0" w:color="auto"/>
                  </w:tcBorders>
                  <w:vAlign w:val="center"/>
                </w:tcPr>
                <w:p w14:paraId="29FB9377" w14:textId="77777777" w:rsidR="00C1528E" w:rsidRDefault="00C1528E" w:rsidP="002B55BD">
                  <w:r>
                    <w:t>Were goals for minority and female participation stated?</w:t>
                  </w:r>
                </w:p>
              </w:tc>
              <w:tc>
                <w:tcPr>
                  <w:tcW w:w="630" w:type="dxa"/>
                  <w:tcBorders>
                    <w:top w:val="single" w:sz="4" w:space="0" w:color="auto"/>
                  </w:tcBorders>
                  <w:vAlign w:val="center"/>
                </w:tcPr>
                <w:p w14:paraId="33550762" w14:textId="77777777" w:rsidR="00C1528E" w:rsidRDefault="00C1528E" w:rsidP="002B55BD"/>
              </w:tc>
              <w:tc>
                <w:tcPr>
                  <w:tcW w:w="720" w:type="dxa"/>
                  <w:tcBorders>
                    <w:top w:val="single" w:sz="4" w:space="0" w:color="auto"/>
                  </w:tcBorders>
                </w:tcPr>
                <w:p w14:paraId="60091B8F" w14:textId="77777777" w:rsidR="00C1528E" w:rsidRDefault="00C1528E" w:rsidP="002B55BD"/>
              </w:tc>
              <w:tc>
                <w:tcPr>
                  <w:tcW w:w="720" w:type="dxa"/>
                  <w:tcBorders>
                    <w:top w:val="single" w:sz="4" w:space="0" w:color="auto"/>
                  </w:tcBorders>
                </w:tcPr>
                <w:p w14:paraId="5873186F" w14:textId="77777777" w:rsidR="00C1528E" w:rsidRDefault="00C1528E" w:rsidP="002B55BD"/>
              </w:tc>
              <w:tc>
                <w:tcPr>
                  <w:tcW w:w="2160" w:type="dxa"/>
                  <w:tcBorders>
                    <w:top w:val="single" w:sz="4" w:space="0" w:color="auto"/>
                  </w:tcBorders>
                </w:tcPr>
                <w:p w14:paraId="527D5235" w14:textId="77777777" w:rsidR="00C1528E" w:rsidRDefault="00C1528E" w:rsidP="002B55BD">
                  <w:pPr>
                    <w:pStyle w:val="Footer"/>
                  </w:pPr>
                </w:p>
              </w:tc>
            </w:tr>
          </w:tbl>
          <w:p w14:paraId="03476203" w14:textId="77777777" w:rsidR="00C1528E" w:rsidRDefault="00C1528E" w:rsidP="002B55BD">
            <w: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0"/>
              <w:gridCol w:w="630"/>
              <w:gridCol w:w="720"/>
              <w:gridCol w:w="720"/>
              <w:gridCol w:w="2160"/>
            </w:tblGrid>
            <w:tr w:rsidR="00C1528E" w14:paraId="2284ACBD" w14:textId="77777777" w:rsidTr="002B55BD">
              <w:trPr>
                <w:trHeight w:hRule="exact" w:val="357"/>
              </w:trPr>
              <w:tc>
                <w:tcPr>
                  <w:tcW w:w="540" w:type="dxa"/>
                  <w:tcBorders>
                    <w:top w:val="nil"/>
                    <w:left w:val="nil"/>
                    <w:bottom w:val="single" w:sz="4" w:space="0" w:color="auto"/>
                    <w:right w:val="nil"/>
                  </w:tcBorders>
                </w:tcPr>
                <w:p w14:paraId="6487B1BA" w14:textId="77777777" w:rsidR="00C1528E" w:rsidRDefault="00C1528E" w:rsidP="002B55BD">
                  <w:pPr>
                    <w:pStyle w:val="Footer"/>
                  </w:pPr>
                  <w:r>
                    <w:br w:type="page"/>
                  </w:r>
                </w:p>
                <w:p w14:paraId="44BA25F5" w14:textId="77777777" w:rsidR="00C1528E" w:rsidRDefault="00C1528E" w:rsidP="002B55BD">
                  <w:pPr>
                    <w:pStyle w:val="Footer"/>
                  </w:pPr>
                </w:p>
                <w:p w14:paraId="344EFC60" w14:textId="77777777" w:rsidR="00C1528E" w:rsidRDefault="00C1528E" w:rsidP="002B55BD">
                  <w:pPr>
                    <w:pStyle w:val="Footer"/>
                  </w:pPr>
                  <w:r>
                    <w:br w:type="page"/>
                  </w:r>
                </w:p>
              </w:tc>
              <w:tc>
                <w:tcPr>
                  <w:tcW w:w="4500" w:type="dxa"/>
                  <w:tcBorders>
                    <w:top w:val="nil"/>
                    <w:left w:val="nil"/>
                    <w:bottom w:val="single" w:sz="4" w:space="0" w:color="auto"/>
                    <w:right w:val="nil"/>
                  </w:tcBorders>
                  <w:vAlign w:val="center"/>
                </w:tcPr>
                <w:p w14:paraId="5534B695" w14:textId="77777777" w:rsidR="00C1528E" w:rsidRDefault="00C1528E" w:rsidP="002B55BD">
                  <w:pPr>
                    <w:jc w:val="center"/>
                  </w:pPr>
                </w:p>
                <w:p w14:paraId="624D4573" w14:textId="77777777" w:rsidR="00C1528E" w:rsidRDefault="00C1528E" w:rsidP="002B55BD">
                  <w:pPr>
                    <w:jc w:val="center"/>
                  </w:pPr>
                </w:p>
              </w:tc>
              <w:tc>
                <w:tcPr>
                  <w:tcW w:w="630" w:type="dxa"/>
                  <w:tcBorders>
                    <w:top w:val="nil"/>
                    <w:left w:val="nil"/>
                    <w:bottom w:val="single" w:sz="4" w:space="0" w:color="auto"/>
                    <w:right w:val="nil"/>
                  </w:tcBorders>
                  <w:vAlign w:val="center"/>
                </w:tcPr>
                <w:p w14:paraId="496E2604" w14:textId="77777777" w:rsidR="00C1528E" w:rsidRDefault="00C1528E" w:rsidP="002B55BD">
                  <w:pPr>
                    <w:jc w:val="center"/>
                  </w:pPr>
                  <w:r>
                    <w:t>Yes</w:t>
                  </w:r>
                </w:p>
              </w:tc>
              <w:tc>
                <w:tcPr>
                  <w:tcW w:w="720" w:type="dxa"/>
                  <w:tcBorders>
                    <w:top w:val="nil"/>
                    <w:left w:val="nil"/>
                    <w:bottom w:val="single" w:sz="4" w:space="0" w:color="auto"/>
                    <w:right w:val="nil"/>
                  </w:tcBorders>
                  <w:vAlign w:val="center"/>
                </w:tcPr>
                <w:p w14:paraId="21B54E1B" w14:textId="77777777" w:rsidR="00C1528E" w:rsidRDefault="00C1528E" w:rsidP="002B55BD">
                  <w:pPr>
                    <w:jc w:val="center"/>
                  </w:pPr>
                  <w:r>
                    <w:t>No</w:t>
                  </w:r>
                </w:p>
              </w:tc>
              <w:tc>
                <w:tcPr>
                  <w:tcW w:w="720" w:type="dxa"/>
                  <w:tcBorders>
                    <w:top w:val="nil"/>
                    <w:left w:val="nil"/>
                    <w:bottom w:val="single" w:sz="4" w:space="0" w:color="auto"/>
                    <w:right w:val="nil"/>
                  </w:tcBorders>
                  <w:vAlign w:val="center"/>
                </w:tcPr>
                <w:p w14:paraId="438235CE" w14:textId="77777777" w:rsidR="00C1528E" w:rsidRDefault="00C1528E" w:rsidP="002B55BD">
                  <w:pPr>
                    <w:jc w:val="center"/>
                  </w:pPr>
                  <w:r>
                    <w:t>N/A</w:t>
                  </w:r>
                </w:p>
              </w:tc>
              <w:tc>
                <w:tcPr>
                  <w:tcW w:w="2160" w:type="dxa"/>
                  <w:tcBorders>
                    <w:top w:val="nil"/>
                    <w:left w:val="nil"/>
                    <w:bottom w:val="single" w:sz="4" w:space="0" w:color="auto"/>
                    <w:right w:val="nil"/>
                  </w:tcBorders>
                  <w:vAlign w:val="center"/>
                </w:tcPr>
                <w:p w14:paraId="7556EB10" w14:textId="77777777" w:rsidR="00C1528E" w:rsidRDefault="00C1528E" w:rsidP="002B55BD">
                  <w:pPr>
                    <w:jc w:val="center"/>
                  </w:pPr>
                  <w:r>
                    <w:t>Notes</w:t>
                  </w:r>
                </w:p>
              </w:tc>
            </w:tr>
            <w:tr w:rsidR="00C1528E" w14:paraId="4C2AC801" w14:textId="77777777" w:rsidTr="002B55BD">
              <w:trPr>
                <w:trHeight w:hRule="exact" w:val="703"/>
              </w:trPr>
              <w:tc>
                <w:tcPr>
                  <w:tcW w:w="540" w:type="dxa"/>
                  <w:tcBorders>
                    <w:top w:val="single" w:sz="4" w:space="0" w:color="auto"/>
                  </w:tcBorders>
                </w:tcPr>
                <w:p w14:paraId="56E3A61A" w14:textId="77777777" w:rsidR="00C1528E" w:rsidRDefault="00C1528E" w:rsidP="002B55BD">
                  <w:pPr>
                    <w:pStyle w:val="Footer"/>
                  </w:pPr>
                  <w:r>
                    <w:t>C.</w:t>
                  </w:r>
                </w:p>
              </w:tc>
              <w:tc>
                <w:tcPr>
                  <w:tcW w:w="4500" w:type="dxa"/>
                  <w:tcBorders>
                    <w:top w:val="single" w:sz="4" w:space="0" w:color="auto"/>
                  </w:tcBorders>
                  <w:vAlign w:val="center"/>
                </w:tcPr>
                <w:p w14:paraId="76680C4F" w14:textId="77777777" w:rsidR="00C1528E" w:rsidRDefault="00C1528E" w:rsidP="002B55BD">
                  <w:r>
                    <w:t>Did the contract include a Certification of Non-segregated Facilities?</w:t>
                  </w:r>
                </w:p>
              </w:tc>
              <w:tc>
                <w:tcPr>
                  <w:tcW w:w="630" w:type="dxa"/>
                  <w:tcBorders>
                    <w:top w:val="single" w:sz="4" w:space="0" w:color="auto"/>
                  </w:tcBorders>
                  <w:vAlign w:val="center"/>
                </w:tcPr>
                <w:p w14:paraId="10AD1CE0" w14:textId="77777777" w:rsidR="00C1528E" w:rsidRDefault="00C1528E" w:rsidP="002B55BD"/>
              </w:tc>
              <w:tc>
                <w:tcPr>
                  <w:tcW w:w="720" w:type="dxa"/>
                  <w:tcBorders>
                    <w:top w:val="single" w:sz="4" w:space="0" w:color="auto"/>
                  </w:tcBorders>
                </w:tcPr>
                <w:p w14:paraId="5C397FAF" w14:textId="77777777" w:rsidR="00C1528E" w:rsidRDefault="00C1528E" w:rsidP="002B55BD"/>
              </w:tc>
              <w:tc>
                <w:tcPr>
                  <w:tcW w:w="720" w:type="dxa"/>
                  <w:tcBorders>
                    <w:top w:val="single" w:sz="4" w:space="0" w:color="auto"/>
                  </w:tcBorders>
                </w:tcPr>
                <w:p w14:paraId="24E45343" w14:textId="77777777" w:rsidR="00C1528E" w:rsidRDefault="00C1528E" w:rsidP="002B55BD"/>
              </w:tc>
              <w:tc>
                <w:tcPr>
                  <w:tcW w:w="2160" w:type="dxa"/>
                  <w:tcBorders>
                    <w:top w:val="single" w:sz="4" w:space="0" w:color="auto"/>
                  </w:tcBorders>
                </w:tcPr>
                <w:p w14:paraId="665B0063" w14:textId="77777777" w:rsidR="00C1528E" w:rsidRDefault="00C1528E" w:rsidP="002B55BD"/>
              </w:tc>
            </w:tr>
            <w:tr w:rsidR="00C1528E" w14:paraId="62C4A9AB" w14:textId="77777777" w:rsidTr="002B55BD">
              <w:trPr>
                <w:trHeight w:hRule="exact" w:val="1117"/>
              </w:trPr>
              <w:tc>
                <w:tcPr>
                  <w:tcW w:w="540" w:type="dxa"/>
                  <w:tcBorders>
                    <w:top w:val="single" w:sz="4" w:space="0" w:color="auto"/>
                  </w:tcBorders>
                </w:tcPr>
                <w:p w14:paraId="2047B9BD" w14:textId="77777777" w:rsidR="00C1528E" w:rsidRDefault="00C1528E" w:rsidP="002B55BD">
                  <w:pPr>
                    <w:pStyle w:val="Footer"/>
                  </w:pPr>
                  <w:r>
                    <w:t>D.</w:t>
                  </w:r>
                </w:p>
              </w:tc>
              <w:tc>
                <w:tcPr>
                  <w:tcW w:w="4500" w:type="dxa"/>
                  <w:tcBorders>
                    <w:top w:val="single" w:sz="4" w:space="0" w:color="auto"/>
                  </w:tcBorders>
                  <w:vAlign w:val="center"/>
                </w:tcPr>
                <w:p w14:paraId="7AAD464C" w14:textId="77777777" w:rsidR="00C1528E" w:rsidRDefault="00C1528E" w:rsidP="002B55BD">
                  <w:r>
                    <w:t>Did contract include clauses for compliance with Title VI, Civil Rights Act of 1964 and Section 109 of the H&amp;CD Act of 1974?</w:t>
                  </w:r>
                </w:p>
              </w:tc>
              <w:tc>
                <w:tcPr>
                  <w:tcW w:w="630" w:type="dxa"/>
                  <w:tcBorders>
                    <w:top w:val="single" w:sz="4" w:space="0" w:color="auto"/>
                  </w:tcBorders>
                  <w:vAlign w:val="center"/>
                </w:tcPr>
                <w:p w14:paraId="646ECC1E" w14:textId="77777777" w:rsidR="00C1528E" w:rsidRDefault="00C1528E" w:rsidP="002B55BD"/>
              </w:tc>
              <w:tc>
                <w:tcPr>
                  <w:tcW w:w="720" w:type="dxa"/>
                  <w:tcBorders>
                    <w:top w:val="single" w:sz="4" w:space="0" w:color="auto"/>
                  </w:tcBorders>
                </w:tcPr>
                <w:p w14:paraId="09997424" w14:textId="77777777" w:rsidR="00C1528E" w:rsidRDefault="00C1528E" w:rsidP="002B55BD"/>
              </w:tc>
              <w:tc>
                <w:tcPr>
                  <w:tcW w:w="720" w:type="dxa"/>
                  <w:tcBorders>
                    <w:top w:val="single" w:sz="4" w:space="0" w:color="auto"/>
                  </w:tcBorders>
                </w:tcPr>
                <w:p w14:paraId="5F09495D" w14:textId="77777777" w:rsidR="00C1528E" w:rsidRDefault="00C1528E" w:rsidP="002B55BD"/>
              </w:tc>
              <w:tc>
                <w:tcPr>
                  <w:tcW w:w="2160" w:type="dxa"/>
                  <w:tcBorders>
                    <w:top w:val="single" w:sz="4" w:space="0" w:color="auto"/>
                  </w:tcBorders>
                </w:tcPr>
                <w:p w14:paraId="02506F26" w14:textId="77777777" w:rsidR="00C1528E" w:rsidRDefault="00C1528E" w:rsidP="002B55BD"/>
              </w:tc>
            </w:tr>
            <w:tr w:rsidR="00C1528E" w14:paraId="7AA30795" w14:textId="77777777" w:rsidTr="002B55BD">
              <w:trPr>
                <w:trHeight w:hRule="exact" w:val="703"/>
              </w:trPr>
              <w:tc>
                <w:tcPr>
                  <w:tcW w:w="540" w:type="dxa"/>
                  <w:tcBorders>
                    <w:top w:val="single" w:sz="4" w:space="0" w:color="auto"/>
                  </w:tcBorders>
                </w:tcPr>
                <w:p w14:paraId="2DADED0D" w14:textId="77777777" w:rsidR="00C1528E" w:rsidRDefault="00C1528E" w:rsidP="002B55BD">
                  <w:pPr>
                    <w:pStyle w:val="Footer"/>
                  </w:pPr>
                  <w:r>
                    <w:t>E.</w:t>
                  </w:r>
                </w:p>
              </w:tc>
              <w:tc>
                <w:tcPr>
                  <w:tcW w:w="4500" w:type="dxa"/>
                  <w:tcBorders>
                    <w:top w:val="single" w:sz="4" w:space="0" w:color="auto"/>
                  </w:tcBorders>
                  <w:vAlign w:val="center"/>
                </w:tcPr>
                <w:p w14:paraId="046BD3BC" w14:textId="77777777" w:rsidR="00C1528E" w:rsidRDefault="00C1528E" w:rsidP="002B55BD">
                  <w:r>
                    <w:t>Was certification to “Section 3” compliance included?</w:t>
                  </w:r>
                </w:p>
              </w:tc>
              <w:tc>
                <w:tcPr>
                  <w:tcW w:w="630" w:type="dxa"/>
                  <w:tcBorders>
                    <w:top w:val="single" w:sz="4" w:space="0" w:color="auto"/>
                  </w:tcBorders>
                  <w:vAlign w:val="center"/>
                </w:tcPr>
                <w:p w14:paraId="37A675C4" w14:textId="77777777" w:rsidR="00C1528E" w:rsidRDefault="00C1528E" w:rsidP="002B55BD"/>
              </w:tc>
              <w:tc>
                <w:tcPr>
                  <w:tcW w:w="720" w:type="dxa"/>
                  <w:tcBorders>
                    <w:top w:val="single" w:sz="4" w:space="0" w:color="auto"/>
                  </w:tcBorders>
                </w:tcPr>
                <w:p w14:paraId="0800A8F6" w14:textId="77777777" w:rsidR="00C1528E" w:rsidRDefault="00C1528E" w:rsidP="002B55BD"/>
              </w:tc>
              <w:tc>
                <w:tcPr>
                  <w:tcW w:w="720" w:type="dxa"/>
                  <w:tcBorders>
                    <w:top w:val="single" w:sz="4" w:space="0" w:color="auto"/>
                  </w:tcBorders>
                </w:tcPr>
                <w:p w14:paraId="1C5EA728" w14:textId="77777777" w:rsidR="00C1528E" w:rsidRDefault="00C1528E" w:rsidP="002B55BD"/>
              </w:tc>
              <w:tc>
                <w:tcPr>
                  <w:tcW w:w="2160" w:type="dxa"/>
                  <w:tcBorders>
                    <w:top w:val="single" w:sz="4" w:space="0" w:color="auto"/>
                  </w:tcBorders>
                </w:tcPr>
                <w:p w14:paraId="763F6F70" w14:textId="77777777" w:rsidR="00C1528E" w:rsidRDefault="00C1528E" w:rsidP="002B55BD"/>
              </w:tc>
            </w:tr>
            <w:tr w:rsidR="00C1528E" w14:paraId="07BB07DC" w14:textId="77777777" w:rsidTr="002B55BD">
              <w:trPr>
                <w:trHeight w:hRule="exact" w:val="919"/>
              </w:trPr>
              <w:tc>
                <w:tcPr>
                  <w:tcW w:w="540" w:type="dxa"/>
                  <w:tcBorders>
                    <w:top w:val="single" w:sz="4" w:space="0" w:color="auto"/>
                  </w:tcBorders>
                </w:tcPr>
                <w:p w14:paraId="5B66CE8C" w14:textId="77777777" w:rsidR="00C1528E" w:rsidRDefault="00C1528E" w:rsidP="002B55BD">
                  <w:pPr>
                    <w:pStyle w:val="Footer"/>
                  </w:pPr>
                  <w:r>
                    <w:t>F.</w:t>
                  </w:r>
                </w:p>
              </w:tc>
              <w:tc>
                <w:tcPr>
                  <w:tcW w:w="4500" w:type="dxa"/>
                  <w:tcBorders>
                    <w:top w:val="single" w:sz="4" w:space="0" w:color="auto"/>
                  </w:tcBorders>
                  <w:vAlign w:val="center"/>
                </w:tcPr>
                <w:p w14:paraId="120EAE99" w14:textId="77777777" w:rsidR="00C1528E" w:rsidRDefault="00C1528E" w:rsidP="002B55BD">
                  <w:r>
                    <w:t>Was there a clause for compliance to Section 504 of the Rehabilitation Act of 1973 ($2,500 or more)?</w:t>
                  </w:r>
                </w:p>
              </w:tc>
              <w:tc>
                <w:tcPr>
                  <w:tcW w:w="630" w:type="dxa"/>
                  <w:tcBorders>
                    <w:top w:val="single" w:sz="4" w:space="0" w:color="auto"/>
                  </w:tcBorders>
                  <w:vAlign w:val="center"/>
                </w:tcPr>
                <w:p w14:paraId="584CDFF9" w14:textId="77777777" w:rsidR="00C1528E" w:rsidRDefault="00C1528E" w:rsidP="002B55BD"/>
              </w:tc>
              <w:tc>
                <w:tcPr>
                  <w:tcW w:w="720" w:type="dxa"/>
                  <w:tcBorders>
                    <w:top w:val="single" w:sz="4" w:space="0" w:color="auto"/>
                  </w:tcBorders>
                </w:tcPr>
                <w:p w14:paraId="18393CBC" w14:textId="77777777" w:rsidR="00C1528E" w:rsidRDefault="00C1528E" w:rsidP="002B55BD"/>
              </w:tc>
              <w:tc>
                <w:tcPr>
                  <w:tcW w:w="720" w:type="dxa"/>
                  <w:tcBorders>
                    <w:top w:val="single" w:sz="4" w:space="0" w:color="auto"/>
                  </w:tcBorders>
                </w:tcPr>
                <w:p w14:paraId="66DBB3A3" w14:textId="77777777" w:rsidR="00C1528E" w:rsidRDefault="00C1528E" w:rsidP="002B55BD"/>
              </w:tc>
              <w:tc>
                <w:tcPr>
                  <w:tcW w:w="2160" w:type="dxa"/>
                  <w:tcBorders>
                    <w:top w:val="single" w:sz="4" w:space="0" w:color="auto"/>
                  </w:tcBorders>
                </w:tcPr>
                <w:p w14:paraId="15876F06" w14:textId="77777777" w:rsidR="00C1528E" w:rsidRDefault="00C1528E" w:rsidP="002B55BD"/>
              </w:tc>
            </w:tr>
            <w:tr w:rsidR="00C1528E" w14:paraId="5687A246" w14:textId="77777777" w:rsidTr="002B55BD">
              <w:trPr>
                <w:trHeight w:hRule="exact" w:val="892"/>
              </w:trPr>
              <w:tc>
                <w:tcPr>
                  <w:tcW w:w="540" w:type="dxa"/>
                  <w:tcBorders>
                    <w:top w:val="single" w:sz="4" w:space="0" w:color="auto"/>
                  </w:tcBorders>
                </w:tcPr>
                <w:p w14:paraId="2D292BC2" w14:textId="77777777" w:rsidR="00C1528E" w:rsidRDefault="00C1528E" w:rsidP="002B55BD">
                  <w:pPr>
                    <w:pStyle w:val="Footer"/>
                  </w:pPr>
                  <w:r>
                    <w:t>G.</w:t>
                  </w:r>
                </w:p>
              </w:tc>
              <w:tc>
                <w:tcPr>
                  <w:tcW w:w="4500" w:type="dxa"/>
                  <w:tcBorders>
                    <w:top w:val="single" w:sz="4" w:space="0" w:color="auto"/>
                  </w:tcBorders>
                  <w:vAlign w:val="center"/>
                </w:tcPr>
                <w:p w14:paraId="1F808B18" w14:textId="77777777" w:rsidR="00C1528E" w:rsidRDefault="00C1528E" w:rsidP="002B55BD">
                  <w:r>
                    <w:t>Is there a clause for compliance with Section 402 of the 1974 Vietnam Veterans Act ($10,000 or more)?</w:t>
                  </w:r>
                </w:p>
              </w:tc>
              <w:tc>
                <w:tcPr>
                  <w:tcW w:w="630" w:type="dxa"/>
                  <w:tcBorders>
                    <w:top w:val="single" w:sz="4" w:space="0" w:color="auto"/>
                  </w:tcBorders>
                  <w:vAlign w:val="center"/>
                </w:tcPr>
                <w:p w14:paraId="2164D47D" w14:textId="77777777" w:rsidR="00C1528E" w:rsidRDefault="00C1528E" w:rsidP="002B55BD"/>
              </w:tc>
              <w:tc>
                <w:tcPr>
                  <w:tcW w:w="720" w:type="dxa"/>
                  <w:tcBorders>
                    <w:top w:val="single" w:sz="4" w:space="0" w:color="auto"/>
                  </w:tcBorders>
                </w:tcPr>
                <w:p w14:paraId="34387ECD" w14:textId="77777777" w:rsidR="00C1528E" w:rsidRDefault="00C1528E" w:rsidP="002B55BD"/>
              </w:tc>
              <w:tc>
                <w:tcPr>
                  <w:tcW w:w="720" w:type="dxa"/>
                  <w:tcBorders>
                    <w:top w:val="single" w:sz="4" w:space="0" w:color="auto"/>
                  </w:tcBorders>
                </w:tcPr>
                <w:p w14:paraId="76654B92" w14:textId="77777777" w:rsidR="00C1528E" w:rsidRDefault="00C1528E" w:rsidP="002B55BD"/>
              </w:tc>
              <w:tc>
                <w:tcPr>
                  <w:tcW w:w="2160" w:type="dxa"/>
                  <w:tcBorders>
                    <w:top w:val="single" w:sz="4" w:space="0" w:color="auto"/>
                  </w:tcBorders>
                </w:tcPr>
                <w:p w14:paraId="27111CB9" w14:textId="77777777" w:rsidR="00C1528E" w:rsidRDefault="00C1528E" w:rsidP="002B55BD"/>
              </w:tc>
            </w:tr>
            <w:tr w:rsidR="00C1528E" w14:paraId="3189EABC" w14:textId="77777777" w:rsidTr="002B55BD">
              <w:trPr>
                <w:trHeight w:hRule="exact" w:val="892"/>
              </w:trPr>
              <w:tc>
                <w:tcPr>
                  <w:tcW w:w="540" w:type="dxa"/>
                  <w:tcBorders>
                    <w:top w:val="single" w:sz="4" w:space="0" w:color="auto"/>
                  </w:tcBorders>
                </w:tcPr>
                <w:p w14:paraId="2C6932B2" w14:textId="77777777" w:rsidR="00C1528E" w:rsidRDefault="00C1528E" w:rsidP="002B55BD">
                  <w:pPr>
                    <w:pStyle w:val="Footer"/>
                  </w:pPr>
                  <w:r>
                    <w:t>H.</w:t>
                  </w:r>
                </w:p>
              </w:tc>
              <w:tc>
                <w:tcPr>
                  <w:tcW w:w="4500" w:type="dxa"/>
                  <w:tcBorders>
                    <w:top w:val="single" w:sz="4" w:space="0" w:color="auto"/>
                  </w:tcBorders>
                  <w:vAlign w:val="center"/>
                </w:tcPr>
                <w:p w14:paraId="5ACA9348" w14:textId="77777777" w:rsidR="00C1528E" w:rsidRDefault="00C1528E" w:rsidP="002B55BD">
                  <w:r>
                    <w:t>Is there a clause for compliance with the Age Discrimination Act of 1975 ($2,000 or more)?</w:t>
                  </w:r>
                </w:p>
              </w:tc>
              <w:tc>
                <w:tcPr>
                  <w:tcW w:w="630" w:type="dxa"/>
                  <w:tcBorders>
                    <w:top w:val="single" w:sz="4" w:space="0" w:color="auto"/>
                  </w:tcBorders>
                  <w:vAlign w:val="center"/>
                </w:tcPr>
                <w:p w14:paraId="288108F9" w14:textId="77777777" w:rsidR="00C1528E" w:rsidRDefault="00C1528E" w:rsidP="002B55BD"/>
              </w:tc>
              <w:tc>
                <w:tcPr>
                  <w:tcW w:w="720" w:type="dxa"/>
                  <w:tcBorders>
                    <w:top w:val="single" w:sz="4" w:space="0" w:color="auto"/>
                  </w:tcBorders>
                </w:tcPr>
                <w:p w14:paraId="79420DCC" w14:textId="77777777" w:rsidR="00C1528E" w:rsidRDefault="00C1528E" w:rsidP="002B55BD"/>
              </w:tc>
              <w:tc>
                <w:tcPr>
                  <w:tcW w:w="720" w:type="dxa"/>
                  <w:tcBorders>
                    <w:top w:val="single" w:sz="4" w:space="0" w:color="auto"/>
                  </w:tcBorders>
                </w:tcPr>
                <w:p w14:paraId="7618470A" w14:textId="77777777" w:rsidR="00C1528E" w:rsidRDefault="00C1528E" w:rsidP="002B55BD"/>
              </w:tc>
              <w:tc>
                <w:tcPr>
                  <w:tcW w:w="2160" w:type="dxa"/>
                  <w:tcBorders>
                    <w:top w:val="single" w:sz="4" w:space="0" w:color="auto"/>
                  </w:tcBorders>
                </w:tcPr>
                <w:p w14:paraId="1C6A3542" w14:textId="77777777" w:rsidR="00C1528E" w:rsidRDefault="00C1528E" w:rsidP="002B55BD"/>
              </w:tc>
            </w:tr>
            <w:tr w:rsidR="00C1528E" w14:paraId="3B420D0B" w14:textId="77777777" w:rsidTr="002B55BD">
              <w:trPr>
                <w:trHeight w:hRule="exact" w:val="1180"/>
              </w:trPr>
              <w:tc>
                <w:tcPr>
                  <w:tcW w:w="540" w:type="dxa"/>
                  <w:tcBorders>
                    <w:top w:val="single" w:sz="4" w:space="0" w:color="auto"/>
                  </w:tcBorders>
                </w:tcPr>
                <w:p w14:paraId="12FF0C43" w14:textId="77777777" w:rsidR="00C1528E" w:rsidRDefault="00C1528E" w:rsidP="002B55BD">
                  <w:pPr>
                    <w:pStyle w:val="Footer"/>
                  </w:pPr>
                  <w:r>
                    <w:t>I.</w:t>
                  </w:r>
                </w:p>
              </w:tc>
              <w:tc>
                <w:tcPr>
                  <w:tcW w:w="4500" w:type="dxa"/>
                  <w:tcBorders>
                    <w:top w:val="single" w:sz="4" w:space="0" w:color="auto"/>
                  </w:tcBorders>
                  <w:vAlign w:val="center"/>
                </w:tcPr>
                <w:p w14:paraId="5D861146" w14:textId="77777777" w:rsidR="00C1528E" w:rsidRDefault="00C1528E" w:rsidP="002B55BD">
                  <w:r>
                    <w:t>Is there a clause for compliance with the Clean Air Act, Clean Water Act, and EPA regulations in all contracts over $100,000?</w:t>
                  </w:r>
                </w:p>
              </w:tc>
              <w:tc>
                <w:tcPr>
                  <w:tcW w:w="630" w:type="dxa"/>
                  <w:tcBorders>
                    <w:top w:val="single" w:sz="4" w:space="0" w:color="auto"/>
                  </w:tcBorders>
                  <w:vAlign w:val="center"/>
                </w:tcPr>
                <w:p w14:paraId="7B518756" w14:textId="77777777" w:rsidR="00C1528E" w:rsidRDefault="00C1528E" w:rsidP="002B55BD"/>
              </w:tc>
              <w:tc>
                <w:tcPr>
                  <w:tcW w:w="720" w:type="dxa"/>
                  <w:tcBorders>
                    <w:top w:val="single" w:sz="4" w:space="0" w:color="auto"/>
                  </w:tcBorders>
                </w:tcPr>
                <w:p w14:paraId="01C1F771" w14:textId="77777777" w:rsidR="00C1528E" w:rsidRDefault="00C1528E" w:rsidP="002B55BD"/>
              </w:tc>
              <w:tc>
                <w:tcPr>
                  <w:tcW w:w="720" w:type="dxa"/>
                  <w:tcBorders>
                    <w:top w:val="single" w:sz="4" w:space="0" w:color="auto"/>
                  </w:tcBorders>
                </w:tcPr>
                <w:p w14:paraId="093E4DA5" w14:textId="77777777" w:rsidR="00C1528E" w:rsidRDefault="00C1528E" w:rsidP="002B55BD"/>
              </w:tc>
              <w:tc>
                <w:tcPr>
                  <w:tcW w:w="2160" w:type="dxa"/>
                  <w:tcBorders>
                    <w:top w:val="single" w:sz="4" w:space="0" w:color="auto"/>
                  </w:tcBorders>
                </w:tcPr>
                <w:p w14:paraId="36357123" w14:textId="77777777" w:rsidR="00C1528E" w:rsidRDefault="00C1528E" w:rsidP="002B55BD"/>
              </w:tc>
            </w:tr>
            <w:tr w:rsidR="00C1528E" w14:paraId="69A62343" w14:textId="77777777" w:rsidTr="002B55BD">
              <w:trPr>
                <w:trHeight w:hRule="exact" w:val="622"/>
              </w:trPr>
              <w:tc>
                <w:tcPr>
                  <w:tcW w:w="540" w:type="dxa"/>
                  <w:tcBorders>
                    <w:top w:val="single" w:sz="4" w:space="0" w:color="auto"/>
                  </w:tcBorders>
                </w:tcPr>
                <w:p w14:paraId="6FFB3888" w14:textId="77777777" w:rsidR="00C1528E" w:rsidRDefault="00C1528E" w:rsidP="002B55BD">
                  <w:pPr>
                    <w:pStyle w:val="Footer"/>
                  </w:pPr>
                  <w:r>
                    <w:t>J.</w:t>
                  </w:r>
                </w:p>
              </w:tc>
              <w:tc>
                <w:tcPr>
                  <w:tcW w:w="4500" w:type="dxa"/>
                  <w:tcBorders>
                    <w:top w:val="single" w:sz="4" w:space="0" w:color="auto"/>
                  </w:tcBorders>
                  <w:vAlign w:val="center"/>
                </w:tcPr>
                <w:p w14:paraId="13B4BBEF" w14:textId="77777777" w:rsidR="00C1528E" w:rsidRDefault="00C1528E" w:rsidP="002B55BD">
                  <w:r>
                    <w:t>Were wage rates included in the solicitation of bid specifications?</w:t>
                  </w:r>
                </w:p>
              </w:tc>
              <w:tc>
                <w:tcPr>
                  <w:tcW w:w="630" w:type="dxa"/>
                  <w:tcBorders>
                    <w:top w:val="single" w:sz="4" w:space="0" w:color="auto"/>
                  </w:tcBorders>
                  <w:vAlign w:val="center"/>
                </w:tcPr>
                <w:p w14:paraId="179A837D" w14:textId="77777777" w:rsidR="00C1528E" w:rsidRDefault="00C1528E" w:rsidP="002B55BD"/>
              </w:tc>
              <w:tc>
                <w:tcPr>
                  <w:tcW w:w="720" w:type="dxa"/>
                  <w:tcBorders>
                    <w:top w:val="single" w:sz="4" w:space="0" w:color="auto"/>
                  </w:tcBorders>
                </w:tcPr>
                <w:p w14:paraId="1DB306B6" w14:textId="77777777" w:rsidR="00C1528E" w:rsidRDefault="00C1528E" w:rsidP="002B55BD"/>
              </w:tc>
              <w:tc>
                <w:tcPr>
                  <w:tcW w:w="720" w:type="dxa"/>
                  <w:tcBorders>
                    <w:top w:val="single" w:sz="4" w:space="0" w:color="auto"/>
                  </w:tcBorders>
                </w:tcPr>
                <w:p w14:paraId="781545B6" w14:textId="77777777" w:rsidR="00C1528E" w:rsidRDefault="00C1528E" w:rsidP="002B55BD"/>
              </w:tc>
              <w:tc>
                <w:tcPr>
                  <w:tcW w:w="2160" w:type="dxa"/>
                  <w:tcBorders>
                    <w:top w:val="single" w:sz="4" w:space="0" w:color="auto"/>
                  </w:tcBorders>
                </w:tcPr>
                <w:p w14:paraId="63204FE6" w14:textId="77777777" w:rsidR="00C1528E" w:rsidRDefault="00C1528E" w:rsidP="002B55BD"/>
              </w:tc>
            </w:tr>
          </w:tbl>
          <w:p w14:paraId="25A3B315" w14:textId="77777777" w:rsidR="00C1528E" w:rsidRDefault="00C1528E" w:rsidP="002B55BD">
            <w:pPr>
              <w:pStyle w:val="Header"/>
            </w:pPr>
          </w:p>
          <w:p w14:paraId="1419FC21" w14:textId="77777777" w:rsidR="00C1528E" w:rsidRDefault="00C1528E" w:rsidP="002B55BD">
            <w:pPr>
              <w:pStyle w:val="Header"/>
              <w:rPr>
                <w:b/>
              </w:rPr>
            </w:pPr>
            <w:r>
              <w:rPr>
                <w:b/>
              </w:rPr>
              <w:t>VI.     Change Orders</w:t>
            </w:r>
          </w:p>
          <w:p w14:paraId="43EA4D1D" w14:textId="77777777" w:rsidR="00C1528E" w:rsidRDefault="00C1528E" w:rsidP="002B55BD">
            <w:pPr>
              <w:pStyle w:val="Header"/>
              <w:rPr>
                <w:b/>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0"/>
              <w:gridCol w:w="690"/>
              <w:gridCol w:w="690"/>
              <w:gridCol w:w="690"/>
              <w:gridCol w:w="2160"/>
            </w:tblGrid>
            <w:tr w:rsidR="00C1528E" w14:paraId="2D8515BD" w14:textId="77777777" w:rsidTr="002B55BD">
              <w:trPr>
                <w:trHeight w:hRule="exact" w:val="708"/>
              </w:trPr>
              <w:tc>
                <w:tcPr>
                  <w:tcW w:w="540" w:type="dxa"/>
                  <w:tcBorders>
                    <w:top w:val="single" w:sz="4" w:space="0" w:color="auto"/>
                  </w:tcBorders>
                </w:tcPr>
                <w:p w14:paraId="0E9D242F" w14:textId="77777777" w:rsidR="00C1528E" w:rsidRDefault="00C1528E" w:rsidP="002B55BD">
                  <w:pPr>
                    <w:pStyle w:val="Header"/>
                  </w:pPr>
                  <w:r>
                    <w:t>A.</w:t>
                  </w:r>
                </w:p>
              </w:tc>
              <w:tc>
                <w:tcPr>
                  <w:tcW w:w="4500" w:type="dxa"/>
                  <w:tcBorders>
                    <w:top w:val="single" w:sz="4" w:space="0" w:color="auto"/>
                  </w:tcBorders>
                  <w:vAlign w:val="center"/>
                </w:tcPr>
                <w:p w14:paraId="3D81DFF6" w14:textId="77777777" w:rsidR="00C1528E" w:rsidRPr="00D01EB6" w:rsidRDefault="00C1528E" w:rsidP="002B55BD">
                  <w:pPr>
                    <w:ind w:right="-108"/>
                  </w:pPr>
                  <w:r w:rsidRPr="00D01EB6">
                    <w:t>Is the final contract amount different from the award price due to change orders?</w:t>
                  </w:r>
                </w:p>
              </w:tc>
              <w:tc>
                <w:tcPr>
                  <w:tcW w:w="690" w:type="dxa"/>
                  <w:tcBorders>
                    <w:top w:val="single" w:sz="4" w:space="0" w:color="auto"/>
                  </w:tcBorders>
                </w:tcPr>
                <w:p w14:paraId="3A79C5BF" w14:textId="77777777" w:rsidR="00C1528E" w:rsidRPr="00D01EB6" w:rsidRDefault="00C1528E" w:rsidP="002B55BD"/>
              </w:tc>
              <w:tc>
                <w:tcPr>
                  <w:tcW w:w="690" w:type="dxa"/>
                  <w:tcBorders>
                    <w:top w:val="single" w:sz="4" w:space="0" w:color="auto"/>
                  </w:tcBorders>
                </w:tcPr>
                <w:p w14:paraId="6CA40102" w14:textId="77777777" w:rsidR="00C1528E" w:rsidRPr="00D01EB6" w:rsidRDefault="00C1528E" w:rsidP="002B55BD"/>
              </w:tc>
              <w:tc>
                <w:tcPr>
                  <w:tcW w:w="690" w:type="dxa"/>
                  <w:tcBorders>
                    <w:top w:val="single" w:sz="4" w:space="0" w:color="auto"/>
                  </w:tcBorders>
                </w:tcPr>
                <w:p w14:paraId="6AC794A6" w14:textId="77777777" w:rsidR="00C1528E" w:rsidRPr="00D01EB6" w:rsidRDefault="00C1528E" w:rsidP="002B55BD"/>
              </w:tc>
              <w:tc>
                <w:tcPr>
                  <w:tcW w:w="2160" w:type="dxa"/>
                  <w:tcBorders>
                    <w:top w:val="single" w:sz="4" w:space="0" w:color="auto"/>
                  </w:tcBorders>
                </w:tcPr>
                <w:p w14:paraId="059E85F1" w14:textId="77777777" w:rsidR="00C1528E" w:rsidRPr="00D01EB6" w:rsidRDefault="00C1528E" w:rsidP="002B55BD"/>
              </w:tc>
            </w:tr>
            <w:tr w:rsidR="00C1528E" w14:paraId="2617C37C" w14:textId="77777777" w:rsidTr="002B55BD">
              <w:trPr>
                <w:trHeight w:hRule="exact" w:val="897"/>
              </w:trPr>
              <w:tc>
                <w:tcPr>
                  <w:tcW w:w="540" w:type="dxa"/>
                  <w:tcBorders>
                    <w:top w:val="single" w:sz="4" w:space="0" w:color="auto"/>
                  </w:tcBorders>
                </w:tcPr>
                <w:p w14:paraId="659FCD6C" w14:textId="77777777" w:rsidR="00C1528E" w:rsidRDefault="00C1528E" w:rsidP="002B55BD">
                  <w:pPr>
                    <w:pStyle w:val="Footer"/>
                    <w:jc w:val="center"/>
                  </w:pPr>
                </w:p>
              </w:tc>
              <w:tc>
                <w:tcPr>
                  <w:tcW w:w="4500" w:type="dxa"/>
                  <w:tcBorders>
                    <w:top w:val="single" w:sz="4" w:space="0" w:color="auto"/>
                  </w:tcBorders>
                  <w:vAlign w:val="center"/>
                </w:tcPr>
                <w:p w14:paraId="3E98994D" w14:textId="77777777" w:rsidR="00C1528E" w:rsidRPr="00D01EB6" w:rsidRDefault="00C1528E" w:rsidP="00C1528E">
                  <w:pPr>
                    <w:numPr>
                      <w:ilvl w:val="0"/>
                      <w:numId w:val="10"/>
                    </w:numPr>
                    <w:spacing w:after="0" w:line="240" w:lineRule="auto"/>
                    <w:ind w:right="-108"/>
                  </w:pPr>
                  <w:r w:rsidRPr="00D01EB6">
                    <w:t>Do cumulative changes result in less than a ten percent increase in the contract award price?</w:t>
                  </w:r>
                </w:p>
              </w:tc>
              <w:tc>
                <w:tcPr>
                  <w:tcW w:w="690" w:type="dxa"/>
                  <w:tcBorders>
                    <w:top w:val="single" w:sz="4" w:space="0" w:color="auto"/>
                  </w:tcBorders>
                </w:tcPr>
                <w:p w14:paraId="7F3DFC7B" w14:textId="77777777" w:rsidR="00C1528E" w:rsidRPr="00D01EB6" w:rsidRDefault="00C1528E" w:rsidP="002B55BD"/>
              </w:tc>
              <w:tc>
                <w:tcPr>
                  <w:tcW w:w="690" w:type="dxa"/>
                  <w:tcBorders>
                    <w:top w:val="single" w:sz="4" w:space="0" w:color="auto"/>
                  </w:tcBorders>
                </w:tcPr>
                <w:p w14:paraId="080BEEE7" w14:textId="77777777" w:rsidR="00C1528E" w:rsidRPr="00D01EB6" w:rsidRDefault="00C1528E" w:rsidP="002B55BD"/>
              </w:tc>
              <w:tc>
                <w:tcPr>
                  <w:tcW w:w="690" w:type="dxa"/>
                  <w:tcBorders>
                    <w:top w:val="single" w:sz="4" w:space="0" w:color="auto"/>
                  </w:tcBorders>
                </w:tcPr>
                <w:p w14:paraId="4CD8BCE7" w14:textId="77777777" w:rsidR="00C1528E" w:rsidRPr="00D01EB6" w:rsidRDefault="00C1528E" w:rsidP="002B55BD"/>
              </w:tc>
              <w:tc>
                <w:tcPr>
                  <w:tcW w:w="2160" w:type="dxa"/>
                  <w:tcBorders>
                    <w:top w:val="single" w:sz="4" w:space="0" w:color="auto"/>
                  </w:tcBorders>
                </w:tcPr>
                <w:p w14:paraId="31D3D178" w14:textId="77777777" w:rsidR="00C1528E" w:rsidRPr="00D01EB6" w:rsidRDefault="00C1528E" w:rsidP="002B55BD">
                  <w:pPr>
                    <w:pStyle w:val="Header"/>
                  </w:pPr>
                </w:p>
              </w:tc>
            </w:tr>
            <w:tr w:rsidR="00C1528E" w14:paraId="6EDFADCD" w14:textId="77777777" w:rsidTr="002B55BD">
              <w:trPr>
                <w:trHeight w:hRule="exact" w:val="897"/>
              </w:trPr>
              <w:tc>
                <w:tcPr>
                  <w:tcW w:w="540" w:type="dxa"/>
                  <w:tcBorders>
                    <w:top w:val="single" w:sz="4" w:space="0" w:color="auto"/>
                  </w:tcBorders>
                </w:tcPr>
                <w:p w14:paraId="78B32C2F" w14:textId="77777777" w:rsidR="00C1528E" w:rsidRDefault="00C1528E" w:rsidP="002B55BD">
                  <w:pPr>
                    <w:pStyle w:val="Footer"/>
                    <w:jc w:val="center"/>
                  </w:pPr>
                </w:p>
              </w:tc>
              <w:tc>
                <w:tcPr>
                  <w:tcW w:w="4500" w:type="dxa"/>
                  <w:tcBorders>
                    <w:top w:val="single" w:sz="4" w:space="0" w:color="auto"/>
                  </w:tcBorders>
                  <w:vAlign w:val="center"/>
                </w:tcPr>
                <w:p w14:paraId="0CB2F380" w14:textId="77777777" w:rsidR="00C1528E" w:rsidRPr="00D01EB6" w:rsidRDefault="00C1528E" w:rsidP="00C1528E">
                  <w:pPr>
                    <w:numPr>
                      <w:ilvl w:val="0"/>
                      <w:numId w:val="10"/>
                    </w:numPr>
                    <w:spacing w:after="0" w:line="240" w:lineRule="auto"/>
                    <w:ind w:right="-108"/>
                  </w:pPr>
                  <w:r w:rsidRPr="00D01EB6">
                    <w:t>Do change orders pertain to minor changes consistent with the general scope of the original project?</w:t>
                  </w:r>
                </w:p>
              </w:tc>
              <w:tc>
                <w:tcPr>
                  <w:tcW w:w="690" w:type="dxa"/>
                  <w:tcBorders>
                    <w:top w:val="single" w:sz="4" w:space="0" w:color="auto"/>
                  </w:tcBorders>
                </w:tcPr>
                <w:p w14:paraId="483422AE" w14:textId="77777777" w:rsidR="00C1528E" w:rsidRPr="00D01EB6" w:rsidRDefault="00C1528E" w:rsidP="002B55BD"/>
              </w:tc>
              <w:tc>
                <w:tcPr>
                  <w:tcW w:w="690" w:type="dxa"/>
                  <w:tcBorders>
                    <w:top w:val="single" w:sz="4" w:space="0" w:color="auto"/>
                  </w:tcBorders>
                </w:tcPr>
                <w:p w14:paraId="13235B5C" w14:textId="77777777" w:rsidR="00C1528E" w:rsidRPr="00D01EB6" w:rsidRDefault="00C1528E" w:rsidP="002B55BD"/>
              </w:tc>
              <w:tc>
                <w:tcPr>
                  <w:tcW w:w="690" w:type="dxa"/>
                  <w:tcBorders>
                    <w:top w:val="single" w:sz="4" w:space="0" w:color="auto"/>
                  </w:tcBorders>
                </w:tcPr>
                <w:p w14:paraId="4E748C59" w14:textId="77777777" w:rsidR="00C1528E" w:rsidRPr="00D01EB6" w:rsidRDefault="00C1528E" w:rsidP="002B55BD"/>
              </w:tc>
              <w:tc>
                <w:tcPr>
                  <w:tcW w:w="2160" w:type="dxa"/>
                  <w:tcBorders>
                    <w:top w:val="single" w:sz="4" w:space="0" w:color="auto"/>
                  </w:tcBorders>
                </w:tcPr>
                <w:p w14:paraId="68390773" w14:textId="77777777" w:rsidR="00C1528E" w:rsidRPr="00D01EB6" w:rsidRDefault="00C1528E" w:rsidP="002B55BD"/>
              </w:tc>
            </w:tr>
            <w:tr w:rsidR="00C1528E" w14:paraId="3D6C84A5" w14:textId="77777777" w:rsidTr="002B55BD">
              <w:trPr>
                <w:trHeight w:hRule="exact" w:val="1005"/>
              </w:trPr>
              <w:tc>
                <w:tcPr>
                  <w:tcW w:w="540" w:type="dxa"/>
                  <w:tcBorders>
                    <w:top w:val="single" w:sz="4" w:space="0" w:color="auto"/>
                  </w:tcBorders>
                </w:tcPr>
                <w:p w14:paraId="161B8850" w14:textId="77777777" w:rsidR="00C1528E" w:rsidRDefault="00C1528E" w:rsidP="002B55BD">
                  <w:pPr>
                    <w:pStyle w:val="Footer"/>
                    <w:jc w:val="center"/>
                  </w:pPr>
                </w:p>
              </w:tc>
              <w:tc>
                <w:tcPr>
                  <w:tcW w:w="4500" w:type="dxa"/>
                  <w:tcBorders>
                    <w:top w:val="single" w:sz="4" w:space="0" w:color="auto"/>
                  </w:tcBorders>
                  <w:vAlign w:val="center"/>
                </w:tcPr>
                <w:p w14:paraId="39491BD6" w14:textId="77777777" w:rsidR="00C1528E" w:rsidRPr="00D01EB6" w:rsidRDefault="00C1528E" w:rsidP="00C1528E">
                  <w:pPr>
                    <w:numPr>
                      <w:ilvl w:val="0"/>
                      <w:numId w:val="11"/>
                    </w:numPr>
                    <w:spacing w:after="0" w:line="240" w:lineRule="auto"/>
                    <w:ind w:right="-108"/>
                  </w:pPr>
                  <w:r w:rsidRPr="00D01EB6">
                    <w:t xml:space="preserve">If cumulative changes exceed ten percent, are contract items and unit costs consistent with the original contract? </w:t>
                  </w:r>
                </w:p>
              </w:tc>
              <w:tc>
                <w:tcPr>
                  <w:tcW w:w="690" w:type="dxa"/>
                  <w:tcBorders>
                    <w:top w:val="single" w:sz="4" w:space="0" w:color="auto"/>
                  </w:tcBorders>
                </w:tcPr>
                <w:p w14:paraId="44BDB21D" w14:textId="77777777" w:rsidR="00C1528E" w:rsidRPr="00D01EB6" w:rsidRDefault="00C1528E" w:rsidP="002B55BD"/>
              </w:tc>
              <w:tc>
                <w:tcPr>
                  <w:tcW w:w="690" w:type="dxa"/>
                  <w:tcBorders>
                    <w:top w:val="single" w:sz="4" w:space="0" w:color="auto"/>
                  </w:tcBorders>
                </w:tcPr>
                <w:p w14:paraId="3C66E66A" w14:textId="77777777" w:rsidR="00C1528E" w:rsidRPr="00D01EB6" w:rsidRDefault="00C1528E" w:rsidP="002B55BD"/>
              </w:tc>
              <w:tc>
                <w:tcPr>
                  <w:tcW w:w="690" w:type="dxa"/>
                  <w:tcBorders>
                    <w:top w:val="single" w:sz="4" w:space="0" w:color="auto"/>
                  </w:tcBorders>
                </w:tcPr>
                <w:p w14:paraId="52A24F37" w14:textId="77777777" w:rsidR="00C1528E" w:rsidRPr="00D01EB6" w:rsidRDefault="00C1528E" w:rsidP="002B55BD"/>
              </w:tc>
              <w:tc>
                <w:tcPr>
                  <w:tcW w:w="2160" w:type="dxa"/>
                  <w:tcBorders>
                    <w:top w:val="single" w:sz="4" w:space="0" w:color="auto"/>
                  </w:tcBorders>
                </w:tcPr>
                <w:p w14:paraId="37C5E199" w14:textId="77777777" w:rsidR="00C1528E" w:rsidRPr="00D01EB6" w:rsidRDefault="00C1528E" w:rsidP="002B55BD"/>
              </w:tc>
            </w:tr>
            <w:tr w:rsidR="00C1528E" w14:paraId="43E36509" w14:textId="77777777" w:rsidTr="002B55BD">
              <w:trPr>
                <w:trHeight w:hRule="exact" w:val="1455"/>
              </w:trPr>
              <w:tc>
                <w:tcPr>
                  <w:tcW w:w="540" w:type="dxa"/>
                  <w:tcBorders>
                    <w:top w:val="single" w:sz="4" w:space="0" w:color="auto"/>
                  </w:tcBorders>
                </w:tcPr>
                <w:p w14:paraId="07299486" w14:textId="77777777" w:rsidR="00C1528E" w:rsidRDefault="00C1528E" w:rsidP="002B55BD">
                  <w:pPr>
                    <w:pStyle w:val="Footer"/>
                    <w:jc w:val="center"/>
                  </w:pPr>
                </w:p>
              </w:tc>
              <w:tc>
                <w:tcPr>
                  <w:tcW w:w="4500" w:type="dxa"/>
                  <w:tcBorders>
                    <w:top w:val="single" w:sz="4" w:space="0" w:color="auto"/>
                  </w:tcBorders>
                  <w:vAlign w:val="center"/>
                </w:tcPr>
                <w:p w14:paraId="61337F57" w14:textId="77777777" w:rsidR="00C1528E" w:rsidRPr="00D01EB6" w:rsidRDefault="00C1528E" w:rsidP="00C1528E">
                  <w:pPr>
                    <w:numPr>
                      <w:ilvl w:val="0"/>
                      <w:numId w:val="11"/>
                    </w:numPr>
                    <w:spacing w:after="0" w:line="240" w:lineRule="auto"/>
                    <w:ind w:right="-108"/>
                  </w:pPr>
                  <w:r w:rsidRPr="00D01EB6">
                    <w:t>If the answers to all of the above are no, then are the changes necessitated by extraordinary circumstances that have been documented by the architect and/or engineer?</w:t>
                  </w:r>
                </w:p>
              </w:tc>
              <w:tc>
                <w:tcPr>
                  <w:tcW w:w="690" w:type="dxa"/>
                  <w:tcBorders>
                    <w:top w:val="single" w:sz="4" w:space="0" w:color="auto"/>
                  </w:tcBorders>
                </w:tcPr>
                <w:p w14:paraId="0FA92252" w14:textId="77777777" w:rsidR="00C1528E" w:rsidRPr="00D01EB6" w:rsidRDefault="00C1528E" w:rsidP="002B55BD"/>
              </w:tc>
              <w:tc>
                <w:tcPr>
                  <w:tcW w:w="690" w:type="dxa"/>
                  <w:tcBorders>
                    <w:top w:val="single" w:sz="4" w:space="0" w:color="auto"/>
                  </w:tcBorders>
                </w:tcPr>
                <w:p w14:paraId="669664FA" w14:textId="77777777" w:rsidR="00C1528E" w:rsidRPr="00D01EB6" w:rsidRDefault="00C1528E" w:rsidP="002B55BD"/>
              </w:tc>
              <w:tc>
                <w:tcPr>
                  <w:tcW w:w="690" w:type="dxa"/>
                  <w:tcBorders>
                    <w:top w:val="single" w:sz="4" w:space="0" w:color="auto"/>
                  </w:tcBorders>
                </w:tcPr>
                <w:p w14:paraId="32ACA5B6" w14:textId="77777777" w:rsidR="00C1528E" w:rsidRPr="00D01EB6" w:rsidRDefault="00C1528E" w:rsidP="002B55BD"/>
              </w:tc>
              <w:tc>
                <w:tcPr>
                  <w:tcW w:w="2160" w:type="dxa"/>
                  <w:tcBorders>
                    <w:top w:val="single" w:sz="4" w:space="0" w:color="auto"/>
                  </w:tcBorders>
                </w:tcPr>
                <w:p w14:paraId="245DF742" w14:textId="77777777" w:rsidR="00C1528E" w:rsidRPr="00D01EB6" w:rsidRDefault="00C1528E" w:rsidP="002B55BD"/>
              </w:tc>
            </w:tr>
            <w:tr w:rsidR="00C1528E" w14:paraId="173741DB" w14:textId="77777777" w:rsidTr="002B55BD">
              <w:trPr>
                <w:trHeight w:hRule="exact" w:val="622"/>
              </w:trPr>
              <w:tc>
                <w:tcPr>
                  <w:tcW w:w="540" w:type="dxa"/>
                </w:tcPr>
                <w:p w14:paraId="05A7DDBE" w14:textId="77777777" w:rsidR="00C1528E" w:rsidRDefault="00C1528E" w:rsidP="002B55BD">
                  <w:r>
                    <w:t>B.</w:t>
                  </w:r>
                </w:p>
              </w:tc>
              <w:tc>
                <w:tcPr>
                  <w:tcW w:w="4500" w:type="dxa"/>
                  <w:vAlign w:val="center"/>
                </w:tcPr>
                <w:p w14:paraId="13F282D7" w14:textId="77777777" w:rsidR="00C1528E" w:rsidRPr="00D01EB6" w:rsidRDefault="00C1528E" w:rsidP="002B55BD">
                  <w:r w:rsidRPr="00D01EB6">
                    <w:t>Have all contract change orders been approved by the local governing body?</w:t>
                  </w:r>
                </w:p>
              </w:tc>
              <w:tc>
                <w:tcPr>
                  <w:tcW w:w="690" w:type="dxa"/>
                </w:tcPr>
                <w:p w14:paraId="59922A27" w14:textId="77777777" w:rsidR="00C1528E" w:rsidRPr="00D01EB6" w:rsidRDefault="00C1528E" w:rsidP="002B55BD"/>
              </w:tc>
              <w:tc>
                <w:tcPr>
                  <w:tcW w:w="690" w:type="dxa"/>
                </w:tcPr>
                <w:p w14:paraId="5767EEE9" w14:textId="77777777" w:rsidR="00C1528E" w:rsidRPr="00D01EB6" w:rsidRDefault="00C1528E" w:rsidP="002B55BD"/>
              </w:tc>
              <w:tc>
                <w:tcPr>
                  <w:tcW w:w="690" w:type="dxa"/>
                </w:tcPr>
                <w:p w14:paraId="49454B31" w14:textId="77777777" w:rsidR="00C1528E" w:rsidRPr="00D01EB6" w:rsidRDefault="00C1528E" w:rsidP="002B55BD"/>
              </w:tc>
              <w:tc>
                <w:tcPr>
                  <w:tcW w:w="2160" w:type="dxa"/>
                </w:tcPr>
                <w:p w14:paraId="02627BE2" w14:textId="77777777" w:rsidR="00C1528E" w:rsidRPr="00D01EB6" w:rsidRDefault="00C1528E" w:rsidP="002B55BD"/>
              </w:tc>
            </w:tr>
            <w:tr w:rsidR="00C1528E" w14:paraId="1B12DD85" w14:textId="77777777" w:rsidTr="002B55BD">
              <w:trPr>
                <w:trHeight w:hRule="exact" w:val="1068"/>
              </w:trPr>
              <w:tc>
                <w:tcPr>
                  <w:tcW w:w="540" w:type="dxa"/>
                </w:tcPr>
                <w:p w14:paraId="3DE61D3E" w14:textId="77777777" w:rsidR="00C1528E" w:rsidRDefault="00C1528E" w:rsidP="002B55BD">
                  <w:pPr>
                    <w:jc w:val="center"/>
                  </w:pPr>
                  <w:r>
                    <w:t>C.</w:t>
                  </w:r>
                </w:p>
              </w:tc>
              <w:tc>
                <w:tcPr>
                  <w:tcW w:w="4500" w:type="dxa"/>
                  <w:vAlign w:val="center"/>
                </w:tcPr>
                <w:p w14:paraId="3FFCA439" w14:textId="77777777" w:rsidR="00C1528E" w:rsidRPr="00D01EB6" w:rsidRDefault="00C1528E" w:rsidP="002B55BD">
                  <w:pPr>
                    <w:spacing w:before="120" w:after="120"/>
                  </w:pPr>
                  <w:r w:rsidRPr="00D01EB6">
                    <w:t>For projects from 2009 or later, were all change orders approved by ADECA’s Engineer?</w:t>
                  </w:r>
                </w:p>
              </w:tc>
              <w:tc>
                <w:tcPr>
                  <w:tcW w:w="690" w:type="dxa"/>
                </w:tcPr>
                <w:p w14:paraId="5A34EA3C" w14:textId="77777777" w:rsidR="00C1528E" w:rsidRPr="00D01EB6" w:rsidRDefault="00C1528E" w:rsidP="002B55BD"/>
              </w:tc>
              <w:tc>
                <w:tcPr>
                  <w:tcW w:w="690" w:type="dxa"/>
                </w:tcPr>
                <w:p w14:paraId="3B0ADD3C" w14:textId="77777777" w:rsidR="00C1528E" w:rsidRPr="00D01EB6" w:rsidRDefault="00C1528E" w:rsidP="002B55BD"/>
              </w:tc>
              <w:tc>
                <w:tcPr>
                  <w:tcW w:w="690" w:type="dxa"/>
                </w:tcPr>
                <w:p w14:paraId="2AD60DAE" w14:textId="77777777" w:rsidR="00C1528E" w:rsidRPr="00D01EB6" w:rsidRDefault="00C1528E" w:rsidP="002B55BD"/>
              </w:tc>
              <w:tc>
                <w:tcPr>
                  <w:tcW w:w="2160" w:type="dxa"/>
                </w:tcPr>
                <w:p w14:paraId="70D79F9A" w14:textId="77777777" w:rsidR="00C1528E" w:rsidRPr="00D01EB6" w:rsidRDefault="00C1528E" w:rsidP="002B55BD"/>
              </w:tc>
            </w:tr>
          </w:tbl>
          <w:p w14:paraId="6131B06A" w14:textId="77777777" w:rsidR="00C1528E" w:rsidRDefault="00C1528E" w:rsidP="002B55BD">
            <w:pPr>
              <w:rPr>
                <w:rFonts w:ascii="Times New Roman" w:eastAsia="Garamond" w:hAnsi="Times New Roman" w:cs="Times New Roman"/>
                <w:spacing w:val="-3"/>
                <w:position w:val="1"/>
                <w:sz w:val="24"/>
                <w:szCs w:val="24"/>
              </w:rPr>
            </w:pPr>
          </w:p>
        </w:tc>
      </w:tr>
    </w:tbl>
    <w:p w14:paraId="0A6DC117" w14:textId="77777777" w:rsidR="00C1528E" w:rsidRDefault="00C1528E" w:rsidP="00C1528E">
      <w:pPr>
        <w:spacing w:line="240" w:lineRule="auto"/>
        <w:rPr>
          <w:rFonts w:ascii="Times New Roman" w:eastAsia="Garamond" w:hAnsi="Times New Roman" w:cs="Times New Roman"/>
          <w:spacing w:val="-3"/>
          <w:position w:val="1"/>
          <w:sz w:val="24"/>
          <w:szCs w:val="24"/>
        </w:rPr>
      </w:pPr>
    </w:p>
    <w:p w14:paraId="2F95423C" w14:textId="77777777" w:rsidR="00C1528E" w:rsidRPr="00A904F4" w:rsidRDefault="00C1528E" w:rsidP="00C1528E">
      <w:pPr>
        <w:rPr>
          <w:rFonts w:ascii="Times New Roman" w:hAnsi="Times New Roman" w:cs="Times New Roman"/>
          <w:b/>
          <w:bCs/>
          <w:sz w:val="24"/>
          <w:szCs w:val="24"/>
        </w:rPr>
      </w:pPr>
      <w:r w:rsidRPr="00A904F4">
        <w:rPr>
          <w:rFonts w:ascii="Times New Roman" w:eastAsia="Garamond" w:hAnsi="Times New Roman" w:cs="Times New Roman"/>
          <w:b/>
          <w:bCs/>
          <w:spacing w:val="-3"/>
          <w:position w:val="1"/>
          <w:sz w:val="24"/>
          <w:szCs w:val="24"/>
        </w:rPr>
        <w:t>Compliance With the Standards ADECA Certified to HUD that ADECA Follows</w:t>
      </w:r>
    </w:p>
    <w:p w14:paraId="0C1AB817" w14:textId="77777777" w:rsidR="00C1528E" w:rsidRPr="00A904F4" w:rsidRDefault="00C1528E" w:rsidP="00C1528E">
      <w:pPr>
        <w:ind w:firstLine="720"/>
        <w:rPr>
          <w:rFonts w:ascii="Times New Roman" w:hAnsi="Times New Roman" w:cs="Times New Roman"/>
          <w:sz w:val="24"/>
          <w:szCs w:val="24"/>
        </w:rPr>
      </w:pPr>
      <w:r w:rsidRPr="00A904F4">
        <w:rPr>
          <w:rFonts w:ascii="Times New Roman" w:hAnsi="Times New Roman" w:cs="Times New Roman"/>
          <w:sz w:val="24"/>
          <w:szCs w:val="24"/>
        </w:rPr>
        <w:t>ADECA hereby agrees to comply with, and maintain compliance with, the procurement standards stated herein this Procurement Policy as the procurement standards that will be applicable to ADECA and its subrecipients and/or its units of local government who are recipients of CDBG-DR Grant Program funds for Hurricanes Sally and Zeta.</w:t>
      </w:r>
    </w:p>
    <w:p w14:paraId="7814F7FC" w14:textId="77777777" w:rsidR="00C1528E" w:rsidRPr="00A904F4" w:rsidRDefault="00C1528E" w:rsidP="00C1528E">
      <w:pPr>
        <w:rPr>
          <w:rFonts w:ascii="Times New Roman" w:hAnsi="Times New Roman" w:cs="Times New Roman"/>
          <w:b/>
          <w:bCs/>
          <w:sz w:val="24"/>
          <w:szCs w:val="24"/>
        </w:rPr>
      </w:pPr>
      <w:r w:rsidRPr="00A904F4">
        <w:rPr>
          <w:rFonts w:ascii="Times New Roman" w:eastAsia="Garamond" w:hAnsi="Times New Roman" w:cs="Times New Roman"/>
          <w:b/>
          <w:bCs/>
          <w:spacing w:val="-3"/>
          <w:position w:val="1"/>
          <w:sz w:val="24"/>
          <w:szCs w:val="24"/>
        </w:rPr>
        <w:t>Compliance With Updating Certification Submissions When Substantial Changes Are Made</w:t>
      </w:r>
    </w:p>
    <w:p w14:paraId="577A7023" w14:textId="77777777" w:rsidR="00C1528E" w:rsidRPr="00A904F4" w:rsidRDefault="00C1528E" w:rsidP="00C1528E">
      <w:pPr>
        <w:ind w:firstLine="720"/>
        <w:rPr>
          <w:rFonts w:ascii="Times New Roman" w:hAnsi="Times New Roman" w:cs="Times New Roman"/>
          <w:sz w:val="24"/>
          <w:szCs w:val="24"/>
        </w:rPr>
      </w:pPr>
      <w:r w:rsidRPr="00A904F4">
        <w:rPr>
          <w:rFonts w:ascii="Times New Roman" w:hAnsi="Times New Roman" w:cs="Times New Roman"/>
          <w:sz w:val="24"/>
          <w:szCs w:val="24"/>
        </w:rPr>
        <w:t>ADECA hereby agrees to comply with, and maintain compliance with, the HUD requirement that ADECA will update the certification submissions when substantial changes are made by ADECA to this Procurement Policy.</w:t>
      </w:r>
    </w:p>
    <w:p w14:paraId="0F2CD6A5" w14:textId="77777777" w:rsidR="00C1528E" w:rsidRPr="00A904F4" w:rsidRDefault="00C1528E" w:rsidP="00C1528E">
      <w:pPr>
        <w:rPr>
          <w:rFonts w:ascii="Times New Roman" w:hAnsi="Times New Roman" w:cs="Times New Roman"/>
          <w:b/>
          <w:bCs/>
          <w:sz w:val="24"/>
          <w:szCs w:val="24"/>
        </w:rPr>
      </w:pPr>
      <w:r w:rsidRPr="00A904F4">
        <w:rPr>
          <w:rFonts w:ascii="Times New Roman" w:eastAsia="Garamond" w:hAnsi="Times New Roman" w:cs="Times New Roman"/>
          <w:b/>
          <w:bCs/>
          <w:spacing w:val="-3"/>
          <w:position w:val="1"/>
          <w:sz w:val="24"/>
          <w:szCs w:val="24"/>
        </w:rPr>
        <w:t>Compliance With Posting Required Documentation to ADECA’s Official Website</w:t>
      </w:r>
    </w:p>
    <w:p w14:paraId="463328F2" w14:textId="77777777" w:rsidR="00C1528E" w:rsidRPr="00A904F4" w:rsidRDefault="00C1528E" w:rsidP="00C1528E">
      <w:pPr>
        <w:ind w:firstLine="720"/>
        <w:rPr>
          <w:rFonts w:ascii="Times New Roman" w:hAnsi="Times New Roman" w:cs="Times New Roman"/>
          <w:sz w:val="24"/>
          <w:szCs w:val="24"/>
        </w:rPr>
      </w:pPr>
      <w:r w:rsidRPr="00A904F4">
        <w:rPr>
          <w:rFonts w:ascii="Times New Roman" w:hAnsi="Times New Roman" w:cs="Times New Roman"/>
          <w:sz w:val="24"/>
          <w:szCs w:val="24"/>
        </w:rPr>
        <w:t>ADECA hereby agrees to comply with, and maintain compliance with, the HUD requirement that ADECA will post the required documentation to ADECA’s official website (</w:t>
      </w:r>
      <w:hyperlink r:id="rId149" w:history="1">
        <w:r w:rsidRPr="00A904F4">
          <w:rPr>
            <w:rStyle w:val="Hyperlink"/>
            <w:rFonts w:ascii="Times New Roman" w:hAnsi="Times New Roman" w:cs="Times New Roman"/>
            <w:sz w:val="24"/>
            <w:szCs w:val="24"/>
          </w:rPr>
          <w:t>www.adeca.alabama.gov</w:t>
        </w:r>
      </w:hyperlink>
      <w:r w:rsidRPr="00A904F4">
        <w:rPr>
          <w:rFonts w:ascii="Times New Roman" w:hAnsi="Times New Roman" w:cs="Times New Roman"/>
          <w:sz w:val="24"/>
          <w:szCs w:val="24"/>
        </w:rPr>
        <w:t>) on the ADECA CDBG Disaster Recovery webpage for Hurricanes Sally and Zeta (</w:t>
      </w:r>
      <w:hyperlink r:id="rId150" w:history="1">
        <w:r w:rsidRPr="00A904F4">
          <w:rPr>
            <w:rStyle w:val="Hyperlink"/>
            <w:rFonts w:ascii="Times New Roman" w:hAnsi="Times New Roman" w:cs="Times New Roman"/>
            <w:sz w:val="24"/>
            <w:szCs w:val="24"/>
          </w:rPr>
          <w:t>https://adeca.alabama.gov/cdbg-disaster-recovery/hurricanes-sally-and-zeta/</w:t>
        </w:r>
      </w:hyperlink>
      <w:r w:rsidRPr="00A904F4">
        <w:rPr>
          <w:rFonts w:ascii="Times New Roman" w:hAnsi="Times New Roman" w:cs="Times New Roman"/>
          <w:sz w:val="24"/>
          <w:szCs w:val="24"/>
        </w:rPr>
        <w:t>).</w:t>
      </w:r>
    </w:p>
    <w:p w14:paraId="7FD0FC7D" w14:textId="77777777" w:rsidR="00C1528E" w:rsidRPr="00A904F4" w:rsidRDefault="00C1528E" w:rsidP="00C1528E">
      <w:pPr>
        <w:rPr>
          <w:rFonts w:ascii="Times New Roman" w:hAnsi="Times New Roman" w:cs="Times New Roman"/>
          <w:sz w:val="24"/>
          <w:szCs w:val="24"/>
        </w:rPr>
      </w:pPr>
      <w:r w:rsidRPr="00A904F4">
        <w:rPr>
          <w:rFonts w:ascii="Times New Roman" w:eastAsia="Garamond" w:hAnsi="Times New Roman" w:cs="Times New Roman"/>
          <w:b/>
          <w:bCs/>
          <w:spacing w:val="-3"/>
          <w:position w:val="1"/>
          <w:sz w:val="24"/>
          <w:szCs w:val="24"/>
        </w:rPr>
        <w:t>Compliance With Including Periods of Performance and Date of Completion in all CDBG-DR Contracts</w:t>
      </w:r>
    </w:p>
    <w:p w14:paraId="0F735601" w14:textId="77777777" w:rsidR="00C1528E" w:rsidRPr="00A904F4" w:rsidRDefault="00C1528E" w:rsidP="00C1528E">
      <w:pPr>
        <w:ind w:firstLine="720"/>
        <w:rPr>
          <w:rFonts w:ascii="Times New Roman" w:hAnsi="Times New Roman" w:cs="Times New Roman"/>
          <w:sz w:val="24"/>
          <w:szCs w:val="24"/>
        </w:rPr>
      </w:pPr>
      <w:r w:rsidRPr="00A904F4">
        <w:rPr>
          <w:rFonts w:ascii="Times New Roman" w:hAnsi="Times New Roman" w:cs="Times New Roman"/>
          <w:sz w:val="24"/>
          <w:szCs w:val="24"/>
        </w:rPr>
        <w:t xml:space="preserve">ADECA hereby agrees to comply with, and maintain compliance with, the HUD requirement that ADECA will include periods of performance and date of completion in all </w:t>
      </w:r>
      <w:r w:rsidRPr="00A904F4">
        <w:rPr>
          <w:rFonts w:ascii="Times New Roman" w:hAnsi="Times New Roman" w:cs="Times New Roman"/>
          <w:sz w:val="24"/>
          <w:szCs w:val="24"/>
        </w:rPr>
        <w:lastRenderedPageBreak/>
        <w:t>CDBG-DR contracts, grant awards, and/or grant agreement documents issued by ADECA for grant funds awarded from the State’s CDBG-DR Grant for Hurricanes Sally and Zeta.</w:t>
      </w:r>
    </w:p>
    <w:p w14:paraId="56B70AF3" w14:textId="77777777" w:rsidR="00C1528E" w:rsidRPr="00A904F4" w:rsidRDefault="00C1528E" w:rsidP="00C1528E">
      <w:pPr>
        <w:spacing w:line="240" w:lineRule="auto"/>
        <w:rPr>
          <w:rFonts w:ascii="Times New Roman" w:hAnsi="Times New Roman" w:cs="Times New Roman"/>
          <w:b/>
          <w:bCs/>
          <w:sz w:val="24"/>
          <w:szCs w:val="24"/>
        </w:rPr>
      </w:pPr>
      <w:r w:rsidRPr="00A904F4">
        <w:rPr>
          <w:rFonts w:ascii="Times New Roman" w:eastAsia="Garamond" w:hAnsi="Times New Roman" w:cs="Times New Roman"/>
          <w:b/>
          <w:bCs/>
          <w:spacing w:val="-3"/>
          <w:position w:val="1"/>
          <w:sz w:val="24"/>
          <w:szCs w:val="24"/>
        </w:rPr>
        <w:t>Compliance With 24 CFR §570.489(g) and Alternative Requirements</w:t>
      </w:r>
    </w:p>
    <w:p w14:paraId="472BFB05" w14:textId="77777777" w:rsidR="00C1528E" w:rsidRPr="00A904F4" w:rsidRDefault="00C1528E" w:rsidP="00C1528E">
      <w:pPr>
        <w:ind w:firstLine="720"/>
        <w:rPr>
          <w:rFonts w:ascii="Times New Roman" w:hAnsi="Times New Roman" w:cs="Times New Roman"/>
          <w:sz w:val="24"/>
          <w:szCs w:val="24"/>
        </w:rPr>
      </w:pPr>
      <w:r w:rsidRPr="00A904F4">
        <w:rPr>
          <w:rFonts w:ascii="Times New Roman" w:hAnsi="Times New Roman" w:cs="Times New Roman"/>
          <w:sz w:val="24"/>
          <w:szCs w:val="24"/>
        </w:rPr>
        <w:t>ADECA hereby agrees to comply with, and maintain compliance with, the HUD requirement that ADECA comply with 24 CFR §570.489(g) and HUD’s alternative requirements.</w:t>
      </w:r>
    </w:p>
    <w:p w14:paraId="7D49DA7C" w14:textId="77777777" w:rsidR="00C1528E" w:rsidRPr="00A904F4" w:rsidRDefault="00C1528E" w:rsidP="00C1528E">
      <w:pPr>
        <w:ind w:firstLine="720"/>
        <w:rPr>
          <w:rFonts w:ascii="Times New Roman" w:hAnsi="Times New Roman" w:cs="Times New Roman"/>
          <w:sz w:val="24"/>
          <w:szCs w:val="24"/>
        </w:rPr>
      </w:pPr>
      <w:r w:rsidRPr="00A904F4">
        <w:rPr>
          <w:rFonts w:ascii="Times New Roman" w:hAnsi="Times New Roman" w:cs="Times New Roman"/>
          <w:sz w:val="24"/>
          <w:szCs w:val="24"/>
        </w:rPr>
        <w:t xml:space="preserve">As stated herein above in HUD’s February 3, 2022 Federal Register Notice (Volume 87, Number 23 on page 6388 at </w:t>
      </w:r>
      <w:r w:rsidRPr="00A904F4">
        <w:rPr>
          <w:rFonts w:ascii="Times New Roman" w:hAnsi="Times New Roman" w:cs="Times New Roman"/>
          <w:i/>
          <w:iCs/>
          <w:sz w:val="24"/>
          <w:szCs w:val="24"/>
        </w:rPr>
        <w:t>Section IV.B. Procurement</w:t>
      </w:r>
      <w:r w:rsidRPr="00A904F4">
        <w:rPr>
          <w:rFonts w:ascii="Times New Roman" w:hAnsi="Times New Roman" w:cs="Times New Roman"/>
          <w:sz w:val="24"/>
          <w:szCs w:val="24"/>
        </w:rPr>
        <w:t xml:space="preserve">), ADECA agrees to comply with the procurement processes/requirements published in the </w:t>
      </w:r>
      <w:r w:rsidRPr="00A904F4">
        <w:rPr>
          <w:rFonts w:ascii="Times New Roman" w:hAnsi="Times New Roman" w:cs="Times New Roman"/>
          <w:i/>
          <w:iCs/>
          <w:sz w:val="24"/>
          <w:szCs w:val="24"/>
        </w:rPr>
        <w:t>Code of Federal Regulations</w:t>
      </w:r>
      <w:r w:rsidRPr="00A904F4">
        <w:rPr>
          <w:rFonts w:ascii="Times New Roman" w:hAnsi="Times New Roman" w:cs="Times New Roman"/>
          <w:sz w:val="24"/>
          <w:szCs w:val="24"/>
        </w:rPr>
        <w:t xml:space="preserve"> at 24 CFR §570.489(g) as part of ADECA’s procurement policy for administering the CDBG-DR Grant Program for Hurricanes Sally and Zeta.  This CFR section is posted online at the link </w:t>
      </w:r>
      <w:hyperlink r:id="rId151" w:history="1">
        <w:r w:rsidRPr="00A904F4">
          <w:rPr>
            <w:rStyle w:val="Hyperlink"/>
            <w:rFonts w:ascii="Times New Roman" w:hAnsi="Times New Roman" w:cs="Times New Roman"/>
            <w:sz w:val="24"/>
            <w:szCs w:val="24"/>
          </w:rPr>
          <w:t>https://www.ecfr.gov/current/title-24/subtitle-B/chapter-V/subchapter-C/part-570/subpart-I/section-570.489</w:t>
        </w:r>
      </w:hyperlink>
      <w:r w:rsidRPr="00A904F4">
        <w:rPr>
          <w:rFonts w:ascii="Times New Roman" w:hAnsi="Times New Roman" w:cs="Times New Roman"/>
          <w:sz w:val="24"/>
          <w:szCs w:val="24"/>
        </w:rPr>
        <w:t>.  This CFR section states as follows:</w:t>
      </w:r>
    </w:p>
    <w:p w14:paraId="154FC7ED" w14:textId="77777777" w:rsidR="00C1528E" w:rsidRPr="00794C3F" w:rsidRDefault="00C1528E" w:rsidP="00C1528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1528E" w14:paraId="67A2C569" w14:textId="77777777" w:rsidTr="002B55BD">
        <w:tc>
          <w:tcPr>
            <w:tcW w:w="9350" w:type="dxa"/>
          </w:tcPr>
          <w:p w14:paraId="30B592C2" w14:textId="77777777" w:rsidR="00C1528E" w:rsidRDefault="00C1528E" w:rsidP="002B55BD">
            <w:pPr>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 xml:space="preserve">24 CFR </w:t>
            </w:r>
            <w:r w:rsidRPr="00E924A9">
              <w:rPr>
                <w:rFonts w:ascii="Times New Roman" w:hAnsi="Times New Roman" w:cs="Times New Roman"/>
                <w:b/>
                <w:bCs/>
                <w:color w:val="333333"/>
                <w:sz w:val="24"/>
                <w:szCs w:val="24"/>
                <w:shd w:val="clear" w:color="auto" w:fill="FFFFFF"/>
              </w:rPr>
              <w:t>§ 570.489 Program administrative requirements.</w:t>
            </w:r>
          </w:p>
          <w:p w14:paraId="40CBF724" w14:textId="77777777" w:rsidR="00C1528E" w:rsidRPr="00E924A9" w:rsidRDefault="00C1528E" w:rsidP="002B55BD">
            <w:pPr>
              <w:rPr>
                <w:rFonts w:ascii="Times New Roman" w:hAnsi="Times New Roman" w:cs="Times New Roman"/>
                <w:sz w:val="24"/>
                <w:szCs w:val="24"/>
              </w:rPr>
            </w:pPr>
            <w:r>
              <w:rPr>
                <w:rFonts w:ascii="Times New Roman" w:hAnsi="Times New Roman" w:cs="Times New Roman"/>
                <w:b/>
                <w:bCs/>
                <w:color w:val="333333"/>
                <w:sz w:val="24"/>
                <w:szCs w:val="24"/>
                <w:shd w:val="clear" w:color="auto" w:fill="FFFFFF"/>
              </w:rPr>
              <w:tab/>
            </w:r>
            <w:r>
              <w:rPr>
                <w:rFonts w:ascii="Times New Roman" w:hAnsi="Times New Roman" w:cs="Times New Roman"/>
                <w:b/>
                <w:bCs/>
                <w:color w:val="333333"/>
                <w:sz w:val="24"/>
                <w:szCs w:val="24"/>
                <w:shd w:val="clear" w:color="auto" w:fill="FFFFFF"/>
              </w:rPr>
              <w:tab/>
            </w:r>
            <w:r>
              <w:rPr>
                <w:rFonts w:ascii="Times New Roman" w:hAnsi="Times New Roman" w:cs="Times New Roman"/>
                <w:b/>
                <w:bCs/>
                <w:color w:val="333333"/>
                <w:sz w:val="24"/>
                <w:szCs w:val="24"/>
                <w:shd w:val="clear" w:color="auto" w:fill="FFFFFF"/>
              </w:rPr>
              <w:tab/>
            </w:r>
            <w:r>
              <w:rPr>
                <w:rFonts w:ascii="Times New Roman" w:hAnsi="Times New Roman" w:cs="Times New Roman"/>
                <w:b/>
                <w:bCs/>
                <w:color w:val="333333"/>
                <w:sz w:val="24"/>
                <w:szCs w:val="24"/>
                <w:shd w:val="clear" w:color="auto" w:fill="FFFFFF"/>
              </w:rPr>
              <w:tab/>
              <w:t>*</w:t>
            </w:r>
            <w:r>
              <w:rPr>
                <w:rFonts w:ascii="Times New Roman" w:hAnsi="Times New Roman" w:cs="Times New Roman"/>
                <w:b/>
                <w:bCs/>
                <w:color w:val="333333"/>
                <w:sz w:val="24"/>
                <w:szCs w:val="24"/>
                <w:shd w:val="clear" w:color="auto" w:fill="FFFFFF"/>
              </w:rPr>
              <w:tab/>
            </w:r>
            <w:r>
              <w:rPr>
                <w:rFonts w:ascii="Times New Roman" w:hAnsi="Times New Roman" w:cs="Times New Roman"/>
                <w:b/>
                <w:bCs/>
                <w:color w:val="333333"/>
                <w:sz w:val="24"/>
                <w:szCs w:val="24"/>
                <w:shd w:val="clear" w:color="auto" w:fill="FFFFFF"/>
              </w:rPr>
              <w:tab/>
              <w:t>*</w:t>
            </w:r>
            <w:r>
              <w:rPr>
                <w:rFonts w:ascii="Times New Roman" w:hAnsi="Times New Roman" w:cs="Times New Roman"/>
                <w:b/>
                <w:bCs/>
                <w:color w:val="333333"/>
                <w:sz w:val="24"/>
                <w:szCs w:val="24"/>
                <w:shd w:val="clear" w:color="auto" w:fill="FFFFFF"/>
              </w:rPr>
              <w:tab/>
            </w:r>
            <w:r>
              <w:rPr>
                <w:rFonts w:ascii="Times New Roman" w:hAnsi="Times New Roman" w:cs="Times New Roman"/>
                <w:b/>
                <w:bCs/>
                <w:color w:val="333333"/>
                <w:sz w:val="24"/>
                <w:szCs w:val="24"/>
                <w:shd w:val="clear" w:color="auto" w:fill="FFFFFF"/>
              </w:rPr>
              <w:tab/>
              <w:t>*</w:t>
            </w:r>
          </w:p>
          <w:p w14:paraId="6BD4F1AC" w14:textId="77777777" w:rsidR="00C1528E" w:rsidRPr="00E924A9" w:rsidRDefault="00C1528E" w:rsidP="002B55BD">
            <w:pPr>
              <w:rPr>
                <w:rFonts w:ascii="Times New Roman" w:hAnsi="Times New Roman" w:cs="Times New Roman"/>
                <w:sz w:val="24"/>
                <w:szCs w:val="24"/>
              </w:rPr>
            </w:pPr>
            <w:r w:rsidRPr="00E924A9">
              <w:rPr>
                <w:rFonts w:ascii="Times New Roman" w:hAnsi="Times New Roman" w:cs="Times New Roman"/>
                <w:sz w:val="24"/>
                <w:szCs w:val="24"/>
              </w:rPr>
              <w:tab/>
            </w:r>
            <w:r w:rsidRPr="00E924A9">
              <w:rPr>
                <w:rStyle w:val="enumxml"/>
                <w:rFonts w:ascii="Times New Roman" w:hAnsi="Times New Roman" w:cs="Times New Roman"/>
                <w:b/>
                <w:bCs/>
                <w:color w:val="333333"/>
                <w:sz w:val="24"/>
                <w:szCs w:val="24"/>
                <w:shd w:val="clear" w:color="auto" w:fill="FFFFFF"/>
              </w:rPr>
              <w:t>(g)</w:t>
            </w:r>
            <w:r w:rsidRPr="00E924A9">
              <w:rPr>
                <w:rFonts w:ascii="Times New Roman" w:hAnsi="Times New Roman" w:cs="Times New Roman"/>
                <w:color w:val="333333"/>
                <w:sz w:val="24"/>
                <w:szCs w:val="24"/>
                <w:shd w:val="clear" w:color="auto" w:fill="FFFFFF"/>
              </w:rPr>
              <w:t> </w:t>
            </w:r>
            <w:r w:rsidRPr="00E924A9">
              <w:rPr>
                <w:rStyle w:val="et03"/>
                <w:rFonts w:ascii="Times New Roman" w:hAnsi="Times New Roman" w:cs="Times New Roman"/>
                <w:b/>
                <w:bCs/>
                <w:i/>
                <w:iCs/>
                <w:color w:val="333333"/>
                <w:sz w:val="24"/>
                <w:szCs w:val="24"/>
                <w:shd w:val="clear" w:color="auto" w:fill="FFFFFF"/>
              </w:rPr>
              <w:t>Procurement.</w:t>
            </w:r>
            <w:r w:rsidRPr="00E924A9">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 xml:space="preserve"> </w:t>
            </w:r>
            <w:r w:rsidRPr="00E924A9">
              <w:rPr>
                <w:rFonts w:ascii="Times New Roman" w:hAnsi="Times New Roman" w:cs="Times New Roman"/>
                <w:color w:val="333333"/>
                <w:sz w:val="24"/>
                <w:szCs w:val="24"/>
                <w:shd w:val="clear" w:color="auto" w:fill="FFFFFF"/>
              </w:rPr>
              <w:t>When procuring property or services to be paid for in whole or in part with </w:t>
            </w:r>
            <w:hyperlink r:id="rId152" w:history="1">
              <w:r w:rsidRPr="00E924A9">
                <w:rPr>
                  <w:rStyle w:val="Hyperlink"/>
                  <w:color w:val="0068AC"/>
                  <w:shd w:val="clear" w:color="auto" w:fill="FFFFFF"/>
                </w:rPr>
                <w:t>CDBG funds</w:t>
              </w:r>
            </w:hyperlink>
            <w:r w:rsidRPr="00E924A9">
              <w:rPr>
                <w:rFonts w:ascii="Times New Roman" w:hAnsi="Times New Roman" w:cs="Times New Roman"/>
                <w:color w:val="333333"/>
                <w:sz w:val="24"/>
                <w:szCs w:val="24"/>
                <w:shd w:val="clear" w:color="auto" w:fill="FFFFFF"/>
              </w:rPr>
              <w:t>, the State shall follow its procurement policies and procedures.</w:t>
            </w:r>
            <w:r>
              <w:rPr>
                <w:rFonts w:ascii="Times New Roman" w:hAnsi="Times New Roman" w:cs="Times New Roman"/>
                <w:color w:val="333333"/>
                <w:sz w:val="24"/>
                <w:szCs w:val="24"/>
                <w:shd w:val="clear" w:color="auto" w:fill="FFFFFF"/>
              </w:rPr>
              <w:t xml:space="preserve">  </w:t>
            </w:r>
            <w:r w:rsidRPr="00E924A9">
              <w:rPr>
                <w:rFonts w:ascii="Times New Roman" w:hAnsi="Times New Roman" w:cs="Times New Roman"/>
                <w:color w:val="333333"/>
                <w:sz w:val="24"/>
                <w:szCs w:val="24"/>
                <w:shd w:val="clear" w:color="auto" w:fill="FFFFFF"/>
              </w:rPr>
              <w:t>The State shall establish requirements for procurement policies and procedures for units of general local government, based on full and open competition.</w:t>
            </w:r>
            <w:r>
              <w:rPr>
                <w:rFonts w:ascii="Times New Roman" w:hAnsi="Times New Roman" w:cs="Times New Roman"/>
                <w:color w:val="333333"/>
                <w:sz w:val="24"/>
                <w:szCs w:val="24"/>
                <w:shd w:val="clear" w:color="auto" w:fill="FFFFFF"/>
              </w:rPr>
              <w:t xml:space="preserve">  </w:t>
            </w:r>
            <w:r w:rsidRPr="00E924A9">
              <w:rPr>
                <w:rFonts w:ascii="Times New Roman" w:hAnsi="Times New Roman" w:cs="Times New Roman"/>
                <w:color w:val="333333"/>
                <w:sz w:val="24"/>
                <w:szCs w:val="24"/>
                <w:shd w:val="clear" w:color="auto" w:fill="FFFFFF"/>
              </w:rPr>
              <w:t>Methods of procurement (e.g., small purchase, sealed bids/formal advertising, competitive proposals, and noncompetitive proposals) and their applicability shall be specified by the State.</w:t>
            </w:r>
            <w:r>
              <w:rPr>
                <w:rFonts w:ascii="Times New Roman" w:hAnsi="Times New Roman" w:cs="Times New Roman"/>
                <w:color w:val="333333"/>
                <w:sz w:val="24"/>
                <w:szCs w:val="24"/>
                <w:shd w:val="clear" w:color="auto" w:fill="FFFFFF"/>
              </w:rPr>
              <w:t xml:space="preserve">  </w:t>
            </w:r>
            <w:r w:rsidRPr="00E924A9">
              <w:rPr>
                <w:rFonts w:ascii="Times New Roman" w:hAnsi="Times New Roman" w:cs="Times New Roman"/>
                <w:color w:val="333333"/>
                <w:sz w:val="24"/>
                <w:szCs w:val="24"/>
                <w:shd w:val="clear" w:color="auto" w:fill="FFFFFF"/>
              </w:rPr>
              <w:t>Cost plus a percentage of cost and percentage of construction costs methods of contracting shall not be used.</w:t>
            </w:r>
            <w:r>
              <w:rPr>
                <w:rFonts w:ascii="Times New Roman" w:hAnsi="Times New Roman" w:cs="Times New Roman"/>
                <w:color w:val="333333"/>
                <w:sz w:val="24"/>
                <w:szCs w:val="24"/>
                <w:shd w:val="clear" w:color="auto" w:fill="FFFFFF"/>
              </w:rPr>
              <w:t xml:space="preserve">  </w:t>
            </w:r>
            <w:r w:rsidRPr="00E924A9">
              <w:rPr>
                <w:rFonts w:ascii="Times New Roman" w:hAnsi="Times New Roman" w:cs="Times New Roman"/>
                <w:color w:val="333333"/>
                <w:sz w:val="24"/>
                <w:szCs w:val="24"/>
                <w:shd w:val="clear" w:color="auto" w:fill="FFFFFF"/>
              </w:rPr>
              <w:t>The policies and procedures shall also include standards of conduct governing employees engaged in the award or administration of contracts.</w:t>
            </w:r>
            <w:r>
              <w:rPr>
                <w:rFonts w:ascii="Times New Roman" w:hAnsi="Times New Roman" w:cs="Times New Roman"/>
                <w:color w:val="333333"/>
                <w:sz w:val="24"/>
                <w:szCs w:val="24"/>
                <w:shd w:val="clear" w:color="auto" w:fill="FFFFFF"/>
              </w:rPr>
              <w:t xml:space="preserve">  </w:t>
            </w:r>
            <w:r w:rsidRPr="00E924A9">
              <w:rPr>
                <w:rFonts w:ascii="Times New Roman" w:hAnsi="Times New Roman" w:cs="Times New Roman"/>
                <w:color w:val="333333"/>
                <w:sz w:val="24"/>
                <w:szCs w:val="24"/>
                <w:shd w:val="clear" w:color="auto" w:fill="FFFFFF"/>
              </w:rPr>
              <w:t>(Other conflicts of interest are covered by </w:t>
            </w:r>
            <w:hyperlink r:id="rId153" w:anchor="h" w:history="1">
              <w:r w:rsidRPr="00E924A9">
                <w:rPr>
                  <w:rStyle w:val="Hyperlink"/>
                  <w:color w:val="0068AC"/>
                  <w:shd w:val="clear" w:color="auto" w:fill="FFFFFF"/>
                </w:rPr>
                <w:t>§570.489(h)</w:t>
              </w:r>
            </w:hyperlink>
            <w:r w:rsidRPr="00E924A9">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w:t>
            </w:r>
            <w:r w:rsidRPr="00E924A9">
              <w:rPr>
                <w:rFonts w:ascii="Times New Roman" w:hAnsi="Times New Roman" w:cs="Times New Roman"/>
                <w:color w:val="333333"/>
                <w:sz w:val="24"/>
                <w:szCs w:val="24"/>
                <w:shd w:val="clear" w:color="auto" w:fill="FFFFFF"/>
              </w:rPr>
              <w:t>The State shall ensure that all purchase orders and contracts include any clauses required by Federal statutes, Executive orders, and implementing regulations.</w:t>
            </w:r>
            <w:r>
              <w:rPr>
                <w:rFonts w:ascii="Times New Roman" w:hAnsi="Times New Roman" w:cs="Times New Roman"/>
                <w:color w:val="333333"/>
                <w:sz w:val="24"/>
                <w:szCs w:val="24"/>
                <w:shd w:val="clear" w:color="auto" w:fill="FFFFFF"/>
              </w:rPr>
              <w:t xml:space="preserve">  </w:t>
            </w:r>
            <w:r w:rsidRPr="00E924A9">
              <w:rPr>
                <w:rFonts w:ascii="Times New Roman" w:hAnsi="Times New Roman" w:cs="Times New Roman"/>
                <w:color w:val="333333"/>
                <w:sz w:val="24"/>
                <w:szCs w:val="24"/>
                <w:shd w:val="clear" w:color="auto" w:fill="FFFFFF"/>
              </w:rPr>
              <w:t>The State shall make subrecipient and contractor determinations in accordance with the standards in </w:t>
            </w:r>
            <w:hyperlink r:id="rId154" w:history="1">
              <w:r w:rsidRPr="00E924A9">
                <w:rPr>
                  <w:rStyle w:val="Hyperlink"/>
                  <w:color w:val="0068AC"/>
                  <w:shd w:val="clear" w:color="auto" w:fill="FFFFFF"/>
                </w:rPr>
                <w:t>2 CFR 200.330</w:t>
              </w:r>
            </w:hyperlink>
            <w:r w:rsidRPr="00E924A9">
              <w:rPr>
                <w:rFonts w:ascii="Times New Roman" w:hAnsi="Times New Roman" w:cs="Times New Roman"/>
                <w:color w:val="333333"/>
                <w:sz w:val="24"/>
                <w:szCs w:val="24"/>
                <w:shd w:val="clear" w:color="auto" w:fill="FFFFFF"/>
              </w:rPr>
              <w:t>.</w:t>
            </w:r>
          </w:p>
          <w:p w14:paraId="63484C44" w14:textId="77777777" w:rsidR="00C1528E" w:rsidRDefault="00C1528E" w:rsidP="002B55BD">
            <w:pPr>
              <w:rPr>
                <w:rFonts w:ascii="Times New Roman" w:hAnsi="Times New Roman" w:cs="Times New Roman"/>
                <w:sz w:val="24"/>
                <w:szCs w:val="24"/>
              </w:rPr>
            </w:pPr>
          </w:p>
        </w:tc>
      </w:tr>
    </w:tbl>
    <w:p w14:paraId="6A7C3EE2" w14:textId="77777777" w:rsidR="00C1528E" w:rsidRDefault="00C1528E" w:rsidP="00C1528E">
      <w:pPr>
        <w:rPr>
          <w:rFonts w:ascii="Times New Roman" w:hAnsi="Times New Roman" w:cs="Times New Roman"/>
          <w:sz w:val="24"/>
          <w:szCs w:val="24"/>
        </w:rPr>
      </w:pPr>
    </w:p>
    <w:p w14:paraId="3B8559F7" w14:textId="77777777" w:rsidR="00C1528E" w:rsidRPr="00A904F4" w:rsidRDefault="00C1528E" w:rsidP="00C1528E">
      <w:pPr>
        <w:ind w:firstLine="720"/>
        <w:rPr>
          <w:rFonts w:ascii="Times New Roman" w:hAnsi="Times New Roman" w:cs="Times New Roman"/>
          <w:sz w:val="24"/>
          <w:szCs w:val="24"/>
        </w:rPr>
      </w:pPr>
      <w:r w:rsidRPr="00A904F4">
        <w:rPr>
          <w:rFonts w:ascii="Times New Roman" w:hAnsi="Times New Roman" w:cs="Times New Roman"/>
          <w:sz w:val="24"/>
          <w:szCs w:val="24"/>
        </w:rPr>
        <w:t xml:space="preserve">As stated herein above in HUD’s February 3, 2022 Federal Register Notice (Volume 87, Number 23 on page 6388 at </w:t>
      </w:r>
      <w:r w:rsidRPr="00A904F4">
        <w:rPr>
          <w:rFonts w:ascii="Times New Roman" w:hAnsi="Times New Roman" w:cs="Times New Roman"/>
          <w:i/>
          <w:iCs/>
          <w:sz w:val="24"/>
          <w:szCs w:val="24"/>
        </w:rPr>
        <w:t>Section IV.B. Procurement</w:t>
      </w:r>
      <w:r w:rsidRPr="00A904F4">
        <w:rPr>
          <w:rFonts w:ascii="Times New Roman" w:hAnsi="Times New Roman" w:cs="Times New Roman"/>
          <w:sz w:val="24"/>
          <w:szCs w:val="24"/>
        </w:rPr>
        <w:t>), ADECA hereby agrees to comply with the following “alternative requirements” as part of its procurement requirements:</w:t>
      </w:r>
    </w:p>
    <w:p w14:paraId="76DACF34" w14:textId="77777777" w:rsidR="00C1528E" w:rsidRPr="00A904F4" w:rsidRDefault="00C1528E" w:rsidP="00C1528E">
      <w:pPr>
        <w:rPr>
          <w:rFonts w:ascii="Times New Roman" w:hAnsi="Times New Roman" w:cs="Times New Roman"/>
          <w:b/>
          <w:bCs/>
          <w:sz w:val="24"/>
          <w:szCs w:val="24"/>
        </w:rPr>
      </w:pPr>
      <w:r w:rsidRPr="00A904F4">
        <w:rPr>
          <w:rFonts w:ascii="Times New Roman" w:hAnsi="Times New Roman" w:cs="Times New Roman"/>
          <w:sz w:val="24"/>
          <w:szCs w:val="24"/>
        </w:rPr>
        <w:tab/>
        <w:t>●</w:t>
      </w:r>
      <w:r w:rsidRPr="00A904F4">
        <w:rPr>
          <w:rFonts w:ascii="Times New Roman" w:hAnsi="Times New Roman" w:cs="Times New Roman"/>
          <w:sz w:val="24"/>
          <w:szCs w:val="24"/>
        </w:rPr>
        <w:tab/>
      </w:r>
      <w:r w:rsidRPr="00A904F4">
        <w:rPr>
          <w:rFonts w:ascii="Times New Roman" w:eastAsia="Garamond" w:hAnsi="Times New Roman" w:cs="Times New Roman"/>
          <w:b/>
          <w:bCs/>
          <w:spacing w:val="-3"/>
          <w:position w:val="1"/>
          <w:sz w:val="24"/>
          <w:szCs w:val="24"/>
        </w:rPr>
        <w:t>Compliance With Evaluating the Cost or Price of the Product or Service Being Procured</w:t>
      </w:r>
    </w:p>
    <w:p w14:paraId="434BE524" w14:textId="77777777" w:rsidR="00C1528E" w:rsidRPr="00A904F4" w:rsidRDefault="00C1528E" w:rsidP="00C1528E">
      <w:pPr>
        <w:ind w:firstLine="720"/>
        <w:rPr>
          <w:rFonts w:ascii="Times New Roman" w:hAnsi="Times New Roman" w:cs="Times New Roman"/>
          <w:sz w:val="24"/>
          <w:szCs w:val="24"/>
        </w:rPr>
      </w:pPr>
      <w:r w:rsidRPr="00A904F4">
        <w:rPr>
          <w:rFonts w:ascii="Times New Roman" w:hAnsi="Times New Roman" w:cs="Times New Roman"/>
          <w:sz w:val="24"/>
          <w:szCs w:val="24"/>
        </w:rPr>
        <w:t>ADECA hereby agrees to comply with, and maintain compliance with, the procurement standard to evaluate the cost or price of the product or service being procured.</w:t>
      </w:r>
    </w:p>
    <w:p w14:paraId="51A27B9B" w14:textId="77777777" w:rsidR="00C1528E" w:rsidRPr="00A904F4" w:rsidRDefault="00C1528E" w:rsidP="00C1528E">
      <w:pPr>
        <w:rPr>
          <w:rFonts w:ascii="Times New Roman" w:hAnsi="Times New Roman" w:cs="Times New Roman"/>
          <w:b/>
          <w:bCs/>
          <w:sz w:val="24"/>
          <w:szCs w:val="24"/>
        </w:rPr>
      </w:pPr>
      <w:r w:rsidRPr="00A904F4">
        <w:rPr>
          <w:rFonts w:ascii="Times New Roman" w:hAnsi="Times New Roman" w:cs="Times New Roman"/>
          <w:sz w:val="24"/>
          <w:szCs w:val="24"/>
        </w:rPr>
        <w:lastRenderedPageBreak/>
        <w:tab/>
        <w:t>●</w:t>
      </w:r>
      <w:r w:rsidRPr="00A904F4">
        <w:rPr>
          <w:rFonts w:ascii="Times New Roman" w:hAnsi="Times New Roman" w:cs="Times New Roman"/>
          <w:sz w:val="24"/>
          <w:szCs w:val="24"/>
        </w:rPr>
        <w:tab/>
      </w:r>
      <w:r w:rsidRPr="00A904F4">
        <w:rPr>
          <w:rFonts w:ascii="Times New Roman" w:eastAsia="Garamond" w:hAnsi="Times New Roman" w:cs="Times New Roman"/>
          <w:b/>
          <w:bCs/>
          <w:spacing w:val="-3"/>
          <w:position w:val="1"/>
          <w:sz w:val="24"/>
          <w:szCs w:val="24"/>
        </w:rPr>
        <w:t>Compliance With Establishing Requirements for Procurement Processes for Local Governments and Subrecipients</w:t>
      </w:r>
    </w:p>
    <w:p w14:paraId="616CC7DE" w14:textId="77777777" w:rsidR="00C1528E" w:rsidRPr="00A904F4" w:rsidRDefault="00C1528E" w:rsidP="00C1528E">
      <w:pPr>
        <w:ind w:firstLine="720"/>
        <w:rPr>
          <w:rFonts w:ascii="Times New Roman" w:hAnsi="Times New Roman" w:cs="Times New Roman"/>
          <w:sz w:val="24"/>
          <w:szCs w:val="24"/>
        </w:rPr>
      </w:pPr>
      <w:r w:rsidRPr="00A904F4">
        <w:rPr>
          <w:rFonts w:ascii="Times New Roman" w:hAnsi="Times New Roman" w:cs="Times New Roman"/>
          <w:sz w:val="24"/>
          <w:szCs w:val="24"/>
        </w:rPr>
        <w:t>ADECA hereby agrees to comply with, and maintain compliance with, the procurement standard to establish requirements for procurement processes for local governments and subrecipients based on full and open competition consistent with the requirements of 24 CFR §570.489(g), and ADECA shall require a local government or subrecipient to evaluate the cost or price of the product or service being procured with CDBG–DR funds.</w:t>
      </w:r>
    </w:p>
    <w:p w14:paraId="253C7255" w14:textId="77777777" w:rsidR="00C1528E" w:rsidRPr="00A904F4" w:rsidRDefault="00C1528E" w:rsidP="00C1528E">
      <w:pPr>
        <w:ind w:firstLine="720"/>
        <w:rPr>
          <w:rFonts w:ascii="Times New Roman" w:hAnsi="Times New Roman" w:cs="Times New Roman"/>
          <w:b/>
          <w:bCs/>
          <w:sz w:val="24"/>
          <w:szCs w:val="24"/>
        </w:rPr>
      </w:pPr>
      <w:r w:rsidRPr="00A904F4">
        <w:rPr>
          <w:rFonts w:ascii="Times New Roman" w:hAnsi="Times New Roman" w:cs="Times New Roman"/>
          <w:sz w:val="24"/>
          <w:szCs w:val="24"/>
        </w:rPr>
        <w:t>●</w:t>
      </w:r>
      <w:r w:rsidRPr="00A904F4">
        <w:rPr>
          <w:rFonts w:ascii="Times New Roman" w:hAnsi="Times New Roman" w:cs="Times New Roman"/>
          <w:sz w:val="24"/>
          <w:szCs w:val="24"/>
        </w:rPr>
        <w:tab/>
      </w:r>
      <w:r w:rsidRPr="00A904F4">
        <w:rPr>
          <w:rFonts w:ascii="Times New Roman" w:eastAsia="Garamond" w:hAnsi="Times New Roman" w:cs="Times New Roman"/>
          <w:b/>
          <w:bCs/>
          <w:spacing w:val="-3"/>
          <w:position w:val="1"/>
          <w:sz w:val="24"/>
          <w:szCs w:val="24"/>
        </w:rPr>
        <w:t>Compliance With Establishment of Procurement Processes for Other State Agencies</w:t>
      </w:r>
    </w:p>
    <w:p w14:paraId="1AFAE2D3" w14:textId="77777777" w:rsidR="00C1528E" w:rsidRPr="00A904F4" w:rsidRDefault="00C1528E" w:rsidP="00C1528E">
      <w:pPr>
        <w:ind w:firstLine="720"/>
        <w:rPr>
          <w:rFonts w:ascii="Times New Roman" w:hAnsi="Times New Roman" w:cs="Times New Roman"/>
          <w:sz w:val="24"/>
          <w:szCs w:val="24"/>
        </w:rPr>
      </w:pPr>
      <w:r w:rsidRPr="00A904F4">
        <w:rPr>
          <w:rFonts w:ascii="Times New Roman" w:hAnsi="Times New Roman" w:cs="Times New Roman"/>
          <w:sz w:val="24"/>
          <w:szCs w:val="24"/>
        </w:rPr>
        <w:t>ADECA hereby agrees to comply with, and maintain compliance with, the procurement standard that if ADECA, as the State grantee and State agency designated as the administering agency, chooses to provide funding to another state agency, then ADECA will specify in its procurement processes whether the state agency implementing the CDBG–DR activity must follow the procurement processes that ADECA is subject to, or whether the state agency must follow the same processes to which other local governments and subrecipients are subject, or its own procurement processes.</w:t>
      </w:r>
    </w:p>
    <w:p w14:paraId="25DC781E" w14:textId="77777777" w:rsidR="00C1528E" w:rsidRPr="00A904F4" w:rsidRDefault="00C1528E" w:rsidP="00C1528E">
      <w:pPr>
        <w:ind w:firstLine="720"/>
        <w:rPr>
          <w:rFonts w:ascii="Times New Roman" w:hAnsi="Times New Roman" w:cs="Times New Roman"/>
          <w:b/>
          <w:bCs/>
          <w:sz w:val="24"/>
          <w:szCs w:val="24"/>
        </w:rPr>
      </w:pPr>
      <w:r w:rsidRPr="00A904F4">
        <w:rPr>
          <w:rFonts w:ascii="Times New Roman" w:hAnsi="Times New Roman" w:cs="Times New Roman"/>
          <w:sz w:val="24"/>
          <w:szCs w:val="24"/>
        </w:rPr>
        <w:t>●</w:t>
      </w:r>
      <w:r w:rsidRPr="00A904F4">
        <w:rPr>
          <w:rFonts w:ascii="Times New Roman" w:hAnsi="Times New Roman" w:cs="Times New Roman"/>
          <w:sz w:val="24"/>
          <w:szCs w:val="24"/>
        </w:rPr>
        <w:tab/>
      </w:r>
      <w:r w:rsidRPr="00A904F4">
        <w:rPr>
          <w:rFonts w:ascii="Times New Roman" w:eastAsia="Garamond" w:hAnsi="Times New Roman" w:cs="Times New Roman"/>
          <w:b/>
          <w:bCs/>
          <w:spacing w:val="-3"/>
          <w:position w:val="1"/>
          <w:sz w:val="24"/>
          <w:szCs w:val="24"/>
        </w:rPr>
        <w:t>Compliance With Contract Performance Periods, Performance Requirements/ Liquidated Damages, and Administrative Support Performance</w:t>
      </w:r>
    </w:p>
    <w:p w14:paraId="15F8EAF9" w14:textId="77777777" w:rsidR="00C1528E" w:rsidRPr="00A904F4" w:rsidRDefault="00C1528E" w:rsidP="00C1528E">
      <w:pPr>
        <w:ind w:firstLine="720"/>
        <w:rPr>
          <w:rFonts w:ascii="Times New Roman" w:hAnsi="Times New Roman" w:cs="Times New Roman"/>
          <w:sz w:val="24"/>
          <w:szCs w:val="24"/>
        </w:rPr>
      </w:pPr>
      <w:r w:rsidRPr="00A904F4">
        <w:rPr>
          <w:rFonts w:ascii="Times New Roman" w:hAnsi="Times New Roman" w:cs="Times New Roman"/>
          <w:sz w:val="24"/>
          <w:szCs w:val="24"/>
        </w:rPr>
        <w:t>ADECA hereby agrees to comply with, and maintain compliance with, the procurement standard to require that for all contracts with contractors used to provide goods and services:</w:t>
      </w:r>
    </w:p>
    <w:p w14:paraId="095AFE4B" w14:textId="77777777" w:rsidR="00C1528E" w:rsidRPr="00A904F4" w:rsidRDefault="00C1528E" w:rsidP="00C1528E">
      <w:pPr>
        <w:rPr>
          <w:rFonts w:ascii="Times New Roman" w:hAnsi="Times New Roman" w:cs="Times New Roman"/>
          <w:sz w:val="24"/>
          <w:szCs w:val="24"/>
        </w:rPr>
      </w:pPr>
      <w:r w:rsidRPr="00A904F4">
        <w:rPr>
          <w:rFonts w:ascii="Times New Roman" w:hAnsi="Times New Roman" w:cs="Times New Roman"/>
          <w:sz w:val="24"/>
          <w:szCs w:val="24"/>
        </w:rPr>
        <w:tab/>
      </w:r>
      <w:r w:rsidRPr="00A904F4">
        <w:rPr>
          <w:rFonts w:ascii="Times New Roman" w:hAnsi="Times New Roman" w:cs="Times New Roman"/>
          <w:sz w:val="24"/>
          <w:szCs w:val="24"/>
        </w:rPr>
        <w:tab/>
      </w:r>
      <w:r w:rsidRPr="00A904F4">
        <w:rPr>
          <w:rFonts w:ascii="Times New Roman" w:hAnsi="Times New Roman" w:cs="Times New Roman"/>
          <w:sz w:val="24"/>
          <w:szCs w:val="24"/>
        </w:rPr>
        <w:tab/>
        <w:t>1.</w:t>
      </w:r>
      <w:r w:rsidRPr="00A904F4">
        <w:rPr>
          <w:rFonts w:ascii="Times New Roman" w:hAnsi="Times New Roman" w:cs="Times New Roman"/>
          <w:sz w:val="24"/>
          <w:szCs w:val="24"/>
        </w:rPr>
        <w:tab/>
        <w:t>ADECA, as the State grantee (or procuring entity), must clearly state the period of performance or date of completion in all contracts;</w:t>
      </w:r>
    </w:p>
    <w:p w14:paraId="02DA40B1" w14:textId="77777777" w:rsidR="00C1528E" w:rsidRPr="00A904F4" w:rsidRDefault="00C1528E" w:rsidP="00C1528E">
      <w:pPr>
        <w:rPr>
          <w:rFonts w:ascii="Times New Roman" w:hAnsi="Times New Roman" w:cs="Times New Roman"/>
          <w:sz w:val="24"/>
          <w:szCs w:val="24"/>
        </w:rPr>
      </w:pPr>
      <w:r w:rsidRPr="00A904F4">
        <w:rPr>
          <w:rFonts w:ascii="Times New Roman" w:hAnsi="Times New Roman" w:cs="Times New Roman"/>
          <w:sz w:val="24"/>
          <w:szCs w:val="24"/>
        </w:rPr>
        <w:tab/>
      </w:r>
      <w:r w:rsidRPr="00A904F4">
        <w:rPr>
          <w:rFonts w:ascii="Times New Roman" w:hAnsi="Times New Roman" w:cs="Times New Roman"/>
          <w:sz w:val="24"/>
          <w:szCs w:val="24"/>
        </w:rPr>
        <w:tab/>
      </w:r>
      <w:r w:rsidRPr="00A904F4">
        <w:rPr>
          <w:rFonts w:ascii="Times New Roman" w:hAnsi="Times New Roman" w:cs="Times New Roman"/>
          <w:sz w:val="24"/>
          <w:szCs w:val="24"/>
        </w:rPr>
        <w:tab/>
        <w:t>2.</w:t>
      </w:r>
      <w:r w:rsidRPr="00A904F4">
        <w:rPr>
          <w:rFonts w:ascii="Times New Roman" w:hAnsi="Times New Roman" w:cs="Times New Roman"/>
          <w:sz w:val="24"/>
          <w:szCs w:val="24"/>
        </w:rPr>
        <w:tab/>
        <w:t>ADECA, as the State grantee (or procuring entity), must incorporate performance requirements and liquidated damages into each procured contract. Contracts that describe work performed by general management consulting services need not adhere to the requirement on liquidated damages but must incorporate performance requirements; and</w:t>
      </w:r>
    </w:p>
    <w:p w14:paraId="09F077AF" w14:textId="5A8D7AAB" w:rsidR="00C1528E" w:rsidRDefault="00C1528E" w:rsidP="00C1528E">
      <w:pPr>
        <w:rPr>
          <w:rFonts w:ascii="Times New Roman" w:hAnsi="Times New Roman" w:cs="Times New Roman"/>
          <w:sz w:val="24"/>
          <w:szCs w:val="24"/>
        </w:rPr>
      </w:pPr>
      <w:r w:rsidRPr="00A904F4">
        <w:rPr>
          <w:rFonts w:ascii="Times New Roman" w:hAnsi="Times New Roman" w:cs="Times New Roman"/>
          <w:sz w:val="24"/>
          <w:szCs w:val="24"/>
        </w:rPr>
        <w:tab/>
      </w:r>
      <w:r w:rsidRPr="00A904F4">
        <w:rPr>
          <w:rFonts w:ascii="Times New Roman" w:hAnsi="Times New Roman" w:cs="Times New Roman"/>
          <w:sz w:val="24"/>
          <w:szCs w:val="24"/>
        </w:rPr>
        <w:tab/>
      </w:r>
      <w:r w:rsidRPr="00A904F4">
        <w:rPr>
          <w:rFonts w:ascii="Times New Roman" w:hAnsi="Times New Roman" w:cs="Times New Roman"/>
          <w:sz w:val="24"/>
          <w:szCs w:val="24"/>
        </w:rPr>
        <w:tab/>
        <w:t>3.</w:t>
      </w:r>
      <w:r w:rsidRPr="00A904F4">
        <w:rPr>
          <w:rFonts w:ascii="Times New Roman" w:hAnsi="Times New Roman" w:cs="Times New Roman"/>
          <w:sz w:val="24"/>
          <w:szCs w:val="24"/>
        </w:rPr>
        <w:tab/>
        <w:t>ADECA, as the State grantee (or procuring entity), may contract for administrative support, in compliance with 2 CFR 200.459, but may not delegate or contract to any other party any inherently governmental responsibilities related to oversight of the grant, including policy development, fair housing and civil rights compliance, and financial management.</w:t>
      </w:r>
    </w:p>
    <w:p w14:paraId="00A7CAFE" w14:textId="77777777" w:rsidR="00216D1B" w:rsidRPr="00A904F4" w:rsidRDefault="00216D1B" w:rsidP="00C1528E">
      <w:pPr>
        <w:rPr>
          <w:rFonts w:ascii="Times New Roman" w:hAnsi="Times New Roman" w:cs="Times New Roman"/>
          <w:sz w:val="24"/>
          <w:szCs w:val="24"/>
        </w:rPr>
      </w:pPr>
    </w:p>
    <w:p w14:paraId="692C1C96" w14:textId="49F7C5ED" w:rsidR="00C1528E" w:rsidRPr="00776333" w:rsidRDefault="00776333" w:rsidP="00776333">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w:t>
      </w:r>
      <w:r w:rsidRPr="00776333">
        <w:rPr>
          <w:rFonts w:ascii="Times New Roman" w:hAnsi="Times New Roman" w:cs="Times New Roman"/>
          <w:sz w:val="24"/>
          <w:szCs w:val="24"/>
        </w:rPr>
        <w:t>End of Procurement Policy</w:t>
      </w:r>
      <w:r>
        <w:rPr>
          <w:rFonts w:ascii="Times New Roman" w:hAnsi="Times New Roman" w:cs="Times New Roman"/>
          <w:sz w:val="24"/>
          <w:szCs w:val="24"/>
        </w:rPr>
        <w:t>___________________________</w:t>
      </w:r>
    </w:p>
    <w:sectPr w:rsidR="00C1528E" w:rsidRPr="00776333">
      <w:footerReference w:type="default" r:id="rId1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A8B2" w14:textId="77777777" w:rsidR="007E54C9" w:rsidRDefault="007E54C9" w:rsidP="00A36549">
      <w:pPr>
        <w:spacing w:after="0" w:line="240" w:lineRule="auto"/>
      </w:pPr>
      <w:r>
        <w:separator/>
      </w:r>
    </w:p>
  </w:endnote>
  <w:endnote w:type="continuationSeparator" w:id="0">
    <w:p w14:paraId="4E72486F" w14:textId="77777777" w:rsidR="007E54C9" w:rsidRDefault="007E54C9" w:rsidP="00A3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677788"/>
      <w:docPartObj>
        <w:docPartGallery w:val="Page Numbers (Bottom of Page)"/>
        <w:docPartUnique/>
      </w:docPartObj>
    </w:sdtPr>
    <w:sdtEndPr>
      <w:rPr>
        <w:noProof/>
      </w:rPr>
    </w:sdtEndPr>
    <w:sdtContent>
      <w:p w14:paraId="1B272CD0" w14:textId="12AE4E42" w:rsidR="00A36549" w:rsidRDefault="00A365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D10EA1" w14:textId="77777777" w:rsidR="00A36549" w:rsidRDefault="00A36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A030E" w14:textId="77777777" w:rsidR="007E54C9" w:rsidRDefault="007E54C9" w:rsidP="00A36549">
      <w:pPr>
        <w:spacing w:after="0" w:line="240" w:lineRule="auto"/>
      </w:pPr>
      <w:r>
        <w:separator/>
      </w:r>
    </w:p>
  </w:footnote>
  <w:footnote w:type="continuationSeparator" w:id="0">
    <w:p w14:paraId="68B18E5A" w14:textId="77777777" w:rsidR="007E54C9" w:rsidRDefault="007E54C9" w:rsidP="00A36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A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F4A41F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83E2FC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A0856C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A1C683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E513CD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5AF5FF9"/>
    <w:multiLevelType w:val="hybridMultilevel"/>
    <w:tmpl w:val="7160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A5593"/>
    <w:multiLevelType w:val="hybridMultilevel"/>
    <w:tmpl w:val="8C10B056"/>
    <w:lvl w:ilvl="0" w:tplc="8160B6A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1E2C7C"/>
    <w:multiLevelType w:val="hybridMultilevel"/>
    <w:tmpl w:val="7BD888E4"/>
    <w:lvl w:ilvl="0" w:tplc="0409000F">
      <w:start w:val="1"/>
      <w:numFmt w:val="decimal"/>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8EA2697"/>
    <w:multiLevelType w:val="hybridMultilevel"/>
    <w:tmpl w:val="CDC6E08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803541"/>
    <w:multiLevelType w:val="hybridMultilevel"/>
    <w:tmpl w:val="7E9EFE8A"/>
    <w:lvl w:ilvl="0" w:tplc="04090005">
      <w:start w:val="1"/>
      <w:numFmt w:val="bullet"/>
      <w:lvlText w:val=""/>
      <w:lvlJc w:val="left"/>
      <w:pPr>
        <w:tabs>
          <w:tab w:val="num" w:pos="972"/>
        </w:tabs>
        <w:ind w:left="972" w:hanging="360"/>
      </w:pPr>
      <w:rPr>
        <w:rFonts w:ascii="Wingdings" w:hAnsi="Wingdings"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1" w15:restartNumberingAfterBreak="0">
    <w:nsid w:val="430319DD"/>
    <w:multiLevelType w:val="hybridMultilevel"/>
    <w:tmpl w:val="DC703156"/>
    <w:lvl w:ilvl="0" w:tplc="0409000F">
      <w:start w:val="1"/>
      <w:numFmt w:val="decimal"/>
      <w:lvlText w:val="%1."/>
      <w:lvlJc w:val="left"/>
      <w:pPr>
        <w:tabs>
          <w:tab w:val="num" w:pos="702"/>
        </w:tabs>
        <w:ind w:left="70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E24FB5"/>
    <w:multiLevelType w:val="hybridMultilevel"/>
    <w:tmpl w:val="13CA7B6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0237746"/>
    <w:multiLevelType w:val="hybridMultilevel"/>
    <w:tmpl w:val="62946038"/>
    <w:lvl w:ilvl="0" w:tplc="0409000F">
      <w:start w:val="1"/>
      <w:numFmt w:val="decimal"/>
      <w:lvlText w:val="%1."/>
      <w:lvlJc w:val="left"/>
      <w:pPr>
        <w:tabs>
          <w:tab w:val="num" w:pos="1080"/>
        </w:tabs>
        <w:ind w:left="1080" w:hanging="360"/>
      </w:pPr>
    </w:lvl>
    <w:lvl w:ilvl="1" w:tplc="AAD2BD52">
      <w:start w:val="1"/>
      <w:numFmt w:val="lowerLetter"/>
      <w:lvlText w:val="%2."/>
      <w:lvlJc w:val="left"/>
      <w:pPr>
        <w:tabs>
          <w:tab w:val="num" w:pos="1872"/>
        </w:tabs>
        <w:ind w:left="1872" w:hanging="432"/>
      </w:pPr>
    </w:lvl>
    <w:lvl w:ilvl="2" w:tplc="AAD2BD52">
      <w:start w:val="1"/>
      <w:numFmt w:val="lowerLetter"/>
      <w:lvlText w:val="%3."/>
      <w:lvlJc w:val="left"/>
      <w:pPr>
        <w:tabs>
          <w:tab w:val="num" w:pos="2772"/>
        </w:tabs>
        <w:ind w:left="2772" w:hanging="432"/>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5E60643"/>
    <w:multiLevelType w:val="hybridMultilevel"/>
    <w:tmpl w:val="DD045C58"/>
    <w:lvl w:ilvl="0" w:tplc="1CC8AC2A">
      <w:start w:val="1"/>
      <w:numFmt w:val="decimal"/>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5F00474"/>
    <w:multiLevelType w:val="hybridMultilevel"/>
    <w:tmpl w:val="0950C482"/>
    <w:lvl w:ilvl="0" w:tplc="04090019">
      <w:start w:val="1"/>
      <w:numFmt w:val="lowerLett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8C811C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69971A9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700C4E90"/>
    <w:multiLevelType w:val="hybridMultilevel"/>
    <w:tmpl w:val="82E40AB0"/>
    <w:lvl w:ilvl="0" w:tplc="AAD2BD52">
      <w:start w:val="1"/>
      <w:numFmt w:val="lowerLetter"/>
      <w:lvlText w:val="%1."/>
      <w:lvlJc w:val="left"/>
      <w:pPr>
        <w:tabs>
          <w:tab w:val="num" w:pos="1872"/>
        </w:tabs>
        <w:ind w:left="1872" w:hanging="43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31D761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738D428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4D155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753B240D"/>
    <w:multiLevelType w:val="hybridMultilevel"/>
    <w:tmpl w:val="EC16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20C1F"/>
    <w:multiLevelType w:val="hybridMultilevel"/>
    <w:tmpl w:val="8A58EBCE"/>
    <w:lvl w:ilvl="0" w:tplc="04090019">
      <w:start w:val="1"/>
      <w:numFmt w:val="lowerLetter"/>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BC32EBC"/>
    <w:multiLevelType w:val="hybridMultilevel"/>
    <w:tmpl w:val="ACB2B3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653F20"/>
    <w:multiLevelType w:val="hybridMultilevel"/>
    <w:tmpl w:val="14A69AE6"/>
    <w:lvl w:ilvl="0" w:tplc="42BEF020">
      <w:start w:val="1"/>
      <w:numFmt w:val="lowerLetter"/>
      <w:lvlText w:val="%1."/>
      <w:lvlJc w:val="left"/>
      <w:pPr>
        <w:tabs>
          <w:tab w:val="num" w:pos="2520"/>
        </w:tabs>
        <w:ind w:left="2520" w:hanging="360"/>
      </w:pPr>
    </w:lvl>
    <w:lvl w:ilvl="1" w:tplc="04090019">
      <w:start w:val="1"/>
      <w:numFmt w:val="lowerLetter"/>
      <w:lvlText w:val="%2."/>
      <w:lvlJc w:val="left"/>
      <w:pPr>
        <w:tabs>
          <w:tab w:val="num" w:pos="2160"/>
        </w:tabs>
        <w:ind w:left="2160" w:hanging="360"/>
      </w:pPr>
    </w:lvl>
    <w:lvl w:ilvl="2" w:tplc="40FC56D2">
      <w:start w:val="3"/>
      <w:numFmt w:val="decimal"/>
      <w:lvlText w:val="%3."/>
      <w:lvlJc w:val="left"/>
      <w:pPr>
        <w:tabs>
          <w:tab w:val="num" w:pos="2868"/>
        </w:tabs>
        <w:ind w:left="2868"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F5360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7"/>
  </w:num>
  <w:num w:numId="2">
    <w:abstractNumId w:val="26"/>
  </w:num>
  <w:num w:numId="3">
    <w:abstractNumId w:val="19"/>
  </w:num>
  <w:num w:numId="4">
    <w:abstractNumId w:val="4"/>
  </w:num>
  <w:num w:numId="5">
    <w:abstractNumId w:val="20"/>
  </w:num>
  <w:num w:numId="6">
    <w:abstractNumId w:val="21"/>
  </w:num>
  <w:num w:numId="7">
    <w:abstractNumId w:val="3"/>
  </w:num>
  <w:num w:numId="8">
    <w:abstractNumId w:val="0"/>
  </w:num>
  <w:num w:numId="9">
    <w:abstractNumId w:val="1"/>
  </w:num>
  <w:num w:numId="10">
    <w:abstractNumId w:val="2"/>
  </w:num>
  <w:num w:numId="11">
    <w:abstractNumId w:val="16"/>
  </w:num>
  <w:num w:numId="12">
    <w:abstractNumId w:val="5"/>
  </w:num>
  <w:num w:numId="13">
    <w:abstractNumId w:val="7"/>
  </w:num>
  <w:num w:numId="14">
    <w:abstractNumId w:val="10"/>
  </w:num>
  <w:num w:numId="15">
    <w:abstractNumId w:val="12"/>
  </w:num>
  <w:num w:numId="16">
    <w:abstractNumId w:val="9"/>
  </w:num>
  <w:num w:numId="17">
    <w:abstractNumId w:val="24"/>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49"/>
    <w:rsid w:val="00016D20"/>
    <w:rsid w:val="00023168"/>
    <w:rsid w:val="000249A9"/>
    <w:rsid w:val="0002693A"/>
    <w:rsid w:val="00027C3F"/>
    <w:rsid w:val="00031875"/>
    <w:rsid w:val="000458F3"/>
    <w:rsid w:val="00046ADA"/>
    <w:rsid w:val="00066699"/>
    <w:rsid w:val="00093688"/>
    <w:rsid w:val="00097F8B"/>
    <w:rsid w:val="000A51A3"/>
    <w:rsid w:val="000B16DC"/>
    <w:rsid w:val="000B4E44"/>
    <w:rsid w:val="000D6B1B"/>
    <w:rsid w:val="000E33EC"/>
    <w:rsid w:val="000E7C37"/>
    <w:rsid w:val="000F2E0F"/>
    <w:rsid w:val="00100FEB"/>
    <w:rsid w:val="00113A95"/>
    <w:rsid w:val="0013288D"/>
    <w:rsid w:val="00140D1D"/>
    <w:rsid w:val="00154EB6"/>
    <w:rsid w:val="0015779E"/>
    <w:rsid w:val="00161A9A"/>
    <w:rsid w:val="001649F3"/>
    <w:rsid w:val="00195482"/>
    <w:rsid w:val="001974BE"/>
    <w:rsid w:val="001978D8"/>
    <w:rsid w:val="001A73F7"/>
    <w:rsid w:val="001B2E30"/>
    <w:rsid w:val="001C09E8"/>
    <w:rsid w:val="001D5BE0"/>
    <w:rsid w:val="001D6025"/>
    <w:rsid w:val="001E1043"/>
    <w:rsid w:val="001E251F"/>
    <w:rsid w:val="001F288F"/>
    <w:rsid w:val="002027BB"/>
    <w:rsid w:val="00203FFF"/>
    <w:rsid w:val="00210EED"/>
    <w:rsid w:val="00216D1B"/>
    <w:rsid w:val="0023251C"/>
    <w:rsid w:val="002457CF"/>
    <w:rsid w:val="002547B1"/>
    <w:rsid w:val="00273814"/>
    <w:rsid w:val="002759DD"/>
    <w:rsid w:val="00291543"/>
    <w:rsid w:val="00295952"/>
    <w:rsid w:val="002A0C61"/>
    <w:rsid w:val="002A1FA9"/>
    <w:rsid w:val="002C0398"/>
    <w:rsid w:val="002C5490"/>
    <w:rsid w:val="002E1155"/>
    <w:rsid w:val="002E2156"/>
    <w:rsid w:val="002F07EA"/>
    <w:rsid w:val="002F0EE7"/>
    <w:rsid w:val="002F7D90"/>
    <w:rsid w:val="003004A8"/>
    <w:rsid w:val="00300A8D"/>
    <w:rsid w:val="00313D58"/>
    <w:rsid w:val="00323478"/>
    <w:rsid w:val="003262DF"/>
    <w:rsid w:val="00331E03"/>
    <w:rsid w:val="00337044"/>
    <w:rsid w:val="00343509"/>
    <w:rsid w:val="00355046"/>
    <w:rsid w:val="003571C3"/>
    <w:rsid w:val="00365B06"/>
    <w:rsid w:val="0037206D"/>
    <w:rsid w:val="00390F53"/>
    <w:rsid w:val="003915DA"/>
    <w:rsid w:val="00392315"/>
    <w:rsid w:val="0039536A"/>
    <w:rsid w:val="003A78F4"/>
    <w:rsid w:val="003B62B5"/>
    <w:rsid w:val="003C4D88"/>
    <w:rsid w:val="003D2ED3"/>
    <w:rsid w:val="003D4878"/>
    <w:rsid w:val="00411497"/>
    <w:rsid w:val="00420C7F"/>
    <w:rsid w:val="00433E2E"/>
    <w:rsid w:val="004501F6"/>
    <w:rsid w:val="00450824"/>
    <w:rsid w:val="00457C34"/>
    <w:rsid w:val="00467873"/>
    <w:rsid w:val="00483879"/>
    <w:rsid w:val="00490CE4"/>
    <w:rsid w:val="004918ED"/>
    <w:rsid w:val="0049213F"/>
    <w:rsid w:val="004952CB"/>
    <w:rsid w:val="004A0FC5"/>
    <w:rsid w:val="004C3F22"/>
    <w:rsid w:val="004C518A"/>
    <w:rsid w:val="004E246F"/>
    <w:rsid w:val="004E5025"/>
    <w:rsid w:val="004E7C31"/>
    <w:rsid w:val="004F05A0"/>
    <w:rsid w:val="004F4D67"/>
    <w:rsid w:val="005048D1"/>
    <w:rsid w:val="0051005F"/>
    <w:rsid w:val="0051084A"/>
    <w:rsid w:val="005155B2"/>
    <w:rsid w:val="0052487E"/>
    <w:rsid w:val="00534AA3"/>
    <w:rsid w:val="00545F78"/>
    <w:rsid w:val="005604A3"/>
    <w:rsid w:val="0056069F"/>
    <w:rsid w:val="00565A93"/>
    <w:rsid w:val="00576E53"/>
    <w:rsid w:val="0058136A"/>
    <w:rsid w:val="005829B4"/>
    <w:rsid w:val="00585B56"/>
    <w:rsid w:val="00591B12"/>
    <w:rsid w:val="00592749"/>
    <w:rsid w:val="00595B99"/>
    <w:rsid w:val="00597AE1"/>
    <w:rsid w:val="005A0AC0"/>
    <w:rsid w:val="005C0511"/>
    <w:rsid w:val="005C5EA3"/>
    <w:rsid w:val="005D33CE"/>
    <w:rsid w:val="005D5D0F"/>
    <w:rsid w:val="005E0011"/>
    <w:rsid w:val="00613E8A"/>
    <w:rsid w:val="006268FA"/>
    <w:rsid w:val="0063120E"/>
    <w:rsid w:val="00631EAA"/>
    <w:rsid w:val="00636996"/>
    <w:rsid w:val="00637827"/>
    <w:rsid w:val="00637D90"/>
    <w:rsid w:val="0064577D"/>
    <w:rsid w:val="006457D5"/>
    <w:rsid w:val="00655D8E"/>
    <w:rsid w:val="00660D7E"/>
    <w:rsid w:val="00676419"/>
    <w:rsid w:val="0068458C"/>
    <w:rsid w:val="006A3D65"/>
    <w:rsid w:val="006B2588"/>
    <w:rsid w:val="006B3227"/>
    <w:rsid w:val="006B7F0D"/>
    <w:rsid w:val="006C38FA"/>
    <w:rsid w:val="006C4A19"/>
    <w:rsid w:val="006D7980"/>
    <w:rsid w:val="006E215D"/>
    <w:rsid w:val="006E2774"/>
    <w:rsid w:val="006E7E3C"/>
    <w:rsid w:val="006F29DB"/>
    <w:rsid w:val="0070354B"/>
    <w:rsid w:val="007043B4"/>
    <w:rsid w:val="00723FC1"/>
    <w:rsid w:val="00743F58"/>
    <w:rsid w:val="00762274"/>
    <w:rsid w:val="007649AF"/>
    <w:rsid w:val="00776333"/>
    <w:rsid w:val="007945D6"/>
    <w:rsid w:val="00794C3F"/>
    <w:rsid w:val="007C527B"/>
    <w:rsid w:val="007D23E3"/>
    <w:rsid w:val="007D3068"/>
    <w:rsid w:val="007D4A7E"/>
    <w:rsid w:val="007E0630"/>
    <w:rsid w:val="007E54C9"/>
    <w:rsid w:val="007F4497"/>
    <w:rsid w:val="007F6880"/>
    <w:rsid w:val="007F702C"/>
    <w:rsid w:val="008075C7"/>
    <w:rsid w:val="00816B10"/>
    <w:rsid w:val="00821C2F"/>
    <w:rsid w:val="00832735"/>
    <w:rsid w:val="00836EBF"/>
    <w:rsid w:val="00837FE5"/>
    <w:rsid w:val="00845393"/>
    <w:rsid w:val="00852C59"/>
    <w:rsid w:val="00863542"/>
    <w:rsid w:val="008719E8"/>
    <w:rsid w:val="00875E9F"/>
    <w:rsid w:val="00877AC8"/>
    <w:rsid w:val="008B2269"/>
    <w:rsid w:val="008B2D67"/>
    <w:rsid w:val="008B3A64"/>
    <w:rsid w:val="008E4451"/>
    <w:rsid w:val="008F6110"/>
    <w:rsid w:val="0090055A"/>
    <w:rsid w:val="009060BF"/>
    <w:rsid w:val="009078AE"/>
    <w:rsid w:val="00915CD1"/>
    <w:rsid w:val="00923532"/>
    <w:rsid w:val="00944949"/>
    <w:rsid w:val="00946E8B"/>
    <w:rsid w:val="00947AE4"/>
    <w:rsid w:val="00953383"/>
    <w:rsid w:val="00965655"/>
    <w:rsid w:val="00967690"/>
    <w:rsid w:val="0097156A"/>
    <w:rsid w:val="00973E5C"/>
    <w:rsid w:val="00996A6A"/>
    <w:rsid w:val="009A1A81"/>
    <w:rsid w:val="009B364F"/>
    <w:rsid w:val="009B716E"/>
    <w:rsid w:val="009C56DC"/>
    <w:rsid w:val="009C653C"/>
    <w:rsid w:val="009E0A76"/>
    <w:rsid w:val="009E2851"/>
    <w:rsid w:val="009F0816"/>
    <w:rsid w:val="009F22D0"/>
    <w:rsid w:val="00A07083"/>
    <w:rsid w:val="00A10A09"/>
    <w:rsid w:val="00A123C3"/>
    <w:rsid w:val="00A2343E"/>
    <w:rsid w:val="00A238F7"/>
    <w:rsid w:val="00A23A39"/>
    <w:rsid w:val="00A2462D"/>
    <w:rsid w:val="00A251FF"/>
    <w:rsid w:val="00A36549"/>
    <w:rsid w:val="00A5607E"/>
    <w:rsid w:val="00A64A86"/>
    <w:rsid w:val="00A74458"/>
    <w:rsid w:val="00A80099"/>
    <w:rsid w:val="00A904F4"/>
    <w:rsid w:val="00AA58A9"/>
    <w:rsid w:val="00AB2153"/>
    <w:rsid w:val="00AB4A11"/>
    <w:rsid w:val="00AB4EAF"/>
    <w:rsid w:val="00AC030C"/>
    <w:rsid w:val="00AD5BD0"/>
    <w:rsid w:val="00AD61AD"/>
    <w:rsid w:val="00AE649C"/>
    <w:rsid w:val="00B16489"/>
    <w:rsid w:val="00B230CC"/>
    <w:rsid w:val="00B32E71"/>
    <w:rsid w:val="00B373C4"/>
    <w:rsid w:val="00B4157E"/>
    <w:rsid w:val="00B46F87"/>
    <w:rsid w:val="00B61F83"/>
    <w:rsid w:val="00B63CCA"/>
    <w:rsid w:val="00B649CC"/>
    <w:rsid w:val="00B66FA0"/>
    <w:rsid w:val="00B74957"/>
    <w:rsid w:val="00B750A5"/>
    <w:rsid w:val="00B92293"/>
    <w:rsid w:val="00BB113D"/>
    <w:rsid w:val="00BB1B97"/>
    <w:rsid w:val="00BC5F89"/>
    <w:rsid w:val="00BC7403"/>
    <w:rsid w:val="00BE4588"/>
    <w:rsid w:val="00BE5541"/>
    <w:rsid w:val="00BF2DD3"/>
    <w:rsid w:val="00C036AB"/>
    <w:rsid w:val="00C07DDA"/>
    <w:rsid w:val="00C1528E"/>
    <w:rsid w:val="00C20C76"/>
    <w:rsid w:val="00C31D2F"/>
    <w:rsid w:val="00C33C08"/>
    <w:rsid w:val="00C50006"/>
    <w:rsid w:val="00C50D4D"/>
    <w:rsid w:val="00C601F4"/>
    <w:rsid w:val="00C73BD8"/>
    <w:rsid w:val="00C7516A"/>
    <w:rsid w:val="00C8233A"/>
    <w:rsid w:val="00C86CE5"/>
    <w:rsid w:val="00CA0628"/>
    <w:rsid w:val="00CA115B"/>
    <w:rsid w:val="00CA6169"/>
    <w:rsid w:val="00CB2512"/>
    <w:rsid w:val="00CB6318"/>
    <w:rsid w:val="00CB74DE"/>
    <w:rsid w:val="00CD2BBD"/>
    <w:rsid w:val="00CD4842"/>
    <w:rsid w:val="00CD5DCE"/>
    <w:rsid w:val="00CD6242"/>
    <w:rsid w:val="00CD6FEA"/>
    <w:rsid w:val="00CE3EB5"/>
    <w:rsid w:val="00D02B26"/>
    <w:rsid w:val="00D06AE6"/>
    <w:rsid w:val="00D07B8A"/>
    <w:rsid w:val="00D16A05"/>
    <w:rsid w:val="00D20E4B"/>
    <w:rsid w:val="00D2401A"/>
    <w:rsid w:val="00D255E7"/>
    <w:rsid w:val="00D25C0F"/>
    <w:rsid w:val="00D53563"/>
    <w:rsid w:val="00D57B08"/>
    <w:rsid w:val="00D71159"/>
    <w:rsid w:val="00D71980"/>
    <w:rsid w:val="00DA37F0"/>
    <w:rsid w:val="00DA7624"/>
    <w:rsid w:val="00DB2FF1"/>
    <w:rsid w:val="00DD415D"/>
    <w:rsid w:val="00DD4241"/>
    <w:rsid w:val="00DE14B7"/>
    <w:rsid w:val="00DE15B7"/>
    <w:rsid w:val="00DF3295"/>
    <w:rsid w:val="00DF76EA"/>
    <w:rsid w:val="00DF7D0C"/>
    <w:rsid w:val="00E079C4"/>
    <w:rsid w:val="00E10C95"/>
    <w:rsid w:val="00E12538"/>
    <w:rsid w:val="00E14C66"/>
    <w:rsid w:val="00E30266"/>
    <w:rsid w:val="00E3353E"/>
    <w:rsid w:val="00E362CD"/>
    <w:rsid w:val="00E43B7A"/>
    <w:rsid w:val="00E56ADE"/>
    <w:rsid w:val="00E64CF7"/>
    <w:rsid w:val="00E75547"/>
    <w:rsid w:val="00E762C9"/>
    <w:rsid w:val="00E807F0"/>
    <w:rsid w:val="00E97120"/>
    <w:rsid w:val="00EA178C"/>
    <w:rsid w:val="00EB33EE"/>
    <w:rsid w:val="00ED02AE"/>
    <w:rsid w:val="00ED610B"/>
    <w:rsid w:val="00EE4786"/>
    <w:rsid w:val="00EF4CD4"/>
    <w:rsid w:val="00EF525C"/>
    <w:rsid w:val="00F10A20"/>
    <w:rsid w:val="00F11790"/>
    <w:rsid w:val="00F12C04"/>
    <w:rsid w:val="00F14576"/>
    <w:rsid w:val="00F22F46"/>
    <w:rsid w:val="00F2473E"/>
    <w:rsid w:val="00F278EB"/>
    <w:rsid w:val="00F415B1"/>
    <w:rsid w:val="00F43EB9"/>
    <w:rsid w:val="00F45C8A"/>
    <w:rsid w:val="00F537F3"/>
    <w:rsid w:val="00F552AA"/>
    <w:rsid w:val="00F56EFA"/>
    <w:rsid w:val="00F767FD"/>
    <w:rsid w:val="00F81131"/>
    <w:rsid w:val="00F932BB"/>
    <w:rsid w:val="00FA0CFA"/>
    <w:rsid w:val="00FA0F5F"/>
    <w:rsid w:val="00FA1197"/>
    <w:rsid w:val="00FC2014"/>
    <w:rsid w:val="00FC2316"/>
    <w:rsid w:val="00FD0A7E"/>
    <w:rsid w:val="00FF41A9"/>
    <w:rsid w:val="00FF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5C3DC67F"/>
  <w15:chartTrackingRefBased/>
  <w15:docId w15:val="{C82DCA9A-380D-4F6E-8818-84E15617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49"/>
  </w:style>
  <w:style w:type="paragraph" w:styleId="Heading1">
    <w:name w:val="heading 1"/>
    <w:basedOn w:val="Normal"/>
    <w:link w:val="Heading1Char"/>
    <w:qFormat/>
    <w:rsid w:val="00A365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A365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365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3654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654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5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A3654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A3654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3654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36549"/>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A3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549"/>
    <w:pPr>
      <w:widowControl w:val="0"/>
      <w:spacing w:after="0" w:line="240" w:lineRule="auto"/>
      <w:ind w:left="720"/>
      <w:contextualSpacing/>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unhideWhenUsed/>
    <w:rsid w:val="00A36549"/>
    <w:rPr>
      <w:sz w:val="18"/>
      <w:szCs w:val="18"/>
    </w:rPr>
  </w:style>
  <w:style w:type="paragraph" w:styleId="CommentText">
    <w:name w:val="annotation text"/>
    <w:basedOn w:val="Normal"/>
    <w:link w:val="CommentTextChar"/>
    <w:uiPriority w:val="99"/>
    <w:unhideWhenUsed/>
    <w:rsid w:val="00A36549"/>
    <w:pPr>
      <w:widowControl w:val="0"/>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A36549"/>
    <w:rPr>
      <w:rFonts w:ascii="Times New Roman" w:eastAsia="Times New Roman" w:hAnsi="Times New Roman" w:cs="Times New Roman"/>
      <w:color w:val="000000"/>
      <w:sz w:val="20"/>
      <w:szCs w:val="20"/>
    </w:rPr>
  </w:style>
  <w:style w:type="paragraph" w:styleId="Header">
    <w:name w:val="header"/>
    <w:basedOn w:val="Normal"/>
    <w:link w:val="HeaderChar"/>
    <w:unhideWhenUsed/>
    <w:rsid w:val="00A36549"/>
    <w:pPr>
      <w:tabs>
        <w:tab w:val="center" w:pos="4680"/>
        <w:tab w:val="right" w:pos="9360"/>
      </w:tabs>
      <w:spacing w:after="0" w:line="240" w:lineRule="auto"/>
    </w:pPr>
  </w:style>
  <w:style w:type="character" w:customStyle="1" w:styleId="HeaderChar">
    <w:name w:val="Header Char"/>
    <w:basedOn w:val="DefaultParagraphFont"/>
    <w:link w:val="Header"/>
    <w:rsid w:val="00A36549"/>
  </w:style>
  <w:style w:type="paragraph" w:styleId="Footer">
    <w:name w:val="footer"/>
    <w:basedOn w:val="Normal"/>
    <w:link w:val="FooterChar"/>
    <w:unhideWhenUsed/>
    <w:rsid w:val="00A36549"/>
    <w:pPr>
      <w:tabs>
        <w:tab w:val="center" w:pos="4680"/>
        <w:tab w:val="right" w:pos="9360"/>
      </w:tabs>
      <w:spacing w:after="0" w:line="240" w:lineRule="auto"/>
    </w:pPr>
  </w:style>
  <w:style w:type="character" w:customStyle="1" w:styleId="FooterChar">
    <w:name w:val="Footer Char"/>
    <w:basedOn w:val="DefaultParagraphFont"/>
    <w:link w:val="Footer"/>
    <w:rsid w:val="00A36549"/>
  </w:style>
  <w:style w:type="paragraph" w:customStyle="1" w:styleId="Level1">
    <w:name w:val="Level 1"/>
    <w:basedOn w:val="Header"/>
    <w:link w:val="Level1Char"/>
    <w:autoRedefine/>
    <w:locked/>
    <w:rsid w:val="00A36549"/>
    <w:pPr>
      <w:tabs>
        <w:tab w:val="clear" w:pos="4680"/>
        <w:tab w:val="clear" w:pos="9360"/>
      </w:tabs>
    </w:pPr>
    <w:rPr>
      <w:rFonts w:ascii="Times New Roman" w:eastAsia="Times New Roman" w:hAnsi="Times New Roman" w:cs="Times New Roman"/>
      <w:bCs/>
      <w:sz w:val="24"/>
      <w:szCs w:val="24"/>
    </w:rPr>
  </w:style>
  <w:style w:type="character" w:customStyle="1" w:styleId="Level1Char">
    <w:name w:val="Level 1 Char"/>
    <w:link w:val="Level1"/>
    <w:locked/>
    <w:rsid w:val="00A36549"/>
    <w:rPr>
      <w:rFonts w:ascii="Times New Roman" w:eastAsia="Times New Roman" w:hAnsi="Times New Roman" w:cs="Times New Roman"/>
      <w:bCs/>
      <w:sz w:val="24"/>
      <w:szCs w:val="24"/>
    </w:rPr>
  </w:style>
  <w:style w:type="paragraph" w:styleId="Revision">
    <w:name w:val="Revision"/>
    <w:hidden/>
    <w:uiPriority w:val="99"/>
    <w:semiHidden/>
    <w:rsid w:val="00A36549"/>
    <w:pPr>
      <w:spacing w:after="0" w:line="240" w:lineRule="auto"/>
    </w:pPr>
  </w:style>
  <w:style w:type="paragraph" w:styleId="NoSpacing">
    <w:name w:val="No Spacing"/>
    <w:uiPriority w:val="1"/>
    <w:qFormat/>
    <w:rsid w:val="00A36549"/>
    <w:pPr>
      <w:spacing w:after="0" w:line="240" w:lineRule="auto"/>
    </w:pPr>
  </w:style>
  <w:style w:type="paragraph" w:styleId="CommentSubject">
    <w:name w:val="annotation subject"/>
    <w:basedOn w:val="CommentText"/>
    <w:next w:val="CommentText"/>
    <w:link w:val="CommentSubjectChar"/>
    <w:uiPriority w:val="99"/>
    <w:semiHidden/>
    <w:unhideWhenUsed/>
    <w:rsid w:val="00A36549"/>
    <w:pPr>
      <w:widowControl/>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A36549"/>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A36549"/>
    <w:rPr>
      <w:color w:val="0563C1" w:themeColor="hyperlink"/>
      <w:u w:val="single"/>
    </w:rPr>
  </w:style>
  <w:style w:type="character" w:styleId="UnresolvedMention">
    <w:name w:val="Unresolved Mention"/>
    <w:basedOn w:val="DefaultParagraphFont"/>
    <w:uiPriority w:val="99"/>
    <w:semiHidden/>
    <w:unhideWhenUsed/>
    <w:rsid w:val="00A36549"/>
    <w:rPr>
      <w:color w:val="605E5C"/>
      <w:shd w:val="clear" w:color="auto" w:fill="E1DFDD"/>
    </w:rPr>
  </w:style>
  <w:style w:type="character" w:styleId="FollowedHyperlink">
    <w:name w:val="FollowedHyperlink"/>
    <w:basedOn w:val="DefaultParagraphFont"/>
    <w:uiPriority w:val="99"/>
    <w:semiHidden/>
    <w:unhideWhenUsed/>
    <w:rsid w:val="00A36549"/>
    <w:rPr>
      <w:color w:val="954F72" w:themeColor="followedHyperlink"/>
      <w:u w:val="single"/>
    </w:rPr>
  </w:style>
  <w:style w:type="paragraph" w:styleId="HTMLPreformatted">
    <w:name w:val="HTML Preformatted"/>
    <w:basedOn w:val="Normal"/>
    <w:link w:val="HTMLPreformattedChar"/>
    <w:uiPriority w:val="99"/>
    <w:semiHidden/>
    <w:unhideWhenUsed/>
    <w:rsid w:val="00A3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6549"/>
    <w:rPr>
      <w:rFonts w:ascii="Courier New" w:eastAsia="Times New Roman" w:hAnsi="Courier New" w:cs="Courier New"/>
      <w:sz w:val="20"/>
      <w:szCs w:val="20"/>
    </w:rPr>
  </w:style>
  <w:style w:type="character" w:customStyle="1" w:styleId="y2iqfc">
    <w:name w:val="y2iqfc"/>
    <w:basedOn w:val="DefaultParagraphFont"/>
    <w:rsid w:val="00A36549"/>
  </w:style>
  <w:style w:type="paragraph" w:styleId="NormalWeb">
    <w:name w:val="Normal (Web)"/>
    <w:basedOn w:val="Normal"/>
    <w:uiPriority w:val="99"/>
    <w:unhideWhenUsed/>
    <w:rsid w:val="00A3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A36549"/>
    <w:pPr>
      <w:spacing w:after="120" w:line="480" w:lineRule="auto"/>
      <w:ind w:left="36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uiPriority w:val="99"/>
    <w:rsid w:val="00A36549"/>
    <w:rPr>
      <w:rFonts w:ascii="Arial" w:eastAsia="Times New Roman" w:hAnsi="Arial" w:cs="Times New Roman"/>
      <w:sz w:val="24"/>
      <w:szCs w:val="24"/>
    </w:rPr>
  </w:style>
  <w:style w:type="character" w:styleId="PageNumber">
    <w:name w:val="page number"/>
    <w:basedOn w:val="DefaultParagraphFont"/>
    <w:rsid w:val="00A36549"/>
  </w:style>
  <w:style w:type="paragraph" w:styleId="BalloonText">
    <w:name w:val="Balloon Text"/>
    <w:basedOn w:val="Normal"/>
    <w:link w:val="BalloonTextChar"/>
    <w:semiHidden/>
    <w:rsid w:val="00A3654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36549"/>
    <w:rPr>
      <w:rFonts w:ascii="Tahoma" w:eastAsia="Times New Roman" w:hAnsi="Tahoma" w:cs="Tahoma"/>
      <w:sz w:val="16"/>
      <w:szCs w:val="16"/>
    </w:rPr>
  </w:style>
  <w:style w:type="paragraph" w:styleId="BodyText">
    <w:name w:val="Body Text"/>
    <w:basedOn w:val="Normal"/>
    <w:link w:val="BodyTextChar"/>
    <w:rsid w:val="00A36549"/>
    <w:pPr>
      <w:spacing w:after="0" w:line="240" w:lineRule="auto"/>
      <w:jc w:val="center"/>
    </w:pPr>
    <w:rPr>
      <w:rFonts w:ascii="Arial" w:eastAsia="Times New Roman" w:hAnsi="Arial" w:cs="Times New Roman"/>
      <w:sz w:val="24"/>
      <w:szCs w:val="20"/>
      <w:u w:val="single"/>
    </w:rPr>
  </w:style>
  <w:style w:type="character" w:customStyle="1" w:styleId="BodyTextChar">
    <w:name w:val="Body Text Char"/>
    <w:basedOn w:val="DefaultParagraphFont"/>
    <w:link w:val="BodyText"/>
    <w:rsid w:val="00A36549"/>
    <w:rPr>
      <w:rFonts w:ascii="Arial" w:eastAsia="Times New Roman" w:hAnsi="Arial" w:cs="Times New Roman"/>
      <w:sz w:val="24"/>
      <w:szCs w:val="20"/>
      <w:u w:val="single"/>
    </w:rPr>
  </w:style>
  <w:style w:type="character" w:customStyle="1" w:styleId="baec5a81-e4d6-4674-97f3-e9220f0136c1">
    <w:name w:val="baec5a81-e4d6-4674-97f3-e9220f0136c1"/>
    <w:rsid w:val="00A36549"/>
  </w:style>
  <w:style w:type="paragraph" w:styleId="BodyTextIndent3">
    <w:name w:val="Body Text Indent 3"/>
    <w:basedOn w:val="Normal"/>
    <w:link w:val="BodyTextIndent3Char"/>
    <w:uiPriority w:val="99"/>
    <w:semiHidden/>
    <w:unhideWhenUsed/>
    <w:rsid w:val="00A3654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36549"/>
    <w:rPr>
      <w:sz w:val="16"/>
      <w:szCs w:val="16"/>
    </w:rPr>
  </w:style>
  <w:style w:type="paragraph" w:styleId="BodyTextIndent">
    <w:name w:val="Body Text Indent"/>
    <w:basedOn w:val="Normal"/>
    <w:link w:val="BodyTextIndentChar"/>
    <w:uiPriority w:val="99"/>
    <w:unhideWhenUsed/>
    <w:rsid w:val="00A36549"/>
    <w:pPr>
      <w:spacing w:after="120"/>
      <w:ind w:left="360"/>
    </w:pPr>
  </w:style>
  <w:style w:type="character" w:customStyle="1" w:styleId="BodyTextIndentChar">
    <w:name w:val="Body Text Indent Char"/>
    <w:basedOn w:val="DefaultParagraphFont"/>
    <w:link w:val="BodyTextIndent"/>
    <w:uiPriority w:val="99"/>
    <w:rsid w:val="00A36549"/>
  </w:style>
  <w:style w:type="character" w:customStyle="1" w:styleId="inline-header">
    <w:name w:val="inline-header"/>
    <w:basedOn w:val="DefaultParagraphFont"/>
    <w:rsid w:val="00A36549"/>
  </w:style>
  <w:style w:type="character" w:customStyle="1" w:styleId="inline-paragraph">
    <w:name w:val="inline-paragraph"/>
    <w:basedOn w:val="DefaultParagraphFont"/>
    <w:rsid w:val="00A36549"/>
  </w:style>
  <w:style w:type="paragraph" w:styleId="z-TopofForm">
    <w:name w:val="HTML Top of Form"/>
    <w:basedOn w:val="Normal"/>
    <w:next w:val="Normal"/>
    <w:link w:val="z-TopofFormChar"/>
    <w:hidden/>
    <w:uiPriority w:val="99"/>
    <w:semiHidden/>
    <w:unhideWhenUsed/>
    <w:rsid w:val="00A3654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36549"/>
    <w:rPr>
      <w:rFonts w:ascii="Arial" w:eastAsia="Times New Roman" w:hAnsi="Arial" w:cs="Arial"/>
      <w:vanish/>
      <w:sz w:val="16"/>
      <w:szCs w:val="16"/>
    </w:rPr>
  </w:style>
  <w:style w:type="character" w:customStyle="1" w:styleId="wpforms-required-label">
    <w:name w:val="wpforms-required-label"/>
    <w:basedOn w:val="DefaultParagraphFont"/>
    <w:rsid w:val="00A36549"/>
  </w:style>
  <w:style w:type="paragraph" w:styleId="z-BottomofForm">
    <w:name w:val="HTML Bottom of Form"/>
    <w:basedOn w:val="Normal"/>
    <w:next w:val="Normal"/>
    <w:link w:val="z-BottomofFormChar"/>
    <w:hidden/>
    <w:uiPriority w:val="99"/>
    <w:semiHidden/>
    <w:unhideWhenUsed/>
    <w:rsid w:val="00A3654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36549"/>
    <w:rPr>
      <w:rFonts w:ascii="Arial" w:eastAsia="Times New Roman" w:hAnsi="Arial" w:cs="Arial"/>
      <w:vanish/>
      <w:sz w:val="16"/>
      <w:szCs w:val="16"/>
    </w:rPr>
  </w:style>
  <w:style w:type="character" w:styleId="PlaceholderText">
    <w:name w:val="Placeholder Text"/>
    <w:basedOn w:val="DefaultParagraphFont"/>
    <w:uiPriority w:val="99"/>
    <w:semiHidden/>
    <w:rsid w:val="00A36549"/>
    <w:rPr>
      <w:color w:val="808080"/>
    </w:rPr>
  </w:style>
  <w:style w:type="character" w:customStyle="1" w:styleId="Style1">
    <w:name w:val="Style1"/>
    <w:basedOn w:val="DefaultParagraphFont"/>
    <w:uiPriority w:val="1"/>
    <w:rsid w:val="00A36549"/>
    <w:rPr>
      <w:u w:val="single"/>
    </w:rPr>
  </w:style>
  <w:style w:type="character" w:customStyle="1" w:styleId="Style2">
    <w:name w:val="Style2"/>
    <w:basedOn w:val="DefaultParagraphFont"/>
    <w:uiPriority w:val="1"/>
    <w:rsid w:val="00A36549"/>
    <w:rPr>
      <w:u w:val="single"/>
    </w:rPr>
  </w:style>
  <w:style w:type="character" w:customStyle="1" w:styleId="Style3">
    <w:name w:val="Style3"/>
    <w:basedOn w:val="DefaultParagraphFont"/>
    <w:uiPriority w:val="1"/>
    <w:rsid w:val="00A36549"/>
    <w:rPr>
      <w:u w:val="single"/>
    </w:rPr>
  </w:style>
  <w:style w:type="paragraph" w:styleId="PlainText">
    <w:name w:val="Plain Text"/>
    <w:basedOn w:val="Normal"/>
    <w:link w:val="PlainTextChar"/>
    <w:uiPriority w:val="99"/>
    <w:semiHidden/>
    <w:unhideWhenUsed/>
    <w:rsid w:val="00A3654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36549"/>
    <w:rPr>
      <w:rFonts w:ascii="Calibri" w:hAnsi="Calibri"/>
      <w:szCs w:val="21"/>
    </w:rPr>
  </w:style>
  <w:style w:type="paragraph" w:customStyle="1" w:styleId="indent-1">
    <w:name w:val="indent-1"/>
    <w:basedOn w:val="Normal"/>
    <w:rsid w:val="00A365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A36549"/>
  </w:style>
  <w:style w:type="character" w:customStyle="1" w:styleId="paren">
    <w:name w:val="paren"/>
    <w:basedOn w:val="DefaultParagraphFont"/>
    <w:rsid w:val="00A36549"/>
  </w:style>
  <w:style w:type="paragraph" w:customStyle="1" w:styleId="indent-2">
    <w:name w:val="indent-2"/>
    <w:basedOn w:val="Normal"/>
    <w:rsid w:val="00A365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A365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6549"/>
    <w:rPr>
      <w:i/>
      <w:iCs/>
    </w:rPr>
  </w:style>
  <w:style w:type="paragraph" w:customStyle="1" w:styleId="indent-4">
    <w:name w:val="indent-4"/>
    <w:basedOn w:val="Normal"/>
    <w:rsid w:val="00A365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E64CF7"/>
  </w:style>
  <w:style w:type="character" w:customStyle="1" w:styleId="et03">
    <w:name w:val="et03"/>
    <w:basedOn w:val="DefaultParagraphFont"/>
    <w:rsid w:val="00E64CF7"/>
  </w:style>
  <w:style w:type="character" w:customStyle="1" w:styleId="UnresolvedMention1">
    <w:name w:val="Unresolved Mention1"/>
    <w:basedOn w:val="DefaultParagraphFont"/>
    <w:uiPriority w:val="99"/>
    <w:semiHidden/>
    <w:unhideWhenUsed/>
    <w:rsid w:val="003C4D88"/>
    <w:rPr>
      <w:color w:val="605E5C"/>
      <w:shd w:val="clear" w:color="auto" w:fill="E1DFDD"/>
    </w:rPr>
  </w:style>
  <w:style w:type="paragraph" w:customStyle="1" w:styleId="Default">
    <w:name w:val="Default"/>
    <w:rsid w:val="003C4D8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ection-1">
    <w:name w:val="psection-1"/>
    <w:basedOn w:val="Normal"/>
    <w:rsid w:val="003C4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2">
    <w:name w:val="psection-2"/>
    <w:basedOn w:val="Normal"/>
    <w:rsid w:val="003C4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3C4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3C4D88"/>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3C4D88"/>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3C4D88"/>
    <w:pPr>
      <w:spacing w:before="100" w:beforeAutospacing="1" w:after="100" w:afterAutospacing="1" w:line="240" w:lineRule="auto"/>
    </w:pPr>
    <w:rPr>
      <w:rFonts w:ascii="Tahoma" w:eastAsia="Times New Roman" w:hAnsi="Tahoma" w:cs="Tahoma"/>
      <w:color w:val="000000"/>
      <w:sz w:val="18"/>
      <w:szCs w:val="18"/>
    </w:rPr>
  </w:style>
  <w:style w:type="paragraph" w:customStyle="1" w:styleId="font8">
    <w:name w:val="font8"/>
    <w:basedOn w:val="Normal"/>
    <w:rsid w:val="003C4D88"/>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3">
    <w:name w:val="xl63"/>
    <w:basedOn w:val="Normal"/>
    <w:rsid w:val="003C4D8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Normal"/>
    <w:rsid w:val="003C4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2060"/>
      <w:sz w:val="24"/>
      <w:szCs w:val="24"/>
    </w:rPr>
  </w:style>
  <w:style w:type="paragraph" w:customStyle="1" w:styleId="xl65">
    <w:name w:val="xl65"/>
    <w:basedOn w:val="Normal"/>
    <w:rsid w:val="003C4D88"/>
    <w:pPr>
      <w:pBdr>
        <w:bottom w:val="double" w:sz="6" w:space="0" w:color="auto"/>
      </w:pBdr>
      <w:shd w:val="clear" w:color="000000" w:fill="FFFFFF"/>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66">
    <w:name w:val="xl66"/>
    <w:basedOn w:val="Normal"/>
    <w:rsid w:val="003C4D88"/>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3C4D8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3C4D8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C4D88"/>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3C4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C4D8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3C4D88"/>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3C4D88"/>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74">
    <w:name w:val="xl74"/>
    <w:basedOn w:val="Normal"/>
    <w:rsid w:val="003C4D88"/>
    <w:pP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u w:val="single"/>
    </w:rPr>
  </w:style>
  <w:style w:type="paragraph" w:customStyle="1" w:styleId="xl75">
    <w:name w:val="xl75"/>
    <w:basedOn w:val="Normal"/>
    <w:rsid w:val="003C4D8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u w:val="single"/>
    </w:rPr>
  </w:style>
  <w:style w:type="paragraph" w:customStyle="1" w:styleId="xl76">
    <w:name w:val="xl76"/>
    <w:basedOn w:val="Normal"/>
    <w:rsid w:val="003C4D88"/>
    <w:pPr>
      <w:shd w:val="clear" w:color="000000" w:fill="FFFFFF"/>
      <w:spacing w:before="100" w:beforeAutospacing="1" w:after="100" w:afterAutospacing="1" w:line="240" w:lineRule="auto"/>
    </w:pPr>
    <w:rPr>
      <w:rFonts w:ascii="Times New Roman" w:eastAsia="Times New Roman" w:hAnsi="Times New Roman" w:cs="Times New Roman"/>
      <w:i/>
      <w:iCs/>
      <w:sz w:val="24"/>
      <w:szCs w:val="24"/>
      <w:u w:val="single"/>
    </w:rPr>
  </w:style>
  <w:style w:type="paragraph" w:customStyle="1" w:styleId="xl77">
    <w:name w:val="xl77"/>
    <w:basedOn w:val="Normal"/>
    <w:rsid w:val="003C4D88"/>
    <w:pPr>
      <w:spacing w:before="100" w:beforeAutospacing="1" w:after="100" w:afterAutospacing="1" w:line="240" w:lineRule="auto"/>
    </w:pPr>
    <w:rPr>
      <w:rFonts w:ascii="Times New Roman" w:eastAsia="Times New Roman" w:hAnsi="Times New Roman" w:cs="Times New Roman"/>
      <w:i/>
      <w:iCs/>
      <w:sz w:val="24"/>
      <w:szCs w:val="24"/>
      <w:u w:val="single"/>
    </w:rPr>
  </w:style>
  <w:style w:type="paragraph" w:customStyle="1" w:styleId="xl78">
    <w:name w:val="xl78"/>
    <w:basedOn w:val="Normal"/>
    <w:rsid w:val="003C4D8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3C4D8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3C4D8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2">
    <w:name w:val="xl82"/>
    <w:basedOn w:val="Normal"/>
    <w:rsid w:val="003C4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3C4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3C4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3C4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color w:val="002060"/>
      <w:sz w:val="24"/>
      <w:szCs w:val="24"/>
    </w:rPr>
  </w:style>
  <w:style w:type="paragraph" w:customStyle="1" w:styleId="xl86">
    <w:name w:val="xl86"/>
    <w:basedOn w:val="Normal"/>
    <w:rsid w:val="003C4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color w:val="002060"/>
      <w:sz w:val="24"/>
      <w:szCs w:val="24"/>
    </w:rPr>
  </w:style>
  <w:style w:type="paragraph" w:customStyle="1" w:styleId="xl87">
    <w:name w:val="xl87"/>
    <w:basedOn w:val="Normal"/>
    <w:rsid w:val="003C4D88"/>
    <w:pPr>
      <w:pBdr>
        <w:bottom w:val="double" w:sz="6" w:space="0" w:color="auto"/>
      </w:pBdr>
      <w:shd w:val="clear" w:color="000000" w:fill="FFFFFF"/>
      <w:spacing w:before="100" w:beforeAutospacing="1" w:after="100" w:afterAutospacing="1" w:line="240" w:lineRule="auto"/>
    </w:pPr>
    <w:rPr>
      <w:rFonts w:ascii="Times New Roman" w:eastAsia="Times New Roman" w:hAnsi="Times New Roman" w:cs="Times New Roman"/>
      <w:i/>
      <w:iCs/>
      <w:color w:val="002060"/>
      <w:sz w:val="24"/>
      <w:szCs w:val="24"/>
    </w:rPr>
  </w:style>
  <w:style w:type="paragraph" w:customStyle="1" w:styleId="xl88">
    <w:name w:val="xl88"/>
    <w:basedOn w:val="Normal"/>
    <w:rsid w:val="003C4D88"/>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9">
    <w:name w:val="xl89"/>
    <w:basedOn w:val="Normal"/>
    <w:rsid w:val="003C4D8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Normal"/>
    <w:rsid w:val="003C4D88"/>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1">
    <w:name w:val="xl91"/>
    <w:basedOn w:val="Normal"/>
    <w:rsid w:val="003C4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2060"/>
      <w:sz w:val="24"/>
      <w:szCs w:val="24"/>
    </w:rPr>
  </w:style>
  <w:style w:type="paragraph" w:customStyle="1" w:styleId="xl92">
    <w:name w:val="xl92"/>
    <w:basedOn w:val="Normal"/>
    <w:rsid w:val="003C4D88"/>
    <w:pPr>
      <w:pBdr>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93">
    <w:name w:val="xl93"/>
    <w:basedOn w:val="Normal"/>
    <w:rsid w:val="003C4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color w:val="002060"/>
      <w:sz w:val="24"/>
      <w:szCs w:val="24"/>
    </w:rPr>
  </w:style>
  <w:style w:type="paragraph" w:customStyle="1" w:styleId="xl94">
    <w:name w:val="xl94"/>
    <w:basedOn w:val="Normal"/>
    <w:rsid w:val="003C4D8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Normal"/>
    <w:rsid w:val="003C4D88"/>
    <w:pPr>
      <w:shd w:val="clear" w:color="000000" w:fill="FFFF00"/>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96">
    <w:name w:val="xl96"/>
    <w:basedOn w:val="Normal"/>
    <w:rsid w:val="003C4D88"/>
    <w:pPr>
      <w:pBdr>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97">
    <w:name w:val="xl97"/>
    <w:basedOn w:val="Normal"/>
    <w:rsid w:val="003C4D88"/>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98">
    <w:name w:val="xl98"/>
    <w:basedOn w:val="Normal"/>
    <w:rsid w:val="003C4D88"/>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9">
    <w:name w:val="xl99"/>
    <w:basedOn w:val="Normal"/>
    <w:rsid w:val="003C4D88"/>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0">
    <w:name w:val="xl100"/>
    <w:basedOn w:val="Normal"/>
    <w:rsid w:val="003C4D88"/>
    <w:pPr>
      <w:pBdr>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101">
    <w:name w:val="xl101"/>
    <w:basedOn w:val="Normal"/>
    <w:rsid w:val="003C4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Normal"/>
    <w:rsid w:val="003C4D88"/>
    <w:pPr>
      <w:pBdr>
        <w:top w:val="single" w:sz="4" w:space="0" w:color="auto"/>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3C4D88"/>
    <w:pPr>
      <w:pBdr>
        <w:top w:val="single" w:sz="4" w:space="0" w:color="auto"/>
        <w:bottom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C4D88"/>
    <w:pPr>
      <w:pBdr>
        <w:top w:val="single" w:sz="4" w:space="0" w:color="auto"/>
        <w:bottom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105">
    <w:name w:val="xl105"/>
    <w:basedOn w:val="Normal"/>
    <w:rsid w:val="003C4D88"/>
    <w:pPr>
      <w:shd w:val="clear" w:color="000000" w:fill="FFFFFF"/>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106">
    <w:name w:val="xl106"/>
    <w:basedOn w:val="Normal"/>
    <w:rsid w:val="003C4D88"/>
    <w:pPr>
      <w:pBdr>
        <w:top w:val="single" w:sz="4" w:space="0" w:color="auto"/>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1F497D"/>
      <w:sz w:val="24"/>
      <w:szCs w:val="24"/>
    </w:rPr>
  </w:style>
  <w:style w:type="paragraph" w:customStyle="1" w:styleId="xl107">
    <w:name w:val="xl107"/>
    <w:basedOn w:val="Normal"/>
    <w:rsid w:val="003C4D88"/>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Normal"/>
    <w:rsid w:val="003C4D88"/>
    <w:pP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u w:val="single"/>
    </w:rPr>
  </w:style>
  <w:style w:type="paragraph" w:customStyle="1" w:styleId="xl109">
    <w:name w:val="xl109"/>
    <w:basedOn w:val="Normal"/>
    <w:rsid w:val="003C4D88"/>
    <w:pP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10">
    <w:name w:val="xl110"/>
    <w:basedOn w:val="Normal"/>
    <w:rsid w:val="003C4D88"/>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Normal"/>
    <w:rsid w:val="003C4D88"/>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Normal"/>
    <w:rsid w:val="003C4D8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3C4D88"/>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Normal"/>
    <w:rsid w:val="003C4D88"/>
    <w:pPr>
      <w:pBdr>
        <w:top w:val="single" w:sz="4" w:space="0" w:color="auto"/>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5">
    <w:name w:val="xl115"/>
    <w:basedOn w:val="Normal"/>
    <w:rsid w:val="003C4D88"/>
    <w:pPr>
      <w:pBdr>
        <w:top w:val="single" w:sz="4" w:space="0" w:color="auto"/>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6">
    <w:name w:val="xl116"/>
    <w:basedOn w:val="Normal"/>
    <w:rsid w:val="003C4D88"/>
    <w:pPr>
      <w:pBdr>
        <w:top w:val="single" w:sz="4" w:space="0" w:color="auto"/>
        <w:bottom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7">
    <w:name w:val="xl117"/>
    <w:basedOn w:val="Normal"/>
    <w:rsid w:val="003C4D88"/>
    <w:pPr>
      <w:pBdr>
        <w:top w:val="single" w:sz="4" w:space="0" w:color="auto"/>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citation">
    <w:name w:val="citation"/>
    <w:basedOn w:val="Normal"/>
    <w:rsid w:val="00161A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0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cfr.gov/current/title-2/section-200.403" TargetMode="External"/><Relationship Id="rId21" Type="http://schemas.openxmlformats.org/officeDocument/2006/relationships/hyperlink" Target="https://www.ecfr.gov/current/title-2/section-200.214" TargetMode="External"/><Relationship Id="rId42" Type="http://schemas.openxmlformats.org/officeDocument/2006/relationships/hyperlink" Target="https://www.ecfr.gov/current/title-2/section-200.322" TargetMode="External"/><Relationship Id="rId63" Type="http://schemas.openxmlformats.org/officeDocument/2006/relationships/hyperlink" Target="https://www.law.cornell.edu/uscode/text/40/3141" TargetMode="External"/><Relationship Id="rId84" Type="http://schemas.openxmlformats.org/officeDocument/2006/relationships/hyperlink" Target="https://www.law.cornell.edu/cfr/text/37/401.2" TargetMode="External"/><Relationship Id="rId138" Type="http://schemas.openxmlformats.org/officeDocument/2006/relationships/hyperlink" Target="https://www.ecfr.gov/current/title-2/section-200.327" TargetMode="External"/><Relationship Id="rId159" Type="http://schemas.openxmlformats.org/officeDocument/2006/relationships/customXml" Target="../customXml/item2.xml"/><Relationship Id="rId107" Type="http://schemas.openxmlformats.org/officeDocument/2006/relationships/hyperlink" Target="https://www.law.cornell.edu/uscode/text/31/1352" TargetMode="External"/><Relationship Id="rId11" Type="http://schemas.openxmlformats.org/officeDocument/2006/relationships/hyperlink" Target="https://www.ecfr.gov/current/title-2/section-200.318" TargetMode="External"/><Relationship Id="rId32" Type="http://schemas.openxmlformats.org/officeDocument/2006/relationships/hyperlink" Target="https://www.ecfr.gov/current/title-2/section-200.320" TargetMode="External"/><Relationship Id="rId53" Type="http://schemas.openxmlformats.org/officeDocument/2006/relationships/hyperlink" Target="https://www.law.cornell.edu/cfr/text/41/part-60-1" TargetMode="External"/><Relationship Id="rId74" Type="http://schemas.openxmlformats.org/officeDocument/2006/relationships/hyperlink" Target="https://www.law.cornell.edu/topn/contract_work_hours_and_safety_standards_act" TargetMode="External"/><Relationship Id="rId128" Type="http://schemas.openxmlformats.org/officeDocument/2006/relationships/hyperlink" Target="https://www.ecfr.gov/current/title-2/section-200.405" TargetMode="External"/><Relationship Id="rId149" Type="http://schemas.openxmlformats.org/officeDocument/2006/relationships/hyperlink" Target="http://www.adeca.alabama.gov" TargetMode="External"/><Relationship Id="rId5" Type="http://schemas.openxmlformats.org/officeDocument/2006/relationships/footnotes" Target="footnotes.xml"/><Relationship Id="rId95" Type="http://schemas.openxmlformats.org/officeDocument/2006/relationships/hyperlink" Target="https://www.law.cornell.edu/uscode/text/42" TargetMode="External"/><Relationship Id="rId22" Type="http://schemas.openxmlformats.org/officeDocument/2006/relationships/hyperlink" Target="https://www.ecfr.gov/current/title-2/section-200.319" TargetMode="External"/><Relationship Id="rId43" Type="http://schemas.openxmlformats.org/officeDocument/2006/relationships/hyperlink" Target="https://www.ecfr.gov/current/title-2/section-200.323" TargetMode="External"/><Relationship Id="rId64" Type="http://schemas.openxmlformats.org/officeDocument/2006/relationships/hyperlink" Target="https://www.law.cornell.edu/uscode/text/40/3148" TargetMode="External"/><Relationship Id="rId118" Type="http://schemas.openxmlformats.org/officeDocument/2006/relationships/hyperlink" Target="https://www.ecfr.gov/current/title-2/section-200.306" TargetMode="External"/><Relationship Id="rId139" Type="http://schemas.openxmlformats.org/officeDocument/2006/relationships/hyperlink" Target="https://www.govinfo.gov/content/pkg/FR-2022-02-03/pdf-2022-02209.pdf" TargetMode="External"/><Relationship Id="rId80" Type="http://schemas.openxmlformats.org/officeDocument/2006/relationships/hyperlink" Target="https://www.law.cornell.edu/uscode/text/40/3704" TargetMode="External"/><Relationship Id="rId85" Type="http://schemas.openxmlformats.org/officeDocument/2006/relationships/hyperlink" Target="https://www.law.cornell.edu/cfr/text/37/part-401" TargetMode="External"/><Relationship Id="rId150" Type="http://schemas.openxmlformats.org/officeDocument/2006/relationships/hyperlink" Target="https://adeca.alabama.gov/cdbg-disaster-recovery/hurricanes-sally-and-zeta/" TargetMode="External"/><Relationship Id="rId155" Type="http://schemas.openxmlformats.org/officeDocument/2006/relationships/footer" Target="footer1.xml"/><Relationship Id="rId12" Type="http://schemas.openxmlformats.org/officeDocument/2006/relationships/hyperlink" Target="https://www.ecfr.gov/current/title-2/section-200.321" TargetMode="External"/><Relationship Id="rId17" Type="http://schemas.openxmlformats.org/officeDocument/2006/relationships/hyperlink" Target="https://www.ecfr.gov/current/title-2/section-200.327" TargetMode="External"/><Relationship Id="rId33" Type="http://schemas.openxmlformats.org/officeDocument/2006/relationships/hyperlink" Target="https://www.ecfr.gov/current/title-2/section-200.334" TargetMode="External"/><Relationship Id="rId38" Type="http://schemas.openxmlformats.org/officeDocument/2006/relationships/hyperlink" Target="https://www.ecfr.gov/current/title-2/section-200.320" TargetMode="External"/><Relationship Id="rId59" Type="http://schemas.openxmlformats.org/officeDocument/2006/relationships/hyperlink" Target="https://www.govinfo.gov/link/cpd/executiveorder/11246" TargetMode="External"/><Relationship Id="rId103" Type="http://schemas.openxmlformats.org/officeDocument/2006/relationships/hyperlink" Target="https://www.law.cornell.edu/cfr/text/2" TargetMode="External"/><Relationship Id="rId108" Type="http://schemas.openxmlformats.org/officeDocument/2006/relationships/hyperlink" Target="https://www.law.cornell.edu/uscode/text/31/1352" TargetMode="External"/><Relationship Id="rId124" Type="http://schemas.openxmlformats.org/officeDocument/2006/relationships/hyperlink" Target="https://www.ecfr.gov/current/title-2/section-200.404" TargetMode="External"/><Relationship Id="rId129" Type="http://schemas.openxmlformats.org/officeDocument/2006/relationships/hyperlink" Target="https://www.ecfr.gov/current/title-2/section-200.310" TargetMode="External"/><Relationship Id="rId54" Type="http://schemas.openxmlformats.org/officeDocument/2006/relationships/hyperlink" Target="https://www.law.cornell.edu/cfr/text/41" TargetMode="External"/><Relationship Id="rId70" Type="http://schemas.openxmlformats.org/officeDocument/2006/relationships/hyperlink" Target="https://www.law.cornell.edu/uscode/text/40/3148" TargetMode="External"/><Relationship Id="rId75" Type="http://schemas.openxmlformats.org/officeDocument/2006/relationships/hyperlink" Target="https://www.law.cornell.edu/uscode/text/40" TargetMode="External"/><Relationship Id="rId91" Type="http://schemas.openxmlformats.org/officeDocument/2006/relationships/hyperlink" Target="https://www.law.cornell.edu/uscode/text/33" TargetMode="External"/><Relationship Id="rId96" Type="http://schemas.openxmlformats.org/officeDocument/2006/relationships/hyperlink" Target="https://www.law.cornell.edu/uscode/text/42/7401" TargetMode="External"/><Relationship Id="rId140" Type="http://schemas.openxmlformats.org/officeDocument/2006/relationships/hyperlink" Target="https://www.govinfo.gov/content/pkg/FR-2022-02-03/pdf/2022-02209.pdf" TargetMode="External"/><Relationship Id="rId145" Type="http://schemas.openxmlformats.org/officeDocument/2006/relationships/hyperlink" Target="https://adeca.alabama.gov/compliance-plan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ecfr.gov/current/title-2/section-200.320" TargetMode="External"/><Relationship Id="rId28" Type="http://schemas.openxmlformats.org/officeDocument/2006/relationships/hyperlink" Target="https://www.ecfr.gov/current/title-2/section-200.319" TargetMode="External"/><Relationship Id="rId49" Type="http://schemas.openxmlformats.org/officeDocument/2006/relationships/hyperlink" Target="https://www.ecfr.gov/current/title-2/section-200.326" TargetMode="External"/><Relationship Id="rId114" Type="http://schemas.openxmlformats.org/officeDocument/2006/relationships/hyperlink" Target="https://www.law.cornell.edu/rio/citation/85_FR_49577" TargetMode="External"/><Relationship Id="rId119" Type="http://schemas.openxmlformats.org/officeDocument/2006/relationships/hyperlink" Target="https://www.ecfr.gov/current/title-2/part-200/section-200.300" TargetMode="External"/><Relationship Id="rId44" Type="http://schemas.openxmlformats.org/officeDocument/2006/relationships/hyperlink" Target="https://www.ecfr.gov/current/title-40/part-247" TargetMode="External"/><Relationship Id="rId60" Type="http://schemas.openxmlformats.org/officeDocument/2006/relationships/hyperlink" Target="https://www.law.cornell.edu/cfr/text/41/part-60" TargetMode="External"/><Relationship Id="rId65" Type="http://schemas.openxmlformats.org/officeDocument/2006/relationships/hyperlink" Target="https://www.law.cornell.edu/topn/bacon-davis_act" TargetMode="External"/><Relationship Id="rId81" Type="http://schemas.openxmlformats.org/officeDocument/2006/relationships/hyperlink" Target="https://www.law.cornell.edu/cfr/text/29/part-5" TargetMode="External"/><Relationship Id="rId86" Type="http://schemas.openxmlformats.org/officeDocument/2006/relationships/hyperlink" Target="https://www.law.cornell.edu/topn/air_pollution_control_act" TargetMode="External"/><Relationship Id="rId130" Type="http://schemas.openxmlformats.org/officeDocument/2006/relationships/hyperlink" Target="https://www.ecfr.gov/current/title-2/section-200.316" TargetMode="External"/><Relationship Id="rId135" Type="http://schemas.openxmlformats.org/officeDocument/2006/relationships/hyperlink" Target="https://www.hudexchange.info/resource/5614/buying-right-cdbg-dr-and-procurement-a-guide-to-recovery/" TargetMode="External"/><Relationship Id="rId151" Type="http://schemas.openxmlformats.org/officeDocument/2006/relationships/hyperlink" Target="https://www.ecfr.gov/current/title-24/subtitle-B/chapter-V/subchapter-C/part-570/subpart-I/section-570.489" TargetMode="External"/><Relationship Id="rId156" Type="http://schemas.openxmlformats.org/officeDocument/2006/relationships/fontTable" Target="fontTable.xml"/><Relationship Id="rId13" Type="http://schemas.openxmlformats.org/officeDocument/2006/relationships/hyperlink" Target="https://www.ecfr.gov/current/title-2/section-200.322" TargetMode="External"/><Relationship Id="rId18" Type="http://schemas.openxmlformats.org/officeDocument/2006/relationships/hyperlink" Target="https://www.ecfr.gov/current/title-2/section-200.318" TargetMode="External"/><Relationship Id="rId39" Type="http://schemas.openxmlformats.org/officeDocument/2006/relationships/hyperlink" Target="https://www.ecfr.gov/current/title-2/section-200.321" TargetMode="External"/><Relationship Id="rId109" Type="http://schemas.openxmlformats.org/officeDocument/2006/relationships/hyperlink" Target="https://www.law.cornell.edu/cfr/text/2/200.323" TargetMode="External"/><Relationship Id="rId34" Type="http://schemas.openxmlformats.org/officeDocument/2006/relationships/hyperlink" Target="https://www.ecfr.gov/current/title-2/section-200.520" TargetMode="External"/><Relationship Id="rId50" Type="http://schemas.openxmlformats.org/officeDocument/2006/relationships/hyperlink" Target="https://www.ecfr.gov/current/title-2/section-200.327" TargetMode="External"/><Relationship Id="rId55" Type="http://schemas.openxmlformats.org/officeDocument/2006/relationships/hyperlink" Target="https://www.govinfo.gov/link/cpd/executiveorder/11246" TargetMode="External"/><Relationship Id="rId76" Type="http://schemas.openxmlformats.org/officeDocument/2006/relationships/hyperlink" Target="https://www.law.cornell.edu/uscode/text/40/3701" TargetMode="External"/><Relationship Id="rId97" Type="http://schemas.openxmlformats.org/officeDocument/2006/relationships/hyperlink" Target="https://www.law.cornell.edu/uscode/text/42/7671q" TargetMode="External"/><Relationship Id="rId104" Type="http://schemas.openxmlformats.org/officeDocument/2006/relationships/hyperlink" Target="https://www.law.cornell.edu/cfr/text/3/part-1986" TargetMode="External"/><Relationship Id="rId120" Type="http://schemas.openxmlformats.org/officeDocument/2006/relationships/hyperlink" Target="https://www.ecfr.gov/current/title-2/part-200/section-200.309" TargetMode="External"/><Relationship Id="rId125" Type="http://schemas.openxmlformats.org/officeDocument/2006/relationships/hyperlink" Target="https://www.federalregister.gov/citation/78-FR-78608" TargetMode="External"/><Relationship Id="rId141" Type="http://schemas.openxmlformats.org/officeDocument/2006/relationships/hyperlink" Target="mailto:Shabbir.oila@adeca.alabama.gov" TargetMode="External"/><Relationship Id="rId146" Type="http://schemas.openxmlformats.org/officeDocument/2006/relationships/hyperlink" Target="https://adeca.alabama.gov/cdbg/monitoring-and-compliance-checklists/" TargetMode="External"/><Relationship Id="rId7" Type="http://schemas.openxmlformats.org/officeDocument/2006/relationships/hyperlink" Target="https://www.govinfo.gov/content/pkg/FR-2022-02-03/pdf/2022-02209.pdf" TargetMode="External"/><Relationship Id="rId71" Type="http://schemas.openxmlformats.org/officeDocument/2006/relationships/hyperlink" Target="https://www.law.cornell.edu/cfr/text/29/part-5" TargetMode="External"/><Relationship Id="rId92" Type="http://schemas.openxmlformats.org/officeDocument/2006/relationships/hyperlink" Target="https://www.law.cornell.edu/uscode/text/33/1251" TargetMode="External"/><Relationship Id="rId2" Type="http://schemas.openxmlformats.org/officeDocument/2006/relationships/styles" Target="styles.xml"/><Relationship Id="rId29" Type="http://schemas.openxmlformats.org/officeDocument/2006/relationships/hyperlink" Target="https://www.ecfr.gov/current/title-2/section-200.1" TargetMode="External"/><Relationship Id="rId24" Type="http://schemas.openxmlformats.org/officeDocument/2006/relationships/hyperlink" Target="https://www.ecfr.gov/current/title-2/section-200.320" TargetMode="External"/><Relationship Id="rId40" Type="http://schemas.openxmlformats.org/officeDocument/2006/relationships/hyperlink" Target="https://www.ecfr.gov/current/title-2/section-200.321" TargetMode="External"/><Relationship Id="rId45" Type="http://schemas.openxmlformats.org/officeDocument/2006/relationships/hyperlink" Target="https://www.ecfr.gov/current/title-2/section-200.324" TargetMode="External"/><Relationship Id="rId66" Type="http://schemas.openxmlformats.org/officeDocument/2006/relationships/hyperlink" Target="https://www.law.cornell.edu/uscode/text/40" TargetMode="External"/><Relationship Id="rId87" Type="http://schemas.openxmlformats.org/officeDocument/2006/relationships/hyperlink" Target="https://www.law.cornell.edu/uscode/text/42" TargetMode="External"/><Relationship Id="rId110" Type="http://schemas.openxmlformats.org/officeDocument/2006/relationships/hyperlink" Target="https://www.law.cornell.edu/cfr/text/2/200.216" TargetMode="External"/><Relationship Id="rId115" Type="http://schemas.openxmlformats.org/officeDocument/2006/relationships/hyperlink" Target="https://www.ecfr.gov/current/title-2/subtitle-A/chapter-II/part-200/subpart-E/subject-group-ECFRea20080eff2ea53/section-200.403" TargetMode="External"/><Relationship Id="rId131" Type="http://schemas.openxmlformats.org/officeDocument/2006/relationships/hyperlink" Target="https://www.ecfr.gov/current/title-2/section-200.439" TargetMode="External"/><Relationship Id="rId136" Type="http://schemas.openxmlformats.org/officeDocument/2006/relationships/hyperlink" Target="https://files.hudexchange.info/resources/documents/Buying-Right-CDBG-DR-and-Procurement-A-Guide-to-Recovery.pdf" TargetMode="External"/><Relationship Id="rId157" Type="http://schemas.openxmlformats.org/officeDocument/2006/relationships/theme" Target="theme/theme1.xml"/><Relationship Id="rId61" Type="http://schemas.openxmlformats.org/officeDocument/2006/relationships/hyperlink" Target="https://www.law.cornell.edu/topn/bacon-davis_act" TargetMode="External"/><Relationship Id="rId82" Type="http://schemas.openxmlformats.org/officeDocument/2006/relationships/hyperlink" Target="https://www.law.cornell.edu/uscode/text/40/3702" TargetMode="External"/><Relationship Id="rId152" Type="http://schemas.openxmlformats.org/officeDocument/2006/relationships/hyperlink" Target="https://www.law.cornell.edu/definitions/index.php?width=840&amp;height=800&amp;iframe=true&amp;def_id=d3bc5d2ee66d745a10b7523cd24888b3&amp;term_occur=999&amp;term_src=Title:24:Subtitle:B:Chapter:V:Subchapter:C:Part:570:Subpart:I:570.489" TargetMode="External"/><Relationship Id="rId19" Type="http://schemas.openxmlformats.org/officeDocument/2006/relationships/hyperlink" Target="https://www.ecfr.gov/current/title-2/section-200.317" TargetMode="External"/><Relationship Id="rId14" Type="http://schemas.openxmlformats.org/officeDocument/2006/relationships/hyperlink" Target="https://www.ecfr.gov/current/title-2/section-200.323" TargetMode="External"/><Relationship Id="rId30" Type="http://schemas.openxmlformats.org/officeDocument/2006/relationships/hyperlink" Target="https://www.ecfr.gov/current/title-2/section-200.1" TargetMode="External"/><Relationship Id="rId35" Type="http://schemas.openxmlformats.org/officeDocument/2006/relationships/hyperlink" Target="https://www.ecfr.gov/current/title-2/section-200.320" TargetMode="External"/><Relationship Id="rId56" Type="http://schemas.openxmlformats.org/officeDocument/2006/relationships/hyperlink" Target="https://www.law.cornell.edu/rio/citation/30_FR_12319" TargetMode="External"/><Relationship Id="rId77" Type="http://schemas.openxmlformats.org/officeDocument/2006/relationships/hyperlink" Target="https://www.law.cornell.edu/uscode/text/40/3708" TargetMode="External"/><Relationship Id="rId100" Type="http://schemas.openxmlformats.org/officeDocument/2006/relationships/hyperlink" Target="https://www.law.cornell.edu/uscode/text/33/1251" TargetMode="External"/><Relationship Id="rId105" Type="http://schemas.openxmlformats.org/officeDocument/2006/relationships/hyperlink" Target="https://www.law.cornell.edu/cfr/text/3/part-1989" TargetMode="External"/><Relationship Id="rId126" Type="http://schemas.openxmlformats.org/officeDocument/2006/relationships/hyperlink" Target="https://www.federalregister.gov/citation/79-FR-75885" TargetMode="External"/><Relationship Id="rId147" Type="http://schemas.openxmlformats.org/officeDocument/2006/relationships/hyperlink" Target="http://www.adeca.alabama.gov" TargetMode="External"/><Relationship Id="rId8" Type="http://schemas.openxmlformats.org/officeDocument/2006/relationships/hyperlink" Target="https://www.govinfo.gov/content/pkg/FR-2022-02-03/pdf/2022-02209.pdf" TargetMode="External"/><Relationship Id="rId51" Type="http://schemas.openxmlformats.org/officeDocument/2006/relationships/hyperlink" Target="https://www.law.cornell.edu/uscode/text/41/1908" TargetMode="External"/><Relationship Id="rId72" Type="http://schemas.openxmlformats.org/officeDocument/2006/relationships/hyperlink" Target="https://www.law.cornell.edu/uscode/text/40/3145" TargetMode="External"/><Relationship Id="rId93" Type="http://schemas.openxmlformats.org/officeDocument/2006/relationships/hyperlink" Target="https://www.law.cornell.edu/uscode/text/33/1387" TargetMode="External"/><Relationship Id="rId98" Type="http://schemas.openxmlformats.org/officeDocument/2006/relationships/hyperlink" Target="https://www.law.cornell.edu/topn/clean_water_act" TargetMode="External"/><Relationship Id="rId121" Type="http://schemas.openxmlformats.org/officeDocument/2006/relationships/hyperlink" Target="https://www.ecfr.gov/current/title-2/section-200.308" TargetMode="External"/><Relationship Id="rId142" Type="http://schemas.openxmlformats.org/officeDocument/2006/relationships/hyperlink" Target="http://www.adeca.alabama.gov" TargetMode="External"/><Relationship Id="rId3" Type="http://schemas.openxmlformats.org/officeDocument/2006/relationships/settings" Target="settings.xml"/><Relationship Id="rId25" Type="http://schemas.openxmlformats.org/officeDocument/2006/relationships/hyperlink" Target="https://www.ecfr.gov/current/title-2/section-200.320" TargetMode="External"/><Relationship Id="rId46" Type="http://schemas.openxmlformats.org/officeDocument/2006/relationships/hyperlink" Target="https://www.ecfr.gov/current/title-2/part-200/subpart-E" TargetMode="External"/><Relationship Id="rId67" Type="http://schemas.openxmlformats.org/officeDocument/2006/relationships/hyperlink" Target="https://www.law.cornell.edu/uscode/text/40/3141" TargetMode="External"/><Relationship Id="rId116" Type="http://schemas.openxmlformats.org/officeDocument/2006/relationships/hyperlink" Target="https://www.ecfr.gov/current/title-2/subtitle-A/chapter-II/part-200/subpart-E/subject-group-ECFRea20080eff2ea53/section-200.405" TargetMode="External"/><Relationship Id="rId137" Type="http://schemas.openxmlformats.org/officeDocument/2006/relationships/hyperlink" Target="https://www.ecfr.gov/current/title-2/section-200.327" TargetMode="External"/><Relationship Id="rId158" Type="http://schemas.openxmlformats.org/officeDocument/2006/relationships/customXml" Target="../customXml/item1.xml"/><Relationship Id="rId20" Type="http://schemas.openxmlformats.org/officeDocument/2006/relationships/hyperlink" Target="https://www.ecfr.gov/current/title-2/section-200.327" TargetMode="External"/><Relationship Id="rId41" Type="http://schemas.openxmlformats.org/officeDocument/2006/relationships/hyperlink" Target="https://www.ecfr.gov/current/title-2/section-200.321" TargetMode="External"/><Relationship Id="rId62" Type="http://schemas.openxmlformats.org/officeDocument/2006/relationships/hyperlink" Target="https://www.law.cornell.edu/uscode/text/40" TargetMode="External"/><Relationship Id="rId83" Type="http://schemas.openxmlformats.org/officeDocument/2006/relationships/hyperlink" Target="https://www.law.cornell.edu/uscode/text/40/3704" TargetMode="External"/><Relationship Id="rId88" Type="http://schemas.openxmlformats.org/officeDocument/2006/relationships/hyperlink" Target="https://www.law.cornell.edu/uscode/text/42/7401" TargetMode="External"/><Relationship Id="rId111" Type="http://schemas.openxmlformats.org/officeDocument/2006/relationships/hyperlink" Target="https://www.law.cornell.edu/cfr/text/2/200.322" TargetMode="External"/><Relationship Id="rId132" Type="http://schemas.openxmlformats.org/officeDocument/2006/relationships/hyperlink" Target="https://www.federalregister.gov/citation/78-FR-78608" TargetMode="External"/><Relationship Id="rId153" Type="http://schemas.openxmlformats.org/officeDocument/2006/relationships/hyperlink" Target="https://www.law.cornell.edu/cfr/text/24/570.489" TargetMode="External"/><Relationship Id="rId15" Type="http://schemas.openxmlformats.org/officeDocument/2006/relationships/hyperlink" Target="https://www.ecfr.gov/current/title-2/section-200.327" TargetMode="External"/><Relationship Id="rId36" Type="http://schemas.openxmlformats.org/officeDocument/2006/relationships/hyperlink" Target="https://www.ecfr.gov/current/title-2/section-200.319" TargetMode="External"/><Relationship Id="rId57" Type="http://schemas.openxmlformats.org/officeDocument/2006/relationships/hyperlink" Target="https://www.law.cornell.edu/cfr/text/3" TargetMode="External"/><Relationship Id="rId106" Type="http://schemas.openxmlformats.org/officeDocument/2006/relationships/hyperlink" Target="https://www.govinfo.gov/link/cpd/executiveorder/12549" TargetMode="External"/><Relationship Id="rId127" Type="http://schemas.openxmlformats.org/officeDocument/2006/relationships/hyperlink" Target="https://www.ecfr.gov/current/title-2/section-200.405" TargetMode="External"/><Relationship Id="rId10" Type="http://schemas.openxmlformats.org/officeDocument/2006/relationships/hyperlink" Target="https://www.ecfr.gov/current/title-2/subtitle-A/chapter-II/part-200/subpart-D/subject-group-ECFR45ddd4419ad436d/section-200.327" TargetMode="External"/><Relationship Id="rId31" Type="http://schemas.openxmlformats.org/officeDocument/2006/relationships/hyperlink" Target="https://www.ecfr.gov/current/title-2/section-200.320" TargetMode="External"/><Relationship Id="rId52" Type="http://schemas.openxmlformats.org/officeDocument/2006/relationships/hyperlink" Target="https://www.law.cornell.edu/cfr/text/41/part-60" TargetMode="External"/><Relationship Id="rId73" Type="http://schemas.openxmlformats.org/officeDocument/2006/relationships/hyperlink" Target="https://www.law.cornell.edu/cfr/text/29/part-3" TargetMode="External"/><Relationship Id="rId78" Type="http://schemas.openxmlformats.org/officeDocument/2006/relationships/hyperlink" Target="https://www.law.cornell.edu/uscode/text/40" TargetMode="External"/><Relationship Id="rId94" Type="http://schemas.openxmlformats.org/officeDocument/2006/relationships/hyperlink" Target="https://www.law.cornell.edu/topn/air_pollution_control_act" TargetMode="External"/><Relationship Id="rId99" Type="http://schemas.openxmlformats.org/officeDocument/2006/relationships/hyperlink" Target="https://www.law.cornell.edu/uscode/text/33" TargetMode="External"/><Relationship Id="rId101" Type="http://schemas.openxmlformats.org/officeDocument/2006/relationships/hyperlink" Target="https://www.law.cornell.edu/uscode/text/33/1387" TargetMode="External"/><Relationship Id="rId122" Type="http://schemas.openxmlformats.org/officeDocument/2006/relationships/hyperlink" Target="https://www.federalregister.gov/citation/78-FR-78608" TargetMode="External"/><Relationship Id="rId143" Type="http://schemas.openxmlformats.org/officeDocument/2006/relationships/hyperlink" Target="https://adeca.alabama.gov/cdbg/monitoring-and-compliance-checklists/" TargetMode="External"/><Relationship Id="rId148" Type="http://schemas.openxmlformats.org/officeDocument/2006/relationships/hyperlink" Target="https://adeca.alabama.gov/cdbg/monitoring-and-compliance-checklists/" TargetMode="External"/><Relationship Id="rId4" Type="http://schemas.openxmlformats.org/officeDocument/2006/relationships/webSettings" Target="webSettings.xml"/><Relationship Id="rId9" Type="http://schemas.openxmlformats.org/officeDocument/2006/relationships/hyperlink" Target="https://www.ecfr.gov/current/title-2/subtitle-A/chapter-II/part-200/subpart-D/subject-group-ECFR45ddd4419ad436d/section-200.317" TargetMode="External"/><Relationship Id="rId26" Type="http://schemas.openxmlformats.org/officeDocument/2006/relationships/hyperlink" Target="https://www.ecfr.gov/current/title-2/section-200.317" TargetMode="External"/><Relationship Id="rId47" Type="http://schemas.openxmlformats.org/officeDocument/2006/relationships/hyperlink" Target="https://www.ecfr.gov/current/title-2/section-200.325" TargetMode="External"/><Relationship Id="rId68" Type="http://schemas.openxmlformats.org/officeDocument/2006/relationships/hyperlink" Target="https://www.law.cornell.edu/uscode/text/40/3144" TargetMode="External"/><Relationship Id="rId89" Type="http://schemas.openxmlformats.org/officeDocument/2006/relationships/hyperlink" Target="https://www.law.cornell.edu/uscode/text/42/7671q" TargetMode="External"/><Relationship Id="rId112" Type="http://schemas.openxmlformats.org/officeDocument/2006/relationships/hyperlink" Target="https://www.law.cornell.edu/rio/citation/78_FR_78608" TargetMode="External"/><Relationship Id="rId133" Type="http://schemas.openxmlformats.org/officeDocument/2006/relationships/hyperlink" Target="https://www.federalregister.gov/citation/79-FR-75885" TargetMode="External"/><Relationship Id="rId154" Type="http://schemas.openxmlformats.org/officeDocument/2006/relationships/hyperlink" Target="https://www.law.cornell.edu/cfr/text/2/200.330" TargetMode="External"/><Relationship Id="rId16" Type="http://schemas.openxmlformats.org/officeDocument/2006/relationships/hyperlink" Target="https://www.ecfr.gov/current/title-2/section-200.318" TargetMode="External"/><Relationship Id="rId37" Type="http://schemas.openxmlformats.org/officeDocument/2006/relationships/hyperlink" Target="https://www.ecfr.gov/current/title-2/section-200.320" TargetMode="External"/><Relationship Id="rId58" Type="http://schemas.openxmlformats.org/officeDocument/2006/relationships/hyperlink" Target="https://www.govinfo.gov/link/cpd/executiveorder/11375" TargetMode="External"/><Relationship Id="rId79" Type="http://schemas.openxmlformats.org/officeDocument/2006/relationships/hyperlink" Target="https://www.law.cornell.edu/uscode/text/40/3702" TargetMode="External"/><Relationship Id="rId102" Type="http://schemas.openxmlformats.org/officeDocument/2006/relationships/hyperlink" Target="https://www.law.cornell.edu/cfr/text/2/180.220" TargetMode="External"/><Relationship Id="rId123" Type="http://schemas.openxmlformats.org/officeDocument/2006/relationships/hyperlink" Target="https://www.federalregister.gov/citation/85-FR-49562" TargetMode="External"/><Relationship Id="rId144" Type="http://schemas.openxmlformats.org/officeDocument/2006/relationships/hyperlink" Target="http://www.adeca.alabama.gov" TargetMode="External"/><Relationship Id="rId90" Type="http://schemas.openxmlformats.org/officeDocument/2006/relationships/hyperlink" Target="https://www.law.cornell.edu/topn/clean_water_act" TargetMode="External"/><Relationship Id="rId27" Type="http://schemas.openxmlformats.org/officeDocument/2006/relationships/hyperlink" Target="https://www.ecfr.gov/current/title-2/section-200.318" TargetMode="External"/><Relationship Id="rId48" Type="http://schemas.openxmlformats.org/officeDocument/2006/relationships/hyperlink" Target="https://www.ecfr.gov/current/title-2/section-200.325" TargetMode="External"/><Relationship Id="rId69" Type="http://schemas.openxmlformats.org/officeDocument/2006/relationships/hyperlink" Target="https://www.law.cornell.edu/uscode/text/40/3146" TargetMode="External"/><Relationship Id="rId113" Type="http://schemas.openxmlformats.org/officeDocument/2006/relationships/hyperlink" Target="https://www.law.cornell.edu/rio/citation/79_FR_75888" TargetMode="External"/><Relationship Id="rId134" Type="http://schemas.openxmlformats.org/officeDocument/2006/relationships/hyperlink" Target="https://www.federalregister.gov/citation/85-FR-49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511BD-F0E4-4C2D-9CC3-B8E383EF7776}"/>
</file>

<file path=customXml/itemProps2.xml><?xml version="1.0" encoding="utf-8"?>
<ds:datastoreItem xmlns:ds="http://schemas.openxmlformats.org/officeDocument/2006/customXml" ds:itemID="{A235F0B5-B3FB-4F71-8BBB-D23BBF3B9B7D}"/>
</file>

<file path=docProps/app.xml><?xml version="1.0" encoding="utf-8"?>
<Properties xmlns="http://schemas.openxmlformats.org/officeDocument/2006/extended-properties" xmlns:vt="http://schemas.openxmlformats.org/officeDocument/2006/docPropsVTypes">
  <Template>Normal</Template>
  <TotalTime>0</TotalTime>
  <Pages>40</Pages>
  <Words>14508</Words>
  <Characters>82701</Characters>
  <Application>Microsoft Office Word</Application>
  <DocSecurity>4</DocSecurity>
  <Lines>689</Lines>
  <Paragraphs>194</Paragraphs>
  <ScaleCrop>false</ScaleCrop>
  <Company/>
  <LinksUpToDate>false</LinksUpToDate>
  <CharactersWithSpaces>97015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2</cp:revision>
  <cp:lastPrinted>2022-03-29T20:15:00Z</cp:lastPrinted>
  <dcterms:created xsi:type="dcterms:W3CDTF">2022-11-22T15:09:00Z</dcterms:created>
  <dcterms:modified xsi:type="dcterms:W3CDTF">2022-11-22T15:09:00Z</dcterms:modified>
</cp:coreProperties>
</file>