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BEB47" w14:textId="77777777" w:rsidR="00D741EC" w:rsidRPr="004268D5" w:rsidRDefault="00D741EC" w:rsidP="00D741EC">
      <w:pPr>
        <w:autoSpaceDE w:val="0"/>
        <w:autoSpaceDN w:val="0"/>
        <w:adjustRightInd w:val="0"/>
        <w:jc w:val="center"/>
      </w:pPr>
      <w:r w:rsidRPr="004268D5">
        <w:rPr>
          <w:b/>
          <w:bCs/>
        </w:rPr>
        <w:t xml:space="preserve">Edward Byrne Memorial Justice Assistance Grant (JAG) Program </w:t>
      </w:r>
    </w:p>
    <w:p w14:paraId="466DC807" w14:textId="3B46F20C" w:rsidR="00D741EC" w:rsidRPr="004268D5" w:rsidRDefault="00D741EC" w:rsidP="00D741EC">
      <w:pPr>
        <w:autoSpaceDE w:val="0"/>
        <w:autoSpaceDN w:val="0"/>
        <w:adjustRightInd w:val="0"/>
        <w:jc w:val="center"/>
      </w:pPr>
      <w:r w:rsidRPr="004268D5">
        <w:rPr>
          <w:b/>
          <w:bCs/>
        </w:rPr>
        <w:t xml:space="preserve">FY </w:t>
      </w:r>
      <w:r w:rsidR="00DF22F7">
        <w:rPr>
          <w:b/>
          <w:bCs/>
        </w:rPr>
        <w:t>202</w:t>
      </w:r>
      <w:r w:rsidR="00D9787B">
        <w:rPr>
          <w:b/>
          <w:bCs/>
        </w:rPr>
        <w:t>1</w:t>
      </w:r>
      <w:r w:rsidRPr="004268D5">
        <w:rPr>
          <w:b/>
          <w:bCs/>
        </w:rPr>
        <w:t xml:space="preserve"> State Solicitation </w:t>
      </w:r>
    </w:p>
    <w:p w14:paraId="7C9F8816" w14:textId="77777777" w:rsidR="008A17D6" w:rsidRPr="004268D5" w:rsidRDefault="008A17D6" w:rsidP="00747431">
      <w:pPr>
        <w:jc w:val="center"/>
        <w:rPr>
          <w:b/>
          <w:bCs/>
        </w:rPr>
      </w:pPr>
    </w:p>
    <w:p w14:paraId="0F34A224" w14:textId="77777777" w:rsidR="00747431" w:rsidRPr="004268D5" w:rsidRDefault="00747431" w:rsidP="00747431">
      <w:pPr>
        <w:pStyle w:val="Heading4"/>
      </w:pPr>
      <w:r w:rsidRPr="004268D5">
        <w:t>PROGRAM NARRATIVE</w:t>
      </w:r>
    </w:p>
    <w:p w14:paraId="713CF327" w14:textId="77777777" w:rsidR="00747431" w:rsidRPr="004268D5" w:rsidRDefault="00747431" w:rsidP="00747431">
      <w:pPr>
        <w:rPr>
          <w:b/>
          <w:bCs/>
        </w:rPr>
      </w:pPr>
    </w:p>
    <w:p w14:paraId="4A490239" w14:textId="77777777" w:rsidR="00747431" w:rsidRPr="004268D5" w:rsidRDefault="00747431" w:rsidP="00747431">
      <w:pPr>
        <w:rPr>
          <w:b/>
          <w:bCs/>
        </w:rPr>
      </w:pPr>
      <w:r w:rsidRPr="004268D5">
        <w:rPr>
          <w:b/>
          <w:bCs/>
        </w:rPr>
        <w:t>Introduction</w:t>
      </w:r>
    </w:p>
    <w:p w14:paraId="6DE723A4" w14:textId="77777777" w:rsidR="006929F5" w:rsidRPr="004268D5" w:rsidRDefault="006929F5" w:rsidP="007E454F"/>
    <w:p w14:paraId="574F29BC" w14:textId="0BA48460" w:rsidR="008A17D6" w:rsidRPr="004268D5" w:rsidRDefault="00747431" w:rsidP="00301F69">
      <w:r w:rsidRPr="004268D5">
        <w:t>The Alabama Department of Economic and Community Affairs (ADECA) Law Enforcement an</w:t>
      </w:r>
      <w:r w:rsidR="008A17D6" w:rsidRPr="004268D5">
        <w:t>d Traffic Safety Division (</w:t>
      </w:r>
      <w:r w:rsidR="00A735AB" w:rsidRPr="004268D5">
        <w:t>LETS</w:t>
      </w:r>
      <w:r w:rsidRPr="004268D5">
        <w:t xml:space="preserve">), as the State Administering Agency (SAA), </w:t>
      </w:r>
      <w:r w:rsidR="00F5484A">
        <w:t>continues to provide</w:t>
      </w:r>
      <w:r w:rsidR="008A17D6" w:rsidRPr="004268D5">
        <w:t xml:space="preserve"> guidance and assistance to qualified s</w:t>
      </w:r>
      <w:r w:rsidR="00F5484A">
        <w:t>ubgrant programs</w:t>
      </w:r>
      <w:r w:rsidRPr="004268D5">
        <w:t xml:space="preserve"> for the State of Alabama’s </w:t>
      </w:r>
      <w:r w:rsidR="005C132C" w:rsidRPr="004268D5">
        <w:t>FY</w:t>
      </w:r>
      <w:r w:rsidR="00593736">
        <w:t xml:space="preserve"> </w:t>
      </w:r>
      <w:r w:rsidR="00DF22F7">
        <w:t>202</w:t>
      </w:r>
      <w:r w:rsidR="00DC12F6">
        <w:t>1</w:t>
      </w:r>
      <w:r w:rsidRPr="004268D5">
        <w:t xml:space="preserve"> Edward Byrne Memorial Justice A</w:t>
      </w:r>
      <w:r w:rsidR="00DA79BC" w:rsidRPr="004268D5">
        <w:t>ssistance Grant (JAG) Program</w:t>
      </w:r>
      <w:r w:rsidR="009A29EB" w:rsidRPr="004268D5">
        <w:t>.</w:t>
      </w:r>
    </w:p>
    <w:p w14:paraId="13010584" w14:textId="77777777" w:rsidR="00301F69" w:rsidRPr="004268D5" w:rsidRDefault="00301F69" w:rsidP="00301F69"/>
    <w:p w14:paraId="293D41DE" w14:textId="77777777" w:rsidR="00301F69" w:rsidRPr="004268D5" w:rsidRDefault="00301F69" w:rsidP="00301F69">
      <w:pPr>
        <w:rPr>
          <w:b/>
        </w:rPr>
      </w:pPr>
      <w:r w:rsidRPr="004268D5">
        <w:rPr>
          <w:b/>
        </w:rPr>
        <w:t xml:space="preserve">Program Overview </w:t>
      </w:r>
    </w:p>
    <w:p w14:paraId="2E149BDF" w14:textId="77777777" w:rsidR="00105298" w:rsidRPr="004268D5" w:rsidRDefault="00105298" w:rsidP="00C10BDB">
      <w:pPr>
        <w:autoSpaceDE w:val="0"/>
        <w:autoSpaceDN w:val="0"/>
        <w:adjustRightInd w:val="0"/>
      </w:pPr>
    </w:p>
    <w:p w14:paraId="67AC72A8" w14:textId="77777777" w:rsidR="00C10BDB" w:rsidRPr="004268D5" w:rsidRDefault="009A29EB" w:rsidP="00C10BDB">
      <w:pPr>
        <w:autoSpaceDE w:val="0"/>
        <w:autoSpaceDN w:val="0"/>
        <w:adjustRightInd w:val="0"/>
      </w:pPr>
      <w:r w:rsidRPr="004268D5">
        <w:t xml:space="preserve">The Edward Byrne Memorial Justice Assistance Grant (JAG) Program is the primary provider of federal criminal justice funding to state and local jurisdictions. </w:t>
      </w:r>
      <w:r w:rsidR="00C137DA" w:rsidRPr="004268D5">
        <w:t xml:space="preserve">ADECA / </w:t>
      </w:r>
      <w:r w:rsidR="00A735AB" w:rsidRPr="004268D5">
        <w:t>LETS</w:t>
      </w:r>
      <w:r w:rsidR="00C137DA" w:rsidRPr="004268D5">
        <w:t xml:space="preserve">, as the </w:t>
      </w:r>
      <w:r w:rsidR="00D62783" w:rsidRPr="004268D5">
        <w:t>State Administering Agency (</w:t>
      </w:r>
      <w:r w:rsidR="00C137DA" w:rsidRPr="004268D5">
        <w:t>SAA</w:t>
      </w:r>
      <w:r w:rsidR="00D62783" w:rsidRPr="004268D5">
        <w:t>)</w:t>
      </w:r>
      <w:r w:rsidR="00C137DA" w:rsidRPr="004268D5">
        <w:t xml:space="preserve"> for this program, </w:t>
      </w:r>
      <w:r w:rsidRPr="004268D5">
        <w:t xml:space="preserve">ensures </w:t>
      </w:r>
      <w:r w:rsidR="000635CD">
        <w:t xml:space="preserve">JAG funds support </w:t>
      </w:r>
      <w:r w:rsidR="00F5484A">
        <w:t>various</w:t>
      </w:r>
      <w:r w:rsidRPr="004268D5">
        <w:t xml:space="preserve"> components of the criminal justice system </w:t>
      </w:r>
      <w:r w:rsidR="00127B53">
        <w:t>to include prevention, education, and early intervention programs, specialty courts, and multi-jurisdictional drug and violent crime task forces</w:t>
      </w:r>
      <w:r w:rsidRPr="004268D5">
        <w:t xml:space="preserve">. </w:t>
      </w:r>
      <w:r w:rsidR="00C10BDB" w:rsidRPr="004268D5">
        <w:t xml:space="preserve">The implementation process of ADECA / </w:t>
      </w:r>
      <w:r w:rsidR="00A735AB" w:rsidRPr="004268D5">
        <w:t>LETS</w:t>
      </w:r>
      <w:r w:rsidR="00C10BDB" w:rsidRPr="004268D5">
        <w:t xml:space="preserve"> allows units of local governments to support a broad range of activities to prevent and control crime based on their own local needs and conditions</w:t>
      </w:r>
      <w:r w:rsidR="00C137DA" w:rsidRPr="004268D5">
        <w:t>.</w:t>
      </w:r>
    </w:p>
    <w:p w14:paraId="5DB77D28" w14:textId="77777777" w:rsidR="00C10BDB" w:rsidRPr="004268D5" w:rsidRDefault="00C10BDB" w:rsidP="009A29EB">
      <w:pPr>
        <w:autoSpaceDE w:val="0"/>
        <w:autoSpaceDN w:val="0"/>
        <w:adjustRightInd w:val="0"/>
      </w:pPr>
    </w:p>
    <w:p w14:paraId="63495779" w14:textId="77777777" w:rsidR="00C137DA" w:rsidRDefault="00301F69" w:rsidP="00301F69">
      <w:r w:rsidRPr="004268D5">
        <w:t xml:space="preserve">ADECA / </w:t>
      </w:r>
      <w:r w:rsidR="00A735AB" w:rsidRPr="004268D5">
        <w:t>LETS</w:t>
      </w:r>
      <w:r w:rsidRPr="004268D5">
        <w:t xml:space="preserve"> as the SAA for this program places great emphasis on accountabi</w:t>
      </w:r>
      <w:r w:rsidR="000635CD">
        <w:t>lity and transparency in the distribution</w:t>
      </w:r>
      <w:r w:rsidRPr="004268D5">
        <w:t xml:space="preserve"> of grant funds. </w:t>
      </w:r>
    </w:p>
    <w:p w14:paraId="0FADA509" w14:textId="77777777" w:rsidR="001A61EA" w:rsidRDefault="001A61EA" w:rsidP="00301F69"/>
    <w:p w14:paraId="13A10936" w14:textId="77777777" w:rsidR="001A61EA" w:rsidRDefault="001A61EA" w:rsidP="00301F69">
      <w:pPr>
        <w:rPr>
          <w:b/>
        </w:rPr>
      </w:pPr>
      <w:r w:rsidRPr="001A61EA">
        <w:rPr>
          <w:b/>
        </w:rPr>
        <w:t>Statement of Problem</w:t>
      </w:r>
    </w:p>
    <w:p w14:paraId="23EB2646" w14:textId="77777777" w:rsidR="001A61EA" w:rsidRDefault="001A61EA" w:rsidP="00301F69">
      <w:pPr>
        <w:rPr>
          <w:b/>
        </w:rPr>
      </w:pPr>
    </w:p>
    <w:p w14:paraId="0F28141D" w14:textId="77777777" w:rsidR="001A61EA" w:rsidRPr="001A61EA" w:rsidRDefault="001A61EA" w:rsidP="001A61EA">
      <w:pPr>
        <w:keepNext/>
        <w:keepLines/>
        <w:spacing w:before="480"/>
        <w:contextualSpacing/>
        <w:outlineLvl w:val="0"/>
        <w:rPr>
          <w:rFonts w:eastAsiaTheme="majorEastAsia"/>
          <w:b/>
          <w:bCs/>
        </w:rPr>
      </w:pPr>
      <w:r w:rsidRPr="001A61EA">
        <w:rPr>
          <w:rFonts w:eastAsiaTheme="majorEastAsia"/>
          <w:b/>
          <w:bCs/>
        </w:rPr>
        <w:t>Attacking the Substance Abuse Problem in Alabama</w:t>
      </w:r>
    </w:p>
    <w:p w14:paraId="0F98575B" w14:textId="77777777" w:rsidR="001A61EA" w:rsidRPr="001A61EA" w:rsidRDefault="001A61EA" w:rsidP="001A61EA">
      <w:pPr>
        <w:spacing w:before="120" w:after="120"/>
        <w:contextualSpacing/>
        <w:rPr>
          <w:rFonts w:eastAsiaTheme="minorHAnsi"/>
          <w:szCs w:val="22"/>
        </w:rPr>
      </w:pPr>
    </w:p>
    <w:p w14:paraId="625C0816" w14:textId="42552A54" w:rsidR="001A61EA" w:rsidRPr="001A61EA" w:rsidRDefault="00E57060" w:rsidP="001A61EA">
      <w:pPr>
        <w:spacing w:before="120" w:after="120"/>
        <w:contextualSpacing/>
        <w:rPr>
          <w:rFonts w:eastAsiaTheme="minorHAnsi"/>
          <w:szCs w:val="22"/>
        </w:rPr>
      </w:pPr>
      <w:r>
        <w:rPr>
          <w:rFonts w:eastAsiaTheme="minorHAnsi"/>
          <w:szCs w:val="22"/>
        </w:rPr>
        <w:t>Current</w:t>
      </w:r>
      <w:r w:rsidRPr="001A61EA">
        <w:rPr>
          <w:rFonts w:eastAsiaTheme="minorHAnsi"/>
          <w:szCs w:val="22"/>
        </w:rPr>
        <w:t>ly</w:t>
      </w:r>
      <w:r w:rsidR="001A61EA" w:rsidRPr="001A61EA">
        <w:rPr>
          <w:rFonts w:eastAsiaTheme="minorHAnsi"/>
          <w:szCs w:val="22"/>
        </w:rPr>
        <w:t xml:space="preserve"> there </w:t>
      </w:r>
      <w:r w:rsidR="00A01407">
        <w:rPr>
          <w:rFonts w:eastAsiaTheme="minorHAnsi"/>
          <w:szCs w:val="22"/>
        </w:rPr>
        <w:t xml:space="preserve">is </w:t>
      </w:r>
      <w:r w:rsidR="001A61EA" w:rsidRPr="001A61EA">
        <w:rPr>
          <w:rFonts w:eastAsiaTheme="minorHAnsi"/>
          <w:szCs w:val="22"/>
        </w:rPr>
        <w:t>a national discussion on how our country should be attacking substance abuse and the issues that are related to it. The argument seems to be centered on the issue of supply vs. demand. Beginning in the 1980’s, America began its “War on Drugs”. This effort was an attempt to begin ridding our country of illegal narcotics by attacking the supply of those narcotics and their path into our country. This model centered solely on the enforcement aspect of drug control. While this had an impact on the availability of illegal narcotics, it did nothing in the way of addressing the demand of these drugs in our country.</w:t>
      </w:r>
    </w:p>
    <w:p w14:paraId="7FAF1F83" w14:textId="77777777" w:rsidR="001A61EA" w:rsidRPr="001A61EA" w:rsidRDefault="001A61EA" w:rsidP="001A61EA">
      <w:pPr>
        <w:spacing w:before="120" w:after="120"/>
        <w:contextualSpacing/>
        <w:rPr>
          <w:rFonts w:eastAsiaTheme="minorHAnsi"/>
          <w:szCs w:val="22"/>
        </w:rPr>
      </w:pPr>
    </w:p>
    <w:p w14:paraId="7C58D787" w14:textId="77777777" w:rsidR="001A61EA" w:rsidRPr="001A61EA" w:rsidRDefault="001A61EA" w:rsidP="001A61EA">
      <w:pPr>
        <w:spacing w:before="120" w:after="120"/>
        <w:contextualSpacing/>
        <w:rPr>
          <w:rFonts w:eastAsiaTheme="minorHAnsi"/>
          <w:color w:val="000000"/>
        </w:rPr>
      </w:pPr>
      <w:r w:rsidRPr="001A61EA">
        <w:rPr>
          <w:rFonts w:eastAsiaTheme="minorHAnsi"/>
          <w:color w:val="222222"/>
        </w:rPr>
        <w:t xml:space="preserve">After 40 years, the United States’ war on drugs has cost $1 trillion and hundreds of thousands of lives. </w:t>
      </w:r>
      <w:r w:rsidRPr="001A61EA">
        <w:rPr>
          <w:rFonts w:eastAsiaTheme="minorHAnsi"/>
          <w:color w:val="000000"/>
        </w:rPr>
        <w:t>About 40,000 people were in U.S. jails and prisons for drug crimes in 1980, compared with more than 500,000 today. Excessively long prison sentences and locking up people for small drug offenses contribute greatly to this ballooning of the prison population.</w:t>
      </w:r>
    </w:p>
    <w:p w14:paraId="77514875" w14:textId="77777777" w:rsidR="001A61EA" w:rsidRPr="001A61EA" w:rsidRDefault="001A61EA" w:rsidP="001A61EA">
      <w:pPr>
        <w:spacing w:before="120" w:after="120"/>
        <w:contextualSpacing/>
        <w:rPr>
          <w:rFonts w:eastAsiaTheme="minorHAnsi"/>
          <w:color w:val="222222"/>
        </w:rPr>
      </w:pPr>
    </w:p>
    <w:p w14:paraId="0455986F" w14:textId="77777777" w:rsidR="001A61EA" w:rsidRPr="001A61EA" w:rsidRDefault="001A61EA" w:rsidP="001A61EA">
      <w:pPr>
        <w:spacing w:before="120" w:after="120"/>
        <w:contextualSpacing/>
        <w:rPr>
          <w:rFonts w:eastAsiaTheme="minorHAnsi"/>
          <w:color w:val="000000"/>
        </w:rPr>
      </w:pPr>
      <w:r w:rsidRPr="001A61EA">
        <w:rPr>
          <w:rFonts w:eastAsiaTheme="minorHAnsi"/>
          <w:color w:val="222222"/>
        </w:rPr>
        <w:lastRenderedPageBreak/>
        <w:t xml:space="preserve">This serves as evidence that our current strategies are not completely addressing the problem. </w:t>
      </w:r>
      <w:r w:rsidRPr="001A61EA">
        <w:rPr>
          <w:rFonts w:eastAsiaTheme="minorHAnsi"/>
          <w:color w:val="000000"/>
        </w:rPr>
        <w:t>We must take steps to identify and solve the problem. What we do not need to do is continue failing strategies that cost huge sums of money and seemingly exacerbate the problem. Rather than continuing on the unsuccessful path of the war on drugs, we must identify what works and what does not in terms of real evidence and data.</w:t>
      </w:r>
    </w:p>
    <w:p w14:paraId="62C58B67" w14:textId="77777777" w:rsidR="001A61EA" w:rsidRPr="001A61EA" w:rsidRDefault="001A61EA" w:rsidP="001A61EA">
      <w:pPr>
        <w:spacing w:before="120" w:after="120"/>
        <w:contextualSpacing/>
        <w:rPr>
          <w:rFonts w:eastAsiaTheme="minorHAnsi"/>
          <w:color w:val="000000"/>
        </w:rPr>
      </w:pPr>
    </w:p>
    <w:p w14:paraId="4F81C748" w14:textId="77777777" w:rsidR="001A61EA" w:rsidRPr="001A61EA" w:rsidRDefault="001A61EA" w:rsidP="001A61EA">
      <w:pPr>
        <w:spacing w:before="120" w:after="120"/>
        <w:contextualSpacing/>
        <w:rPr>
          <w:rFonts w:eastAsiaTheme="minorHAnsi"/>
          <w:color w:val="000000"/>
        </w:rPr>
      </w:pPr>
      <w:r w:rsidRPr="001A61EA">
        <w:rPr>
          <w:rFonts w:eastAsiaTheme="minorHAnsi"/>
          <w:color w:val="000000"/>
        </w:rPr>
        <w:t xml:space="preserve">While certain levels of enforcement are the first step in the process, we must identify ways to contribute to solving the drug addiction problem. A multi-faceted approach to the substance abuse problem is a proven method to make a real impact. This would include treatment, prevention, and intervention methods. </w:t>
      </w:r>
    </w:p>
    <w:p w14:paraId="40C6FF54" w14:textId="77777777" w:rsidR="001A61EA" w:rsidRPr="001A61EA" w:rsidRDefault="001A61EA" w:rsidP="001A61EA">
      <w:pPr>
        <w:spacing w:before="120" w:after="120"/>
        <w:contextualSpacing/>
        <w:rPr>
          <w:rFonts w:eastAsiaTheme="minorHAnsi"/>
          <w:color w:val="000000"/>
        </w:rPr>
      </w:pPr>
    </w:p>
    <w:p w14:paraId="2D3E221E" w14:textId="77777777" w:rsidR="001A61EA" w:rsidRPr="001A61EA" w:rsidRDefault="001A61EA" w:rsidP="001A61EA">
      <w:pPr>
        <w:spacing w:before="120" w:after="120"/>
        <w:contextualSpacing/>
        <w:rPr>
          <w:rFonts w:eastAsiaTheme="minorHAnsi"/>
          <w:color w:val="000000"/>
        </w:rPr>
      </w:pPr>
      <w:r w:rsidRPr="001A61EA">
        <w:rPr>
          <w:rFonts w:eastAsiaTheme="minorHAnsi"/>
          <w:color w:val="000000"/>
        </w:rPr>
        <w:t>Treating drug addiction as a health issue could save billions of dollars, improve public health and help us better control violence and crime in our communities. Hundreds of thousands of people have died from overdoses and drug-related diseases, including HIV and hepatitis C, because they did not have access to cost-effective, life-saving solutions. When it comes to drugs, we should focus on the goals we agree on: protecting our kids, protecting public safety and preventing and treating drug abuse and addiction.</w:t>
      </w:r>
    </w:p>
    <w:p w14:paraId="43AFA241" w14:textId="77777777" w:rsidR="001A61EA" w:rsidRPr="001A61EA" w:rsidRDefault="001A61EA" w:rsidP="00301F69">
      <w:pPr>
        <w:rPr>
          <w:b/>
        </w:rPr>
      </w:pPr>
    </w:p>
    <w:p w14:paraId="43F06AC9" w14:textId="77777777" w:rsidR="001F74ED" w:rsidRPr="004268D5" w:rsidRDefault="001F74ED" w:rsidP="00301F69"/>
    <w:p w14:paraId="793D6C52" w14:textId="77777777" w:rsidR="001A61EA" w:rsidRPr="001A61EA" w:rsidRDefault="001A61EA" w:rsidP="001A61EA">
      <w:pPr>
        <w:rPr>
          <w:b/>
          <w:bCs/>
        </w:rPr>
      </w:pPr>
      <w:bookmarkStart w:id="0" w:name="_Toc354997696"/>
      <w:r w:rsidRPr="001A61EA">
        <w:rPr>
          <w:b/>
          <w:bCs/>
        </w:rPr>
        <w:t>Drug Use Trends in Alabama</w:t>
      </w:r>
      <w:bookmarkEnd w:id="0"/>
    </w:p>
    <w:p w14:paraId="447174AF" w14:textId="77777777" w:rsidR="001A61EA" w:rsidRDefault="001A61EA" w:rsidP="001A61EA">
      <w:pPr>
        <w:rPr>
          <w:b/>
          <w:bCs/>
        </w:rPr>
      </w:pPr>
      <w:bookmarkStart w:id="1" w:name="_Toc354997697"/>
    </w:p>
    <w:p w14:paraId="4F9630D2" w14:textId="7AAC903A" w:rsidR="001A61EA" w:rsidRDefault="001A61EA" w:rsidP="001A61EA">
      <w:pPr>
        <w:rPr>
          <w:b/>
          <w:bCs/>
        </w:rPr>
      </w:pPr>
      <w:r w:rsidRPr="001A61EA">
        <w:rPr>
          <w:b/>
          <w:bCs/>
        </w:rPr>
        <w:t>Drug Use in Alabama</w:t>
      </w:r>
      <w:bookmarkEnd w:id="1"/>
    </w:p>
    <w:p w14:paraId="4925F030" w14:textId="77777777" w:rsidR="000B45B2" w:rsidRPr="001A61EA" w:rsidRDefault="000B45B2" w:rsidP="001A61EA">
      <w:pPr>
        <w:rPr>
          <w:b/>
          <w:bCs/>
        </w:rPr>
      </w:pPr>
    </w:p>
    <w:p w14:paraId="4FDBBA8F" w14:textId="77777777" w:rsidR="001A61EA" w:rsidRPr="001A61EA" w:rsidRDefault="001A61EA" w:rsidP="001A61EA">
      <w:r w:rsidRPr="001A61EA">
        <w:t>According to data collected among the state funded Drug Task Forces (DTFs) and the Gulf Coast HIDTA (High Intensity Drug Trafficking Areas) the following drugs have impacted Alabama the most:</w:t>
      </w:r>
    </w:p>
    <w:p w14:paraId="3B90EAB9" w14:textId="77777777" w:rsidR="001A61EA" w:rsidRPr="001A61EA" w:rsidRDefault="001A61EA" w:rsidP="001A61EA"/>
    <w:p w14:paraId="39C5116D" w14:textId="2A299FB5" w:rsidR="00FC131E" w:rsidRPr="00FC131E" w:rsidRDefault="00FC131E" w:rsidP="00FC131E">
      <w:pPr>
        <w:rPr>
          <w:b/>
          <w:bCs/>
        </w:rPr>
      </w:pPr>
      <w:r w:rsidRPr="00FC131E">
        <w:rPr>
          <w:b/>
          <w:bCs/>
        </w:rPr>
        <w:t xml:space="preserve">Methamphetamine </w:t>
      </w:r>
    </w:p>
    <w:p w14:paraId="19E0A658" w14:textId="77777777" w:rsidR="00FC131E" w:rsidRPr="00FC131E" w:rsidRDefault="00FC131E" w:rsidP="00FC131E"/>
    <w:p w14:paraId="583A6880" w14:textId="5A5A2B4D" w:rsidR="00FC131E" w:rsidRDefault="00FC131E" w:rsidP="00FC131E">
      <w:r w:rsidRPr="00FC131E">
        <w:t xml:space="preserve">Methamphetamine is still maintaining the position of greatest drug threat in the state according to the 2022 GC HIDTA Drug Survey according to law enforcement respondents as well as the treatment center respondents. Thirty-seven law enforcement respondents across Alabama listed methamphetamine as their greatest drug threat. The GC HIDTA Treatment Survey had 35 respondents put methamphetamine as their greatest threat. Methamphetamine laboratory seizures in Alabama have greatly declined according to the El Paso Intelligence Center (EPIC) which is showing only 2 precursor/chemical labs for 2020. The continued decrease in labs shows methamphetamine increasingly being transported into the State rather than being locally produced. </w:t>
      </w:r>
    </w:p>
    <w:p w14:paraId="503BFEB1" w14:textId="28A69E59" w:rsidR="00FC131E" w:rsidRDefault="00FC131E" w:rsidP="00FC131E"/>
    <w:p w14:paraId="1B159234" w14:textId="25968E83" w:rsidR="00FC131E" w:rsidRDefault="00FC131E" w:rsidP="00FC131E"/>
    <w:p w14:paraId="1BE60538" w14:textId="6262EFB6" w:rsidR="00FC131E" w:rsidRDefault="00FC131E" w:rsidP="00FC131E"/>
    <w:p w14:paraId="08930611" w14:textId="77777777" w:rsidR="00FC131E" w:rsidRPr="00FC131E" w:rsidRDefault="00FC131E" w:rsidP="00FC131E"/>
    <w:p w14:paraId="53C7DD00" w14:textId="7482AA5A" w:rsidR="00FC131E" w:rsidRPr="00FC131E" w:rsidRDefault="00FC131E" w:rsidP="00FC131E">
      <w:pPr>
        <w:rPr>
          <w:b/>
          <w:bCs/>
        </w:rPr>
      </w:pPr>
      <w:r w:rsidRPr="00FC131E">
        <w:rPr>
          <w:b/>
          <w:bCs/>
        </w:rPr>
        <w:t xml:space="preserve">Fentanyl and other Opioids </w:t>
      </w:r>
    </w:p>
    <w:p w14:paraId="3576356C" w14:textId="77777777" w:rsidR="00FC131E" w:rsidRPr="00FC131E" w:rsidRDefault="00FC131E" w:rsidP="00FC131E"/>
    <w:p w14:paraId="1414D7C0" w14:textId="77777777" w:rsidR="00FC131E" w:rsidRDefault="00FC131E" w:rsidP="00FC131E">
      <w:r w:rsidRPr="00FC131E">
        <w:t>Fentanyl and the fentanyl derivatives have once again been ranked as the number two greatest drug threat. For the 2022 GC HIDTA Drug Survey, both law enforcement and the treatment respondents ranked fentanyl behind methamphetamine as the drug of greatest threat. This year there have been increases in overdose deaths from fentanyl statewide. From fentanyl alone the death toll statewide went from 242 in 2019 to 453 in 2020. This increase is disturbing, and law enforcement must always use extreme care when confronting these opioids since they can be very dangerous.</w:t>
      </w:r>
    </w:p>
    <w:p w14:paraId="12EC43B5" w14:textId="3212BE21" w:rsidR="00FC131E" w:rsidRPr="00FC131E" w:rsidRDefault="00FC131E" w:rsidP="00FC131E">
      <w:r w:rsidRPr="00FC131E">
        <w:t xml:space="preserve"> </w:t>
      </w:r>
    </w:p>
    <w:p w14:paraId="0CEE3792" w14:textId="31FD7DB1" w:rsidR="00FC131E" w:rsidRPr="00FC131E" w:rsidRDefault="00FC131E" w:rsidP="00FC131E">
      <w:pPr>
        <w:rPr>
          <w:b/>
          <w:bCs/>
        </w:rPr>
      </w:pPr>
      <w:r w:rsidRPr="00FC131E">
        <w:rPr>
          <w:b/>
          <w:bCs/>
        </w:rPr>
        <w:t xml:space="preserve">Heroin </w:t>
      </w:r>
    </w:p>
    <w:p w14:paraId="29D69416" w14:textId="77777777" w:rsidR="00FC131E" w:rsidRPr="00FC131E" w:rsidRDefault="00FC131E" w:rsidP="00FC131E"/>
    <w:p w14:paraId="27FBE4BD" w14:textId="64CBB4C2" w:rsidR="00FC131E" w:rsidRDefault="00FC131E" w:rsidP="00FC131E">
      <w:r w:rsidRPr="00FC131E">
        <w:t xml:space="preserve">Both law enforcement, and treatment center respondents to the 2022 GC HIDTA Drug Survey have listed heroin as the third greatest drug threat in Alabama. The Alabama Department of Mental Health has heroin ranked once again as the fourth most abused illegal drug based on treatment admissions. In 2020 the statewide overdose deaths from heroin stood at 155 which showed only a slight decrease from 2019. Heroin is still very dangerous for users, whether pure or mixed with other dangerous drugs. </w:t>
      </w:r>
    </w:p>
    <w:p w14:paraId="75E25EEC" w14:textId="77777777" w:rsidR="00FC131E" w:rsidRPr="00FC131E" w:rsidRDefault="00FC131E" w:rsidP="00FC131E"/>
    <w:p w14:paraId="0582EAD9" w14:textId="31D2EEAC" w:rsidR="00FC131E" w:rsidRPr="00FC131E" w:rsidRDefault="00FC131E" w:rsidP="00FC131E">
      <w:pPr>
        <w:rPr>
          <w:b/>
          <w:bCs/>
        </w:rPr>
      </w:pPr>
      <w:r w:rsidRPr="00FC131E">
        <w:rPr>
          <w:b/>
          <w:bCs/>
        </w:rPr>
        <w:t xml:space="preserve">Controlled Prescription Drugs </w:t>
      </w:r>
    </w:p>
    <w:p w14:paraId="0A78458D" w14:textId="77777777" w:rsidR="00FC131E" w:rsidRPr="00FC131E" w:rsidRDefault="00FC131E" w:rsidP="00FC131E"/>
    <w:p w14:paraId="4310E6F9" w14:textId="66614618" w:rsidR="00FC131E" w:rsidRDefault="00FC131E" w:rsidP="00FC131E">
      <w:r w:rsidRPr="00FC131E">
        <w:t xml:space="preserve">Hydrocodone (Lortab and Vicodin) and Oxycodone (Oxycontin, </w:t>
      </w:r>
      <w:proofErr w:type="spellStart"/>
      <w:r w:rsidRPr="00FC131E">
        <w:t>Roxycontin</w:t>
      </w:r>
      <w:proofErr w:type="spellEnd"/>
      <w:r w:rsidRPr="00FC131E">
        <w:t>) continue to be the most abused pharmaceutical drugs in Alabama as reported by the Alabama Department of Mental Health. Alprazolam (Xanax) and hydromorphone (</w:t>
      </w:r>
      <w:proofErr w:type="spellStart"/>
      <w:r w:rsidRPr="00FC131E">
        <w:t>Dilaudid</w:t>
      </w:r>
      <w:proofErr w:type="spellEnd"/>
      <w:r w:rsidRPr="00FC131E">
        <w:t xml:space="preserve">) are also abused according to Alabama Mental Health admissions. Pharmaceutical diversion, vehicle transportation, and postal parcels, are the primary methods seen in Alabama for illegally obtaining pharmaceuticals. </w:t>
      </w:r>
    </w:p>
    <w:p w14:paraId="3CCB0652" w14:textId="77777777" w:rsidR="00FC131E" w:rsidRPr="00FC131E" w:rsidRDefault="00FC131E" w:rsidP="00FC131E"/>
    <w:p w14:paraId="7A79B37F" w14:textId="4939E90C" w:rsidR="00FC131E" w:rsidRPr="00FC131E" w:rsidRDefault="00FC131E" w:rsidP="00FC131E">
      <w:pPr>
        <w:rPr>
          <w:b/>
          <w:bCs/>
        </w:rPr>
      </w:pPr>
      <w:r w:rsidRPr="00FC131E">
        <w:rPr>
          <w:b/>
          <w:bCs/>
        </w:rPr>
        <w:t xml:space="preserve">Cocaine </w:t>
      </w:r>
    </w:p>
    <w:p w14:paraId="29E8158F" w14:textId="77777777" w:rsidR="00FC131E" w:rsidRPr="00FC131E" w:rsidRDefault="00FC131E" w:rsidP="00FC131E"/>
    <w:p w14:paraId="478FE3B1" w14:textId="4DAE3C96" w:rsidR="00FC131E" w:rsidRDefault="00FC131E" w:rsidP="00FC131E">
      <w:r w:rsidRPr="00FC131E">
        <w:t xml:space="preserve">Cocaine has been up and down for several years as far as greatest drug threat is concerned. This year the ranking is almost the same as last year, with cocaine ranked fifth by law enforcement respondents and sixth by the treatment center respondents on the GC HIDTA Survey of 2022. Cocaine abuse according to the Alabama Department of Mental Health statistics show admissions as having decreased from 1,984 in 2019 to 1,441 in 2020. Black American DTOs continue to be the main transporters of cocaine into the Alabama. </w:t>
      </w:r>
    </w:p>
    <w:p w14:paraId="30572E6B" w14:textId="77777777" w:rsidR="00FC131E" w:rsidRPr="00FC131E" w:rsidRDefault="00FC131E" w:rsidP="00FC131E"/>
    <w:p w14:paraId="761EE7D9" w14:textId="613C740E" w:rsidR="00FC131E" w:rsidRPr="00FC131E" w:rsidRDefault="00FC131E" w:rsidP="00FC131E">
      <w:r w:rsidRPr="00FC131E">
        <w:rPr>
          <w:b/>
          <w:bCs/>
        </w:rPr>
        <w:t xml:space="preserve">New Psychoactive Drugs </w:t>
      </w:r>
    </w:p>
    <w:p w14:paraId="1AB154EA" w14:textId="77777777" w:rsidR="00FC131E" w:rsidRPr="00FC131E" w:rsidRDefault="00FC131E" w:rsidP="00FC131E"/>
    <w:p w14:paraId="201349D6" w14:textId="4C4C81BC" w:rsidR="00FC131E" w:rsidRPr="00FC131E" w:rsidRDefault="00FC131E" w:rsidP="00FC131E">
      <w:r w:rsidRPr="00FC131E">
        <w:t xml:space="preserve">The number one drugs in this category as seen by the Alabama Department of Mental Health as well as Forensic Sciences are the synthetic cannabinoids. The Department of Forensic Sciences has seen a lot of the synthetic cannabinoid drug 5-FLUORO-ADB in 2020. Even with many treatment centers closed in 2020 the Alabama Department of Mental Health saw an increase in admissions for new psychoactive drugs which increased from 213 individuals seeking treatment in 2019 to 480 individuals seeking treatment in 2020. There were 193 of this 480 that received treatment specifically for spice.  </w:t>
      </w:r>
    </w:p>
    <w:p w14:paraId="1F044C65" w14:textId="77777777" w:rsidR="00FC131E" w:rsidRPr="00FC131E" w:rsidRDefault="00FC131E" w:rsidP="00FC131E"/>
    <w:p w14:paraId="50C029AC" w14:textId="2B63C2E3" w:rsidR="00FC131E" w:rsidRPr="00FC131E" w:rsidRDefault="00FC131E" w:rsidP="00FC131E">
      <w:pPr>
        <w:rPr>
          <w:b/>
          <w:bCs/>
        </w:rPr>
      </w:pPr>
      <w:r w:rsidRPr="00FC131E">
        <w:rPr>
          <w:b/>
          <w:bCs/>
        </w:rPr>
        <w:t xml:space="preserve">Marijuana </w:t>
      </w:r>
    </w:p>
    <w:p w14:paraId="770B8493" w14:textId="77777777" w:rsidR="00FC131E" w:rsidRPr="00FC131E" w:rsidRDefault="00FC131E" w:rsidP="00FC131E"/>
    <w:p w14:paraId="41A31C0A" w14:textId="673D2B61" w:rsidR="001A61EA" w:rsidRDefault="00FC131E" w:rsidP="00FC131E">
      <w:r w:rsidRPr="00FC131E">
        <w:t>The Alabama Department of Mental Health has listed marijuana as the number two illegal drug as it did in 2019 based on treatment admissions. Admissions into the mental health facilities for marijuana abuse went from 6,438 in 2019, to 5,086 in 2020. According to law enforcement respondents in the 2022 GCHIDTA Survey, marijuana has dropped behind heroin, fentanyl, and methamphetamine as being the most available drug in Alabama for 2020. The Marijuana Eradication Program eradicated a total of 2,166 plants both indoor and outdoor. Law enforcement respondents to the GC HIDTA survey indicated the primary wholesale and retail distributors of marijuana are black American DTOs.</w:t>
      </w:r>
    </w:p>
    <w:p w14:paraId="30B61077" w14:textId="77777777" w:rsidR="00FC131E" w:rsidRDefault="00FC131E" w:rsidP="00FC131E"/>
    <w:p w14:paraId="297770A5" w14:textId="77777777" w:rsidR="001A61EA" w:rsidRPr="001A61EA" w:rsidRDefault="001A61EA" w:rsidP="001A61EA">
      <w:pPr>
        <w:rPr>
          <w:b/>
          <w:u w:val="single"/>
        </w:rPr>
      </w:pPr>
      <w:r w:rsidRPr="001A61EA">
        <w:rPr>
          <w:b/>
          <w:u w:val="single"/>
        </w:rPr>
        <w:t>Capabilities and Competencies</w:t>
      </w:r>
    </w:p>
    <w:p w14:paraId="66292894" w14:textId="77777777" w:rsidR="00AE4525" w:rsidRPr="004268D5" w:rsidRDefault="00AE4525" w:rsidP="00301F69"/>
    <w:p w14:paraId="5406B046" w14:textId="77777777" w:rsidR="00747431" w:rsidRPr="004268D5" w:rsidRDefault="00747431" w:rsidP="00747431">
      <w:pPr>
        <w:rPr>
          <w:b/>
          <w:bCs/>
        </w:rPr>
      </w:pPr>
      <w:r w:rsidRPr="004268D5">
        <w:rPr>
          <w:b/>
          <w:bCs/>
        </w:rPr>
        <w:t>Goals</w:t>
      </w:r>
    </w:p>
    <w:p w14:paraId="1FA54699" w14:textId="77777777" w:rsidR="006929F5" w:rsidRPr="004268D5" w:rsidRDefault="006929F5" w:rsidP="00747431"/>
    <w:p w14:paraId="229214E8" w14:textId="13C6C7A3" w:rsidR="00747431" w:rsidRPr="004268D5" w:rsidRDefault="00747431" w:rsidP="00747431">
      <w:r w:rsidRPr="004268D5">
        <w:t>The ADECA</w:t>
      </w:r>
      <w:r w:rsidR="007B0B57" w:rsidRPr="004268D5">
        <w:t xml:space="preserve"> /</w:t>
      </w:r>
      <w:r w:rsidRPr="004268D5">
        <w:t xml:space="preserve"> </w:t>
      </w:r>
      <w:r w:rsidR="00A735AB" w:rsidRPr="004268D5">
        <w:t>LETS</w:t>
      </w:r>
      <w:r w:rsidRPr="004268D5">
        <w:t xml:space="preserve"> Division's goals for the </w:t>
      </w:r>
      <w:r w:rsidR="005C132C" w:rsidRPr="004268D5">
        <w:t>FY</w:t>
      </w:r>
      <w:r w:rsidR="00DF22F7">
        <w:t>202</w:t>
      </w:r>
      <w:r w:rsidR="00DC0186">
        <w:t>1</w:t>
      </w:r>
      <w:r w:rsidRPr="004268D5">
        <w:t xml:space="preserve"> </w:t>
      </w:r>
      <w:r w:rsidR="00C137DA" w:rsidRPr="004268D5">
        <w:t xml:space="preserve">Edward Byrne JAG Program </w:t>
      </w:r>
      <w:r w:rsidRPr="004268D5">
        <w:t>include the following:</w:t>
      </w:r>
    </w:p>
    <w:p w14:paraId="5938BA08" w14:textId="77777777" w:rsidR="00747431" w:rsidRPr="004268D5" w:rsidRDefault="00747431" w:rsidP="00747431"/>
    <w:p w14:paraId="7045B61F" w14:textId="77777777" w:rsidR="00747431" w:rsidRPr="004268D5" w:rsidRDefault="00C43D39" w:rsidP="006929F5">
      <w:pPr>
        <w:numPr>
          <w:ilvl w:val="0"/>
          <w:numId w:val="1"/>
        </w:numPr>
      </w:pPr>
      <w:r w:rsidRPr="004268D5">
        <w:t xml:space="preserve">To provide a </w:t>
      </w:r>
      <w:r w:rsidR="00FC35EF" w:rsidRPr="004268D5">
        <w:t xml:space="preserve">program </w:t>
      </w:r>
      <w:r w:rsidR="00BE2F3D" w:rsidRPr="004268D5">
        <w:t>that will deliver</w:t>
      </w:r>
      <w:r w:rsidR="00C73B7F" w:rsidRPr="004268D5">
        <w:t xml:space="preserve"> law enforcement and </w:t>
      </w:r>
      <w:r w:rsidR="000635CD">
        <w:t xml:space="preserve">crime prevention training. This will </w:t>
      </w:r>
      <w:r w:rsidR="00BE2F3D" w:rsidRPr="004268D5">
        <w:t xml:space="preserve">assist cities and counties to remove or reduce the opportunity for crime </w:t>
      </w:r>
      <w:r w:rsidR="000635CD">
        <w:t xml:space="preserve">within their communities </w:t>
      </w:r>
      <w:r w:rsidR="00BE2F3D" w:rsidRPr="004268D5">
        <w:t xml:space="preserve">and </w:t>
      </w:r>
      <w:r w:rsidR="000635CD">
        <w:t>across the s</w:t>
      </w:r>
      <w:r w:rsidR="00BE2F3D" w:rsidRPr="004268D5">
        <w:t>t</w:t>
      </w:r>
      <w:r w:rsidR="000635CD">
        <w:t>ate.</w:t>
      </w:r>
    </w:p>
    <w:p w14:paraId="3D68AEB6" w14:textId="77777777" w:rsidR="00116569" w:rsidRPr="004268D5" w:rsidRDefault="00116569" w:rsidP="00116569">
      <w:pPr>
        <w:pStyle w:val="ListParagraph"/>
      </w:pPr>
    </w:p>
    <w:p w14:paraId="740341DF" w14:textId="77777777" w:rsidR="00116569" w:rsidRPr="004268D5" w:rsidRDefault="00116569" w:rsidP="006929F5">
      <w:pPr>
        <w:numPr>
          <w:ilvl w:val="0"/>
          <w:numId w:val="1"/>
        </w:numPr>
      </w:pPr>
      <w:r w:rsidRPr="004268D5">
        <w:t>To provide</w:t>
      </w:r>
      <w:r w:rsidR="000635CD">
        <w:t xml:space="preserve"> local law enforcement elements </w:t>
      </w:r>
      <w:r w:rsidRPr="004268D5">
        <w:t>with funding to upgrade and/or enhance law enforcement equipment including, but not limi</w:t>
      </w:r>
      <w:r w:rsidR="000635CD">
        <w:t>ted to law enforcement</w:t>
      </w:r>
      <w:r w:rsidRPr="004268D5">
        <w:t xml:space="preserve"> co</w:t>
      </w:r>
      <w:r w:rsidR="00601E16">
        <w:t>mputers</w:t>
      </w:r>
      <w:r w:rsidRPr="004268D5">
        <w:t>, police radios</w:t>
      </w:r>
      <w:r w:rsidR="00601E16">
        <w:t xml:space="preserve"> and</w:t>
      </w:r>
      <w:r w:rsidRPr="004268D5">
        <w:t xml:space="preserve"> communications equipment, weapons and body armor, and other equipment. </w:t>
      </w:r>
    </w:p>
    <w:p w14:paraId="3C030C56" w14:textId="77777777" w:rsidR="00747431" w:rsidRPr="004268D5" w:rsidRDefault="00747431" w:rsidP="00747431"/>
    <w:p w14:paraId="5BFD10B0" w14:textId="5E24ED6C" w:rsidR="00F342F7" w:rsidRDefault="00127B53" w:rsidP="008B0297">
      <w:pPr>
        <w:numPr>
          <w:ilvl w:val="0"/>
          <w:numId w:val="1"/>
        </w:numPr>
      </w:pPr>
      <w:r>
        <w:t xml:space="preserve">Establish and/or support </w:t>
      </w:r>
      <w:r w:rsidR="00BF7F41">
        <w:t>regional</w:t>
      </w:r>
      <w:r>
        <w:t xml:space="preserve"> drug and violent crime task forc</w:t>
      </w:r>
      <w:r w:rsidR="00592C69">
        <w:t xml:space="preserve">es across the state and </w:t>
      </w:r>
      <w:r w:rsidR="00FD3353">
        <w:t>continued support</w:t>
      </w:r>
      <w:r w:rsidR="00592C69">
        <w:t xml:space="preserve"> </w:t>
      </w:r>
      <w:r w:rsidR="00B1296C">
        <w:t>for our</w:t>
      </w:r>
      <w:r w:rsidR="00592C69">
        <w:t xml:space="preserve"> statewide regional drug task forces.</w:t>
      </w:r>
    </w:p>
    <w:p w14:paraId="16761ACA" w14:textId="77777777" w:rsidR="00127B53" w:rsidRDefault="00127B53" w:rsidP="00127B53">
      <w:pPr>
        <w:pStyle w:val="ListParagraph"/>
      </w:pPr>
    </w:p>
    <w:p w14:paraId="4BEE6B9C" w14:textId="77777777" w:rsidR="00127B53" w:rsidRPr="004268D5" w:rsidRDefault="00127B53" w:rsidP="00127B53">
      <w:pPr>
        <w:numPr>
          <w:ilvl w:val="0"/>
          <w:numId w:val="1"/>
        </w:numPr>
      </w:pPr>
      <w:r w:rsidRPr="004268D5">
        <w:t>To support various State projects in an effort to minimize and avoid reductions in essential services</w:t>
      </w:r>
      <w:r>
        <w:t>.</w:t>
      </w:r>
      <w:r w:rsidRPr="004268D5">
        <w:t xml:space="preserve"> </w:t>
      </w:r>
    </w:p>
    <w:p w14:paraId="14A30A4E" w14:textId="77777777" w:rsidR="00747431" w:rsidRDefault="00747431" w:rsidP="00747431"/>
    <w:p w14:paraId="4DCF0284" w14:textId="77777777" w:rsidR="00AD00B0" w:rsidRPr="004268D5" w:rsidRDefault="00AD00B0" w:rsidP="00747431"/>
    <w:p w14:paraId="591C8D5A" w14:textId="77777777" w:rsidR="00A7113E" w:rsidRDefault="00A7113E" w:rsidP="00D6658A">
      <w:pPr>
        <w:autoSpaceDE w:val="0"/>
        <w:autoSpaceDN w:val="0"/>
        <w:adjustRightInd w:val="0"/>
        <w:rPr>
          <w:b/>
          <w:u w:val="single"/>
        </w:rPr>
      </w:pPr>
    </w:p>
    <w:p w14:paraId="1F839832" w14:textId="77777777" w:rsidR="00A7113E" w:rsidRDefault="00A7113E" w:rsidP="00D6658A">
      <w:pPr>
        <w:autoSpaceDE w:val="0"/>
        <w:autoSpaceDN w:val="0"/>
        <w:adjustRightInd w:val="0"/>
        <w:rPr>
          <w:b/>
          <w:u w:val="single"/>
        </w:rPr>
      </w:pPr>
    </w:p>
    <w:p w14:paraId="41AFA332" w14:textId="77777777" w:rsidR="00A7113E" w:rsidRDefault="00A7113E" w:rsidP="00D6658A">
      <w:pPr>
        <w:autoSpaceDE w:val="0"/>
        <w:autoSpaceDN w:val="0"/>
        <w:adjustRightInd w:val="0"/>
        <w:rPr>
          <w:b/>
          <w:u w:val="single"/>
        </w:rPr>
      </w:pPr>
    </w:p>
    <w:p w14:paraId="4F24090A" w14:textId="77777777" w:rsidR="00A7113E" w:rsidRDefault="00A7113E" w:rsidP="00D6658A">
      <w:pPr>
        <w:autoSpaceDE w:val="0"/>
        <w:autoSpaceDN w:val="0"/>
        <w:adjustRightInd w:val="0"/>
        <w:rPr>
          <w:b/>
          <w:u w:val="single"/>
        </w:rPr>
      </w:pPr>
    </w:p>
    <w:p w14:paraId="04F71F95" w14:textId="77777777" w:rsidR="00A7113E" w:rsidRDefault="00A7113E" w:rsidP="00D6658A">
      <w:pPr>
        <w:autoSpaceDE w:val="0"/>
        <w:autoSpaceDN w:val="0"/>
        <w:adjustRightInd w:val="0"/>
        <w:rPr>
          <w:b/>
          <w:u w:val="single"/>
        </w:rPr>
      </w:pPr>
    </w:p>
    <w:p w14:paraId="75220FBF" w14:textId="347B9B07" w:rsidR="00D6658A" w:rsidRPr="00073702" w:rsidRDefault="00D6658A" w:rsidP="00D6658A">
      <w:pPr>
        <w:autoSpaceDE w:val="0"/>
        <w:autoSpaceDN w:val="0"/>
        <w:adjustRightInd w:val="0"/>
        <w:rPr>
          <w:b/>
          <w:u w:val="single"/>
        </w:rPr>
      </w:pPr>
      <w:r w:rsidRPr="00073702">
        <w:rPr>
          <w:b/>
          <w:u w:val="single"/>
        </w:rPr>
        <w:t>Project Design and Implementation</w:t>
      </w:r>
    </w:p>
    <w:p w14:paraId="36C308A0" w14:textId="77777777" w:rsidR="00D6658A" w:rsidRDefault="00D6658A" w:rsidP="00D6658A"/>
    <w:p w14:paraId="732EADE0" w14:textId="77777777" w:rsidR="00D6658A" w:rsidRPr="004268D5" w:rsidRDefault="00D6658A" w:rsidP="00D6658A">
      <w:pPr>
        <w:rPr>
          <w:b/>
          <w:sz w:val="28"/>
          <w:szCs w:val="28"/>
        </w:rPr>
      </w:pPr>
      <w:r w:rsidRPr="004268D5">
        <w:rPr>
          <w:b/>
          <w:sz w:val="28"/>
          <w:szCs w:val="28"/>
        </w:rPr>
        <w:t>State Strategic Planning Process Defined</w:t>
      </w:r>
    </w:p>
    <w:p w14:paraId="60D15CB7" w14:textId="77777777" w:rsidR="00D6658A" w:rsidRPr="004268D5" w:rsidRDefault="00D6658A" w:rsidP="00D6658A"/>
    <w:p w14:paraId="5ADEB983" w14:textId="31472D65" w:rsidR="00D6658A" w:rsidRPr="006B2F11" w:rsidRDefault="00D6658A" w:rsidP="00D6658A">
      <w:r w:rsidRPr="006B2F11">
        <w:t>The Alabama Department of Economic and Community Affairs / Law Enforcement and Traffic Safety Division (ADECA/LETS) supports state and local criminal justice projects by sub</w:t>
      </w:r>
      <w:r w:rsidR="008D12B4">
        <w:t>-</w:t>
      </w:r>
      <w:r w:rsidRPr="006B2F11">
        <w:t xml:space="preserve"> granting federal dollars from the Edward Byrne Memorial Justice Assistance Grant (Byrne JAG). In order to facilitate the efficient use of public funds, ADECA/LETS has developed a strategic plan to guide funding priorities and to identify problem areas that must be addressed by criminal justice stakeholders through these grant funds. </w:t>
      </w:r>
    </w:p>
    <w:p w14:paraId="2D7FB90C" w14:textId="77777777" w:rsidR="00D6658A" w:rsidRPr="006B2F11" w:rsidRDefault="00D6658A" w:rsidP="00D6658A"/>
    <w:p w14:paraId="17EACEC3" w14:textId="71AC6D5F" w:rsidR="00D6658A" w:rsidRPr="006B2F11" w:rsidRDefault="00D6658A" w:rsidP="00D6658A">
      <w:r w:rsidRPr="006B2F11">
        <w:t xml:space="preserve">The Division’s coordination with federal, </w:t>
      </w:r>
      <w:proofErr w:type="gramStart"/>
      <w:r w:rsidRPr="006B2F11">
        <w:t>state</w:t>
      </w:r>
      <w:proofErr w:type="gramEnd"/>
      <w:r w:rsidRPr="006B2F11">
        <w:t xml:space="preserve"> and local criminal justice partners, along with the statewide strategic plan and program performance measures will </w:t>
      </w:r>
      <w:r w:rsidR="00BD5B8B">
        <w:t xml:space="preserve">help </w:t>
      </w:r>
      <w:r w:rsidRPr="006B2F11">
        <w:t xml:space="preserve">Alabama to responsibly and effectively distribute public funds through a variety of proven and effective programming areas. </w:t>
      </w:r>
    </w:p>
    <w:p w14:paraId="260ADAAB" w14:textId="77777777" w:rsidR="00D6658A" w:rsidRDefault="00D6658A" w:rsidP="00D6658A">
      <w:pPr>
        <w:rPr>
          <w:b/>
          <w:bCs/>
        </w:rPr>
      </w:pPr>
      <w:bookmarkStart w:id="2" w:name="_Toc354997731"/>
    </w:p>
    <w:p w14:paraId="0973A512" w14:textId="77777777" w:rsidR="00D6658A" w:rsidRDefault="00D6658A" w:rsidP="00D6658A">
      <w:pPr>
        <w:rPr>
          <w:b/>
          <w:bCs/>
        </w:rPr>
      </w:pPr>
    </w:p>
    <w:p w14:paraId="349059F0" w14:textId="77777777" w:rsidR="00D6658A" w:rsidRDefault="00D6658A" w:rsidP="00D6658A">
      <w:pPr>
        <w:rPr>
          <w:b/>
          <w:bCs/>
        </w:rPr>
      </w:pPr>
      <w:r w:rsidRPr="006B2F11">
        <w:rPr>
          <w:b/>
          <w:bCs/>
        </w:rPr>
        <w:t>Strategy Development Coordination</w:t>
      </w:r>
      <w:bookmarkEnd w:id="2"/>
    </w:p>
    <w:p w14:paraId="20D72115" w14:textId="77777777" w:rsidR="00D6658A" w:rsidRPr="006B2F11" w:rsidRDefault="00D6658A" w:rsidP="00D6658A">
      <w:pPr>
        <w:rPr>
          <w:b/>
          <w:bCs/>
        </w:rPr>
      </w:pPr>
    </w:p>
    <w:p w14:paraId="781CF4BF" w14:textId="1546DD94" w:rsidR="00D6658A" w:rsidRPr="006B2F11" w:rsidRDefault="00D6658A" w:rsidP="00D6658A">
      <w:r w:rsidRPr="006B2F11">
        <w:t>In the development of Alabama’s FY</w:t>
      </w:r>
      <w:r w:rsidR="00DF22F7">
        <w:t>20</w:t>
      </w:r>
      <w:r w:rsidR="00C73B97">
        <w:t>19</w:t>
      </w:r>
      <w:r w:rsidRPr="006B2F11">
        <w:t>-20</w:t>
      </w:r>
      <w:r w:rsidR="00417F53">
        <w:t>23</w:t>
      </w:r>
      <w:r w:rsidRPr="006B2F11">
        <w:t xml:space="preserve"> State Strategy, a variety of information-gathering techniques were utilized to identify successful federal, state and local efforts and to respond to the specific needs and concerns of the Criminal Justice Community throughout Alabama. Throughout this process, the Division endeavored to include as many points of view as possible and all significant interests.  This information was compared to criminal justice data gathered over a period of years. This plan examines the nature and extent of the identified problems, drug trends in the state, summarizes current efforts and promotes coordination of efforts. </w:t>
      </w:r>
    </w:p>
    <w:p w14:paraId="09E64697" w14:textId="77777777" w:rsidR="00D6658A" w:rsidRPr="006B2F11" w:rsidRDefault="00D6658A" w:rsidP="00D6658A"/>
    <w:p w14:paraId="622EC46D" w14:textId="0CC94023" w:rsidR="00D6658A" w:rsidRDefault="00D6658A" w:rsidP="00D6658A">
      <w:r w:rsidRPr="006B2F11">
        <w:t xml:space="preserve">Over a period of months </w:t>
      </w:r>
      <w:r w:rsidR="00EF7754">
        <w:t xml:space="preserve">in </w:t>
      </w:r>
      <w:r w:rsidR="009C10D9">
        <w:t>201</w:t>
      </w:r>
      <w:r w:rsidR="00C73B97">
        <w:t>8</w:t>
      </w:r>
      <w:r w:rsidRPr="006B2F11">
        <w:t xml:space="preserve">, as part of the state’s planning process for its federal Edward Byrne Memorial Justice Assistance Grant (Byrne JAG) allocation, the Alabama Department of Economic and Community Affairs (ADECA), Law Enforcement </w:t>
      </w:r>
      <w:r>
        <w:t xml:space="preserve">and </w:t>
      </w:r>
      <w:r w:rsidRPr="006B2F11">
        <w:t xml:space="preserve">Traffic Safety Division (LETS) </w:t>
      </w:r>
      <w:r w:rsidR="00EF7754">
        <w:t>worked</w:t>
      </w:r>
      <w:r w:rsidRPr="006B2F11">
        <w:t xml:space="preserve"> with the National Criminal Justice Association (NCJA) to develop a useful cost effective stakeholder engagement strategy.  As part of this engagement strategy, LETS sought input from traditional and non-traditional partners from across the state on:</w:t>
      </w:r>
    </w:p>
    <w:p w14:paraId="373284EE" w14:textId="77777777" w:rsidR="00D6658A" w:rsidRPr="006B2F11" w:rsidRDefault="00D6658A" w:rsidP="00D6658A"/>
    <w:p w14:paraId="2822778D" w14:textId="22805EC5" w:rsidR="00D6658A" w:rsidRPr="006B2F11" w:rsidRDefault="00D6658A" w:rsidP="00D6658A">
      <w:pPr>
        <w:numPr>
          <w:ilvl w:val="0"/>
          <w:numId w:val="16"/>
        </w:numPr>
      </w:pPr>
      <w:r w:rsidRPr="006B2F11">
        <w:t xml:space="preserve">priority project types and initiatives within the </w:t>
      </w:r>
      <w:r w:rsidR="00B25B1A">
        <w:t>eight</w:t>
      </w:r>
      <w:r w:rsidRPr="006B2F11">
        <w:t xml:space="preserve"> Byrne JAG purpose areas,</w:t>
      </w:r>
    </w:p>
    <w:p w14:paraId="4D5134F0" w14:textId="77777777" w:rsidR="00D6658A" w:rsidRPr="006B2F11" w:rsidRDefault="00D6658A" w:rsidP="00D6658A">
      <w:pPr>
        <w:numPr>
          <w:ilvl w:val="0"/>
          <w:numId w:val="16"/>
        </w:numPr>
      </w:pPr>
      <w:r w:rsidRPr="006B2F11">
        <w:t>priority purpose areas for funding,</w:t>
      </w:r>
    </w:p>
    <w:p w14:paraId="3F68B76D" w14:textId="77777777" w:rsidR="00D6658A" w:rsidRPr="006B2F11" w:rsidRDefault="00D6658A" w:rsidP="00D6658A">
      <w:pPr>
        <w:numPr>
          <w:ilvl w:val="0"/>
          <w:numId w:val="16"/>
        </w:numPr>
      </w:pPr>
      <w:r w:rsidRPr="006B2F11">
        <w:t xml:space="preserve">previous strategic planning priorities, and </w:t>
      </w:r>
    </w:p>
    <w:p w14:paraId="2F519B14" w14:textId="77777777" w:rsidR="00D6658A" w:rsidRDefault="00D6658A" w:rsidP="00D6658A">
      <w:pPr>
        <w:numPr>
          <w:ilvl w:val="0"/>
          <w:numId w:val="16"/>
        </w:numPr>
      </w:pPr>
      <w:r w:rsidRPr="006B2F11">
        <w:t xml:space="preserve">most pressing state and local issues. </w:t>
      </w:r>
    </w:p>
    <w:p w14:paraId="68B716DE" w14:textId="77777777" w:rsidR="00D6658A" w:rsidRPr="006B2F11" w:rsidRDefault="00D6658A" w:rsidP="00D6658A"/>
    <w:p w14:paraId="52F54339" w14:textId="2AB1ACCF" w:rsidR="00D6658A" w:rsidRPr="006B2F11" w:rsidRDefault="00D6658A" w:rsidP="00D6658A">
      <w:r w:rsidRPr="006B2F11">
        <w:t xml:space="preserve">Working together with the NCJA, a survey instrument designed to gather input from across the stakeholder community was developed. On behalf of ADECA/LETS, NCJA distributed the survey to state and local stakeholder groups through list-serves, professional associations and e-mail databases beginning on </w:t>
      </w:r>
      <w:r w:rsidR="00B25B1A">
        <w:t>N</w:t>
      </w:r>
      <w:r w:rsidR="004F55C3">
        <w:t>o</w:t>
      </w:r>
      <w:r w:rsidR="00B25B1A">
        <w:t xml:space="preserve">vember 1, </w:t>
      </w:r>
      <w:r w:rsidR="009C10D9">
        <w:t>201</w:t>
      </w:r>
      <w:r w:rsidR="00C73B97">
        <w:t>8</w:t>
      </w:r>
      <w:r w:rsidRPr="006B2F11">
        <w:t xml:space="preserve">. The survey closed on </w:t>
      </w:r>
      <w:r w:rsidR="00B25B1A">
        <w:t>December 7,</w:t>
      </w:r>
      <w:r w:rsidRPr="006B2F11">
        <w:t xml:space="preserve"> </w:t>
      </w:r>
      <w:r w:rsidR="009C10D9">
        <w:t>201</w:t>
      </w:r>
      <w:r w:rsidR="00C73B97">
        <w:t>8</w:t>
      </w:r>
      <w:r w:rsidRPr="006B2F11">
        <w:t xml:space="preserve"> with 2</w:t>
      </w:r>
      <w:r w:rsidR="004F55C3">
        <w:t>43</w:t>
      </w:r>
      <w:r w:rsidRPr="006B2F11">
        <w:t xml:space="preserve"> responses from around the state and across all elements of the justice system. The research staff at NCJA collected and tabulated the results and provided a detailed analysis for ADECA/LETS to utilize in its planning efforts. </w:t>
      </w:r>
    </w:p>
    <w:p w14:paraId="2620D639" w14:textId="77777777" w:rsidR="00D6658A" w:rsidRPr="006B2F11" w:rsidRDefault="00D6658A" w:rsidP="00D6658A"/>
    <w:p w14:paraId="54C70D7E" w14:textId="75277284" w:rsidR="00D6658A" w:rsidRPr="006B2F11" w:rsidRDefault="00D6658A" w:rsidP="00D6658A">
      <w:r w:rsidRPr="006B2F11">
        <w:t xml:space="preserve">The survey was designed so that responses could be sorted by function within the criminal justice system.  Analysis focused on finding consensus around state and local issues, the Byrne JAG purpose areas most in need of limited </w:t>
      </w:r>
      <w:r w:rsidR="00057A08" w:rsidRPr="006B2F11">
        <w:t>funds and</w:t>
      </w:r>
      <w:r w:rsidRPr="006B2F11">
        <w:t xml:space="preserve"> determining which projects in each purpose area were viewed as most critical to Alabama’s state and local criminal justice systems. </w:t>
      </w:r>
    </w:p>
    <w:p w14:paraId="735D6ADE" w14:textId="77777777" w:rsidR="00D6658A" w:rsidRDefault="00D6658A" w:rsidP="00D6658A">
      <w:pPr>
        <w:rPr>
          <w:b/>
          <w:sz w:val="28"/>
          <w:szCs w:val="28"/>
        </w:rPr>
      </w:pPr>
    </w:p>
    <w:p w14:paraId="61D9CD85" w14:textId="77777777" w:rsidR="00D6658A" w:rsidRPr="008C43C9" w:rsidRDefault="00D6658A" w:rsidP="00D6658A">
      <w:pPr>
        <w:rPr>
          <w:b/>
          <w:sz w:val="28"/>
          <w:szCs w:val="28"/>
        </w:rPr>
      </w:pPr>
      <w:r w:rsidRPr="008C43C9">
        <w:rPr>
          <w:b/>
          <w:sz w:val="28"/>
          <w:szCs w:val="28"/>
        </w:rPr>
        <w:t>Coordinating JAG funds with State and Related Justice Funds</w:t>
      </w:r>
    </w:p>
    <w:p w14:paraId="7BAE3F5B" w14:textId="77777777" w:rsidR="00D6658A" w:rsidRDefault="00D6658A" w:rsidP="00D6658A">
      <w:pPr>
        <w:rPr>
          <w:b/>
          <w:sz w:val="28"/>
          <w:szCs w:val="28"/>
        </w:rPr>
      </w:pPr>
    </w:p>
    <w:p w14:paraId="66C1704E" w14:textId="77777777" w:rsidR="00D6658A" w:rsidRDefault="00D6658A" w:rsidP="00D6658A">
      <w:pPr>
        <w:autoSpaceDE w:val="0"/>
        <w:autoSpaceDN w:val="0"/>
        <w:adjustRightInd w:val="0"/>
      </w:pPr>
      <w:r>
        <w:t>A key mission of ADECA/LETS as the SAA for the Byrne JAG Program is to ensure that JAG funds are coordinated with State and related Justice funds in criminal justice planning efforts and programs. To accomplish this, ADECA/LETS engages in an open dialogue with primary agencies and law enforcement associations within the state. As a result, the joint effort of many organizations working together produces a greater impact than any single agency acting alone</w:t>
      </w:r>
      <w:r w:rsidRPr="001A6BDB">
        <w:t>. In these cases, positive effects such as improved efficiency in operations, greater exploitation of opportunities, and imp</w:t>
      </w:r>
      <w:r>
        <w:t xml:space="preserve">roved utilization of resources occur. When utilizing Byrne JAG funds in conjunction with related justice funds, technology enhancements, safety improvements, and information sharing capabilities are all enhanced and demonstrate a clear and fiscally responsible use of funds. </w:t>
      </w:r>
    </w:p>
    <w:p w14:paraId="11DF9030" w14:textId="77777777" w:rsidR="00D6658A" w:rsidRDefault="00D6658A" w:rsidP="00747431">
      <w:pPr>
        <w:rPr>
          <w:b/>
          <w:bCs/>
          <w:sz w:val="28"/>
          <w:szCs w:val="28"/>
        </w:rPr>
      </w:pPr>
    </w:p>
    <w:p w14:paraId="19A053ED" w14:textId="3D9EAD2C" w:rsidR="00615853" w:rsidRPr="004268D5" w:rsidRDefault="00C2356C" w:rsidP="00747431">
      <w:pPr>
        <w:rPr>
          <w:b/>
          <w:bCs/>
          <w:sz w:val="28"/>
          <w:szCs w:val="28"/>
        </w:rPr>
      </w:pPr>
      <w:r w:rsidRPr="004268D5">
        <w:rPr>
          <w:b/>
          <w:bCs/>
          <w:sz w:val="28"/>
          <w:szCs w:val="28"/>
        </w:rPr>
        <w:t xml:space="preserve">Strategies and </w:t>
      </w:r>
      <w:r w:rsidR="003D0FF7" w:rsidRPr="004268D5">
        <w:rPr>
          <w:b/>
          <w:bCs/>
          <w:sz w:val="28"/>
          <w:szCs w:val="28"/>
        </w:rPr>
        <w:t xml:space="preserve">Funding </w:t>
      </w:r>
      <w:r w:rsidR="00615853" w:rsidRPr="004268D5">
        <w:rPr>
          <w:b/>
          <w:bCs/>
          <w:sz w:val="28"/>
          <w:szCs w:val="28"/>
        </w:rPr>
        <w:t>Priorities</w:t>
      </w:r>
      <w:r w:rsidR="00AD00B0" w:rsidRPr="004268D5">
        <w:rPr>
          <w:b/>
          <w:bCs/>
          <w:sz w:val="28"/>
          <w:szCs w:val="28"/>
        </w:rPr>
        <w:t xml:space="preserve"> for FY</w:t>
      </w:r>
      <w:r w:rsidR="00DF22F7">
        <w:rPr>
          <w:b/>
          <w:bCs/>
          <w:sz w:val="28"/>
          <w:szCs w:val="28"/>
        </w:rPr>
        <w:t>202</w:t>
      </w:r>
      <w:r w:rsidR="00DC0186">
        <w:rPr>
          <w:b/>
          <w:bCs/>
          <w:sz w:val="28"/>
          <w:szCs w:val="28"/>
        </w:rPr>
        <w:t>1</w:t>
      </w:r>
      <w:r w:rsidR="00AD00B0" w:rsidRPr="004268D5">
        <w:rPr>
          <w:b/>
          <w:bCs/>
          <w:sz w:val="28"/>
          <w:szCs w:val="28"/>
        </w:rPr>
        <w:t xml:space="preserve"> JAG Funds</w:t>
      </w:r>
      <w:r w:rsidR="00615853" w:rsidRPr="004268D5">
        <w:rPr>
          <w:b/>
          <w:bCs/>
          <w:sz w:val="28"/>
          <w:szCs w:val="28"/>
        </w:rPr>
        <w:t xml:space="preserve"> </w:t>
      </w:r>
    </w:p>
    <w:p w14:paraId="36C079FF" w14:textId="77777777" w:rsidR="00615853" w:rsidRPr="004268D5" w:rsidRDefault="00615853" w:rsidP="00615853"/>
    <w:p w14:paraId="11150FBE" w14:textId="34A80223" w:rsidR="00E3372B" w:rsidRPr="004268D5" w:rsidRDefault="00AE4525" w:rsidP="00AE4525">
      <w:pPr>
        <w:autoSpaceDE w:val="0"/>
        <w:autoSpaceDN w:val="0"/>
        <w:adjustRightInd w:val="0"/>
      </w:pPr>
      <w:r w:rsidRPr="004268D5">
        <w:t>ADECA/</w:t>
      </w:r>
      <w:r w:rsidR="00A735AB" w:rsidRPr="004268D5">
        <w:t>LETS</w:t>
      </w:r>
      <w:r w:rsidR="00F5484A">
        <w:t xml:space="preserve"> recognizes the </w:t>
      </w:r>
      <w:r w:rsidR="00A961CD">
        <w:t>ongoing economic issues</w:t>
      </w:r>
      <w:r w:rsidRPr="004268D5">
        <w:t xml:space="preserve"> h</w:t>
      </w:r>
      <w:r w:rsidR="009B01D3">
        <w:t>a</w:t>
      </w:r>
      <w:r w:rsidR="00B363C2">
        <w:t>ve</w:t>
      </w:r>
      <w:r w:rsidRPr="004268D5">
        <w:t xml:space="preserve"> resulted </w:t>
      </w:r>
      <w:r w:rsidR="000635CD">
        <w:t xml:space="preserve">in significant pressures on </w:t>
      </w:r>
      <w:r w:rsidRPr="004268D5">
        <w:t xml:space="preserve">state and local criminal justice systems. </w:t>
      </w:r>
      <w:proofErr w:type="gramStart"/>
      <w:r w:rsidR="0094433E">
        <w:t>In order to</w:t>
      </w:r>
      <w:proofErr w:type="gramEnd"/>
      <w:r w:rsidR="0094433E">
        <w:t xml:space="preserve"> maximize the effectiveness of Byrne JAG funding, ADECA/LETS</w:t>
      </w:r>
      <w:r w:rsidR="00E3372B" w:rsidRPr="004268D5">
        <w:t xml:space="preserve"> </w:t>
      </w:r>
      <w:r w:rsidR="0094433E">
        <w:t>ensures</w:t>
      </w:r>
      <w:r w:rsidRPr="004268D5">
        <w:t xml:space="preserve"> local JAG </w:t>
      </w:r>
      <w:r w:rsidR="00E3372B" w:rsidRPr="004268D5">
        <w:t>sub</w:t>
      </w:r>
      <w:r w:rsidRPr="004268D5">
        <w:t>recipients are aware of</w:t>
      </w:r>
      <w:r w:rsidR="00E3372B" w:rsidRPr="004268D5">
        <w:t xml:space="preserve"> the purpose areas of allocation and any priorities that may have been established. </w:t>
      </w:r>
    </w:p>
    <w:p w14:paraId="7009B946" w14:textId="77777777" w:rsidR="0094433E" w:rsidRDefault="00AE4525" w:rsidP="00E3372B">
      <w:pPr>
        <w:autoSpaceDE w:val="0"/>
        <w:autoSpaceDN w:val="0"/>
        <w:adjustRightInd w:val="0"/>
      </w:pPr>
      <w:r w:rsidRPr="004268D5">
        <w:t xml:space="preserve"> </w:t>
      </w:r>
    </w:p>
    <w:p w14:paraId="401596AF" w14:textId="71145905" w:rsidR="00AE4525" w:rsidRDefault="0094433E" w:rsidP="00E3372B">
      <w:pPr>
        <w:autoSpaceDE w:val="0"/>
        <w:autoSpaceDN w:val="0"/>
        <w:adjustRightInd w:val="0"/>
      </w:pPr>
      <w:r>
        <w:t>ADECA/LETS</w:t>
      </w:r>
      <w:r w:rsidR="00AE4525" w:rsidRPr="004268D5">
        <w:t xml:space="preserve"> strongly </w:t>
      </w:r>
      <w:r w:rsidRPr="004268D5">
        <w:t>encourage</w:t>
      </w:r>
      <w:r>
        <w:t>s</w:t>
      </w:r>
      <w:r w:rsidR="00AE4525" w:rsidRPr="004268D5">
        <w:t xml:space="preserve"> </w:t>
      </w:r>
      <w:r w:rsidR="00E3372B" w:rsidRPr="004268D5">
        <w:t xml:space="preserve">potential </w:t>
      </w:r>
      <w:r w:rsidR="002C4278">
        <w:t>subrecipients</w:t>
      </w:r>
      <w:r w:rsidR="00E3372B" w:rsidRPr="004268D5">
        <w:t xml:space="preserve"> </w:t>
      </w:r>
      <w:r w:rsidR="00AE4525" w:rsidRPr="004268D5">
        <w:t>to consider programs that are evidence-based and have been proven effective</w:t>
      </w:r>
      <w:r w:rsidR="00E3372B" w:rsidRPr="004268D5">
        <w:t xml:space="preserve"> through rigorous evaluation. </w:t>
      </w:r>
      <w:r>
        <w:t xml:space="preserve">Due to </w:t>
      </w:r>
      <w:r w:rsidR="00DA1026" w:rsidRPr="004268D5">
        <w:t xml:space="preserve">limited resources, it is </w:t>
      </w:r>
      <w:r w:rsidR="00AE4525" w:rsidRPr="004268D5">
        <w:t xml:space="preserve">critical that </w:t>
      </w:r>
      <w:r>
        <w:t>funds are distributed to</w:t>
      </w:r>
      <w:r w:rsidR="00AE4525" w:rsidRPr="004268D5">
        <w:t xml:space="preserve"> programs </w:t>
      </w:r>
      <w:r w:rsidR="001124C3">
        <w:t xml:space="preserve">who have a </w:t>
      </w:r>
      <w:r w:rsidR="009B01D3">
        <w:t>history of success</w:t>
      </w:r>
      <w:r w:rsidR="00AE4525" w:rsidRPr="004268D5">
        <w:t xml:space="preserve">. However, </w:t>
      </w:r>
      <w:r w:rsidR="00DA1026" w:rsidRPr="004268D5">
        <w:t>ADECA/</w:t>
      </w:r>
      <w:r w:rsidR="00A735AB" w:rsidRPr="004268D5">
        <w:t>LETS</w:t>
      </w:r>
      <w:r w:rsidR="00DA1026" w:rsidRPr="004268D5">
        <w:t xml:space="preserve"> </w:t>
      </w:r>
      <w:r w:rsidR="00AE4525" w:rsidRPr="004268D5">
        <w:t>recognize</w:t>
      </w:r>
      <w:r w:rsidR="00DA1026" w:rsidRPr="004268D5">
        <w:t>s</w:t>
      </w:r>
      <w:r w:rsidR="00AE4525" w:rsidRPr="004268D5">
        <w:t xml:space="preserve"> that </w:t>
      </w:r>
      <w:r w:rsidR="00DA1026" w:rsidRPr="004268D5">
        <w:t xml:space="preserve">some </w:t>
      </w:r>
      <w:r w:rsidR="00AE4525" w:rsidRPr="004268D5">
        <w:t xml:space="preserve">programs </w:t>
      </w:r>
      <w:r w:rsidR="00DA1026" w:rsidRPr="004268D5">
        <w:t xml:space="preserve">have the potential to be </w:t>
      </w:r>
      <w:r w:rsidR="00AE4525" w:rsidRPr="004268D5">
        <w:t xml:space="preserve">innovative </w:t>
      </w:r>
      <w:r w:rsidR="00DA1026" w:rsidRPr="004268D5">
        <w:t xml:space="preserve">and </w:t>
      </w:r>
      <w:r w:rsidR="00AE4525" w:rsidRPr="004268D5">
        <w:t xml:space="preserve">can be models for other localities addressing difficult problems. </w:t>
      </w:r>
    </w:p>
    <w:p w14:paraId="174292EA" w14:textId="77777777" w:rsidR="00DD5770" w:rsidRPr="004268D5" w:rsidRDefault="00DD5770" w:rsidP="00747431"/>
    <w:p w14:paraId="226A72A3" w14:textId="77777777" w:rsidR="00A7113E" w:rsidRDefault="00A7113E" w:rsidP="000A1B66">
      <w:pPr>
        <w:rPr>
          <w:b/>
        </w:rPr>
      </w:pPr>
    </w:p>
    <w:p w14:paraId="290C8154" w14:textId="77777777" w:rsidR="00A7113E" w:rsidRDefault="00A7113E" w:rsidP="000A1B66">
      <w:pPr>
        <w:rPr>
          <w:b/>
        </w:rPr>
      </w:pPr>
    </w:p>
    <w:p w14:paraId="6EAA71DE" w14:textId="77777777" w:rsidR="00A7113E" w:rsidRDefault="00A7113E" w:rsidP="000A1B66">
      <w:pPr>
        <w:rPr>
          <w:b/>
        </w:rPr>
      </w:pPr>
    </w:p>
    <w:p w14:paraId="5E06CFF6" w14:textId="77777777" w:rsidR="00A7113E" w:rsidRDefault="00A7113E" w:rsidP="000A1B66">
      <w:pPr>
        <w:rPr>
          <w:b/>
        </w:rPr>
      </w:pPr>
    </w:p>
    <w:p w14:paraId="2CCC7323" w14:textId="77777777" w:rsidR="00A7113E" w:rsidRDefault="00A7113E" w:rsidP="000A1B66">
      <w:pPr>
        <w:rPr>
          <w:b/>
        </w:rPr>
      </w:pPr>
    </w:p>
    <w:p w14:paraId="0892D4B4" w14:textId="77777777" w:rsidR="00A7113E" w:rsidRDefault="00A7113E" w:rsidP="000A1B66">
      <w:pPr>
        <w:rPr>
          <w:b/>
        </w:rPr>
      </w:pPr>
    </w:p>
    <w:p w14:paraId="345B974E" w14:textId="3A69D165" w:rsidR="000A1B66" w:rsidRDefault="000A1B66" w:rsidP="000A1B66">
      <w:pPr>
        <w:rPr>
          <w:b/>
        </w:rPr>
      </w:pPr>
      <w:r>
        <w:rPr>
          <w:b/>
        </w:rPr>
        <w:t>Ranking Purpose Area Initiatives</w:t>
      </w:r>
    </w:p>
    <w:p w14:paraId="38C84914" w14:textId="77777777" w:rsidR="000A1B66" w:rsidRDefault="000A1B66" w:rsidP="000A1B66">
      <w:pPr>
        <w:rPr>
          <w:b/>
        </w:rPr>
      </w:pPr>
    </w:p>
    <w:p w14:paraId="76A85184" w14:textId="77777777" w:rsidR="000A1B66" w:rsidRPr="00EF0897" w:rsidRDefault="000A1B66" w:rsidP="000A1B66">
      <w:pPr>
        <w:rPr>
          <w:b/>
          <w:u w:val="single"/>
        </w:rPr>
      </w:pPr>
      <w:r w:rsidRPr="00EF0897">
        <w:rPr>
          <w:b/>
          <w:u w:val="single"/>
        </w:rPr>
        <w:t>Law Enforcement</w:t>
      </w:r>
    </w:p>
    <w:p w14:paraId="324C1935" w14:textId="77777777" w:rsidR="000A1B66" w:rsidRPr="008B219C" w:rsidRDefault="000A1B66" w:rsidP="000A1B66"/>
    <w:tbl>
      <w:tblPr>
        <w:tblStyle w:val="TableGrid"/>
        <w:tblW w:w="0" w:type="auto"/>
        <w:tblLook w:val="04A0" w:firstRow="1" w:lastRow="0" w:firstColumn="1" w:lastColumn="0" w:noHBand="0" w:noVBand="1"/>
      </w:tblPr>
      <w:tblGrid>
        <w:gridCol w:w="1016"/>
        <w:gridCol w:w="2592"/>
        <w:gridCol w:w="2592"/>
        <w:gridCol w:w="2592"/>
      </w:tblGrid>
      <w:tr w:rsidR="000A1B66" w14:paraId="3E64BDAC" w14:textId="77777777" w:rsidTr="00DC2FF8">
        <w:tc>
          <w:tcPr>
            <w:tcW w:w="1008" w:type="dxa"/>
          </w:tcPr>
          <w:p w14:paraId="2C6FE198" w14:textId="77777777" w:rsidR="000A1B66" w:rsidRPr="008B219C" w:rsidRDefault="000A1B66" w:rsidP="00DC2FF8">
            <w:pPr>
              <w:rPr>
                <w:i/>
              </w:rPr>
            </w:pPr>
            <w:r>
              <w:rPr>
                <w:i/>
              </w:rPr>
              <w:t>Ranking</w:t>
            </w:r>
          </w:p>
        </w:tc>
        <w:tc>
          <w:tcPr>
            <w:tcW w:w="2592" w:type="dxa"/>
          </w:tcPr>
          <w:p w14:paraId="5B2E47CE" w14:textId="77777777" w:rsidR="000A1B66" w:rsidRPr="008B219C" w:rsidRDefault="000A1B66" w:rsidP="00DC2FF8">
            <w:pPr>
              <w:rPr>
                <w:i/>
              </w:rPr>
            </w:pPr>
            <w:r w:rsidRPr="008B219C">
              <w:rPr>
                <w:i/>
              </w:rPr>
              <w:t>All Respondents</w:t>
            </w:r>
          </w:p>
        </w:tc>
        <w:tc>
          <w:tcPr>
            <w:tcW w:w="2592" w:type="dxa"/>
          </w:tcPr>
          <w:p w14:paraId="19857D89" w14:textId="77777777" w:rsidR="000A1B66" w:rsidRPr="008B219C" w:rsidRDefault="000A1B66" w:rsidP="00DC2FF8">
            <w:pPr>
              <w:rPr>
                <w:i/>
              </w:rPr>
            </w:pPr>
            <w:r w:rsidRPr="008B219C">
              <w:rPr>
                <w:i/>
              </w:rPr>
              <w:t>Law Enforcement</w:t>
            </w:r>
          </w:p>
        </w:tc>
        <w:tc>
          <w:tcPr>
            <w:tcW w:w="2592" w:type="dxa"/>
          </w:tcPr>
          <w:p w14:paraId="312DA020" w14:textId="77777777" w:rsidR="000A1B66" w:rsidRPr="008B219C" w:rsidRDefault="000A1B66" w:rsidP="00DC2FF8">
            <w:pPr>
              <w:rPr>
                <w:i/>
              </w:rPr>
            </w:pPr>
            <w:r w:rsidRPr="008B219C">
              <w:rPr>
                <w:i/>
              </w:rPr>
              <w:t>Non-Law Enforcement</w:t>
            </w:r>
          </w:p>
        </w:tc>
      </w:tr>
      <w:tr w:rsidR="000A1B66" w14:paraId="2600F9E8" w14:textId="77777777" w:rsidTr="00DC2FF8">
        <w:tc>
          <w:tcPr>
            <w:tcW w:w="1008" w:type="dxa"/>
            <w:vAlign w:val="center"/>
          </w:tcPr>
          <w:p w14:paraId="39CD455A" w14:textId="77777777" w:rsidR="000A1B66" w:rsidRPr="002F6AF8" w:rsidRDefault="000A1B66" w:rsidP="00DC2FF8">
            <w:pPr>
              <w:jc w:val="center"/>
              <w:rPr>
                <w:sz w:val="20"/>
              </w:rPr>
            </w:pPr>
            <w:r w:rsidRPr="002F6AF8">
              <w:rPr>
                <w:sz w:val="20"/>
              </w:rPr>
              <w:t>1</w:t>
            </w:r>
          </w:p>
        </w:tc>
        <w:tc>
          <w:tcPr>
            <w:tcW w:w="2592" w:type="dxa"/>
            <w:vAlign w:val="center"/>
          </w:tcPr>
          <w:p w14:paraId="12EA6DAE" w14:textId="77777777" w:rsidR="000A1B66" w:rsidRPr="002F6AF8" w:rsidRDefault="000A1B66" w:rsidP="00DC2FF8">
            <w:pPr>
              <w:rPr>
                <w:sz w:val="20"/>
              </w:rPr>
            </w:pPr>
            <w:r w:rsidRPr="002F6AF8">
              <w:rPr>
                <w:sz w:val="20"/>
              </w:rPr>
              <w:t>Training (41%)</w:t>
            </w:r>
          </w:p>
        </w:tc>
        <w:tc>
          <w:tcPr>
            <w:tcW w:w="2592" w:type="dxa"/>
            <w:vAlign w:val="center"/>
          </w:tcPr>
          <w:p w14:paraId="467E79D6" w14:textId="77777777" w:rsidR="000A1B66" w:rsidRPr="002F6AF8" w:rsidRDefault="000A1B66" w:rsidP="00DC2FF8">
            <w:pPr>
              <w:rPr>
                <w:sz w:val="20"/>
              </w:rPr>
            </w:pPr>
            <w:r w:rsidRPr="002F6AF8">
              <w:rPr>
                <w:sz w:val="20"/>
              </w:rPr>
              <w:t>Equipment (72%)</w:t>
            </w:r>
          </w:p>
        </w:tc>
        <w:tc>
          <w:tcPr>
            <w:tcW w:w="2592" w:type="dxa"/>
            <w:vAlign w:val="center"/>
          </w:tcPr>
          <w:p w14:paraId="7D14E779" w14:textId="77777777" w:rsidR="000A1B66" w:rsidRPr="002F6AF8" w:rsidRDefault="000A1B66" w:rsidP="00DC2FF8">
            <w:pPr>
              <w:rPr>
                <w:sz w:val="20"/>
              </w:rPr>
            </w:pPr>
            <w:r w:rsidRPr="002F6AF8">
              <w:rPr>
                <w:sz w:val="20"/>
              </w:rPr>
              <w:t>Crisis Intervention/MH/</w:t>
            </w:r>
            <w:r>
              <w:rPr>
                <w:sz w:val="20"/>
              </w:rPr>
              <w:t xml:space="preserve"> </w:t>
            </w:r>
            <w:r w:rsidRPr="002F6AF8">
              <w:rPr>
                <w:sz w:val="20"/>
              </w:rPr>
              <w:t>Suicide Pre</w:t>
            </w:r>
            <w:r>
              <w:rPr>
                <w:sz w:val="20"/>
              </w:rPr>
              <w:t>v.</w:t>
            </w:r>
            <w:r w:rsidRPr="002F6AF8">
              <w:rPr>
                <w:sz w:val="20"/>
              </w:rPr>
              <w:t xml:space="preserve"> (42%)</w:t>
            </w:r>
          </w:p>
        </w:tc>
      </w:tr>
      <w:tr w:rsidR="000A1B66" w14:paraId="0B75C3BF" w14:textId="77777777" w:rsidTr="00DC2FF8">
        <w:tc>
          <w:tcPr>
            <w:tcW w:w="1008" w:type="dxa"/>
            <w:vAlign w:val="center"/>
          </w:tcPr>
          <w:p w14:paraId="0E7FF0F5" w14:textId="77777777" w:rsidR="000A1B66" w:rsidRPr="002F6AF8" w:rsidRDefault="000A1B66" w:rsidP="00DC2FF8">
            <w:pPr>
              <w:jc w:val="center"/>
              <w:rPr>
                <w:sz w:val="20"/>
              </w:rPr>
            </w:pPr>
            <w:r w:rsidRPr="002F6AF8">
              <w:rPr>
                <w:sz w:val="20"/>
              </w:rPr>
              <w:t>2</w:t>
            </w:r>
          </w:p>
        </w:tc>
        <w:tc>
          <w:tcPr>
            <w:tcW w:w="2592" w:type="dxa"/>
            <w:vAlign w:val="center"/>
          </w:tcPr>
          <w:p w14:paraId="5D4B98E8" w14:textId="77777777" w:rsidR="000A1B66" w:rsidRPr="002F6AF8" w:rsidRDefault="000A1B66" w:rsidP="00DC2FF8">
            <w:pPr>
              <w:rPr>
                <w:sz w:val="20"/>
              </w:rPr>
            </w:pPr>
            <w:r w:rsidRPr="002F6AF8">
              <w:rPr>
                <w:sz w:val="20"/>
              </w:rPr>
              <w:t>Equipment (39%)</w:t>
            </w:r>
          </w:p>
        </w:tc>
        <w:tc>
          <w:tcPr>
            <w:tcW w:w="2592" w:type="dxa"/>
            <w:vAlign w:val="center"/>
          </w:tcPr>
          <w:p w14:paraId="3835D512" w14:textId="77777777" w:rsidR="000A1B66" w:rsidRPr="002F6AF8" w:rsidRDefault="000A1B66" w:rsidP="00DC2FF8">
            <w:pPr>
              <w:rPr>
                <w:sz w:val="20"/>
              </w:rPr>
            </w:pPr>
            <w:r w:rsidRPr="002F6AF8">
              <w:rPr>
                <w:sz w:val="20"/>
              </w:rPr>
              <w:t>Training (53%)</w:t>
            </w:r>
          </w:p>
        </w:tc>
        <w:tc>
          <w:tcPr>
            <w:tcW w:w="2592" w:type="dxa"/>
            <w:vAlign w:val="center"/>
          </w:tcPr>
          <w:p w14:paraId="043BF6C0" w14:textId="77777777" w:rsidR="000A1B66" w:rsidRPr="002F6AF8" w:rsidRDefault="000A1B66" w:rsidP="00DC2FF8">
            <w:pPr>
              <w:rPr>
                <w:sz w:val="20"/>
              </w:rPr>
            </w:pPr>
            <w:r w:rsidRPr="002F6AF8">
              <w:rPr>
                <w:sz w:val="20"/>
              </w:rPr>
              <w:t>School/youth-related (34%)</w:t>
            </w:r>
          </w:p>
        </w:tc>
      </w:tr>
      <w:tr w:rsidR="000A1B66" w14:paraId="7F12DA06" w14:textId="77777777" w:rsidTr="00DC2FF8">
        <w:tc>
          <w:tcPr>
            <w:tcW w:w="1008" w:type="dxa"/>
            <w:vAlign w:val="center"/>
          </w:tcPr>
          <w:p w14:paraId="3FE33F5E" w14:textId="77777777" w:rsidR="000A1B66" w:rsidRPr="002F6AF8" w:rsidRDefault="000A1B66" w:rsidP="00DC2FF8">
            <w:pPr>
              <w:jc w:val="center"/>
              <w:rPr>
                <w:sz w:val="20"/>
              </w:rPr>
            </w:pPr>
            <w:r w:rsidRPr="002F6AF8">
              <w:rPr>
                <w:sz w:val="20"/>
              </w:rPr>
              <w:t>3</w:t>
            </w:r>
          </w:p>
        </w:tc>
        <w:tc>
          <w:tcPr>
            <w:tcW w:w="2592" w:type="dxa"/>
            <w:vAlign w:val="center"/>
          </w:tcPr>
          <w:p w14:paraId="0C02CFD8" w14:textId="77777777" w:rsidR="000A1B66" w:rsidRPr="002F6AF8" w:rsidRDefault="000A1B66" w:rsidP="00DC2FF8">
            <w:pPr>
              <w:rPr>
                <w:sz w:val="20"/>
              </w:rPr>
            </w:pPr>
            <w:r w:rsidRPr="002F6AF8">
              <w:rPr>
                <w:sz w:val="20"/>
              </w:rPr>
              <w:t>Drug enforcement (35%)</w:t>
            </w:r>
          </w:p>
        </w:tc>
        <w:tc>
          <w:tcPr>
            <w:tcW w:w="2592" w:type="dxa"/>
            <w:vAlign w:val="center"/>
          </w:tcPr>
          <w:p w14:paraId="62EC4B03" w14:textId="77777777" w:rsidR="000A1B66" w:rsidRPr="002F6AF8" w:rsidRDefault="000A1B66" w:rsidP="00DC2FF8">
            <w:pPr>
              <w:rPr>
                <w:sz w:val="20"/>
              </w:rPr>
            </w:pPr>
            <w:r w:rsidRPr="002F6AF8">
              <w:rPr>
                <w:sz w:val="20"/>
              </w:rPr>
              <w:t>Drug Enforcement (53%)</w:t>
            </w:r>
          </w:p>
        </w:tc>
        <w:tc>
          <w:tcPr>
            <w:tcW w:w="2592" w:type="dxa"/>
            <w:vAlign w:val="center"/>
          </w:tcPr>
          <w:p w14:paraId="1E069F1D" w14:textId="77777777" w:rsidR="000A1B66" w:rsidRPr="002F6AF8" w:rsidRDefault="000A1B66" w:rsidP="00DC2FF8">
            <w:pPr>
              <w:rPr>
                <w:sz w:val="20"/>
              </w:rPr>
            </w:pPr>
            <w:r w:rsidRPr="002F6AF8">
              <w:rPr>
                <w:sz w:val="20"/>
              </w:rPr>
              <w:t>Law enforcement training (27%)</w:t>
            </w:r>
          </w:p>
        </w:tc>
      </w:tr>
    </w:tbl>
    <w:p w14:paraId="114304C1" w14:textId="77777777" w:rsidR="000A1B66" w:rsidRDefault="000A1B66" w:rsidP="000A1B66">
      <w:pPr>
        <w:rPr>
          <w:b/>
        </w:rPr>
      </w:pPr>
    </w:p>
    <w:p w14:paraId="531A1B3B" w14:textId="77777777" w:rsidR="000A1B66" w:rsidRDefault="000A1B66" w:rsidP="000A1B66">
      <w:r>
        <w:t xml:space="preserve">Training, equipment and drug enforcement were viewed as significant issues within the Law Enforcement purpose area. Equipment purchases was especially important to law enforcement respondents. Non-law enforcement ranked behavioral health and youth programs as much more significant than equipment purchases or drug enforcement programs. </w:t>
      </w:r>
    </w:p>
    <w:p w14:paraId="2B938C56" w14:textId="77777777" w:rsidR="000A1B66" w:rsidRDefault="000A1B66" w:rsidP="000A1B66"/>
    <w:p w14:paraId="567B9A47" w14:textId="77777777" w:rsidR="000A1B66" w:rsidRPr="00EF0897" w:rsidRDefault="000A1B66" w:rsidP="000A1B66">
      <w:pPr>
        <w:rPr>
          <w:b/>
          <w:u w:val="single"/>
        </w:rPr>
      </w:pPr>
      <w:r w:rsidRPr="00EF0897">
        <w:rPr>
          <w:b/>
          <w:u w:val="single"/>
        </w:rPr>
        <w:t>Courts/Prosecution/Indigent Defense</w:t>
      </w:r>
    </w:p>
    <w:p w14:paraId="5EDA8A3B" w14:textId="77777777" w:rsidR="000A1B66" w:rsidRPr="008B219C" w:rsidRDefault="000A1B66" w:rsidP="000A1B66"/>
    <w:tbl>
      <w:tblPr>
        <w:tblStyle w:val="TableGrid"/>
        <w:tblW w:w="0" w:type="auto"/>
        <w:tblLook w:val="04A0" w:firstRow="1" w:lastRow="0" w:firstColumn="1" w:lastColumn="0" w:noHBand="0" w:noVBand="1"/>
      </w:tblPr>
      <w:tblGrid>
        <w:gridCol w:w="1016"/>
        <w:gridCol w:w="2592"/>
        <w:gridCol w:w="2592"/>
        <w:gridCol w:w="2592"/>
      </w:tblGrid>
      <w:tr w:rsidR="000A1B66" w14:paraId="013899BA" w14:textId="77777777" w:rsidTr="00DC2FF8">
        <w:tc>
          <w:tcPr>
            <w:tcW w:w="1008" w:type="dxa"/>
          </w:tcPr>
          <w:p w14:paraId="00F5DD9E" w14:textId="77777777" w:rsidR="000A1B66" w:rsidRPr="008B219C" w:rsidRDefault="000A1B66" w:rsidP="00DC2FF8">
            <w:pPr>
              <w:rPr>
                <w:i/>
              </w:rPr>
            </w:pPr>
            <w:r>
              <w:rPr>
                <w:i/>
              </w:rPr>
              <w:t>Ranking</w:t>
            </w:r>
          </w:p>
        </w:tc>
        <w:tc>
          <w:tcPr>
            <w:tcW w:w="2592" w:type="dxa"/>
          </w:tcPr>
          <w:p w14:paraId="7343A440" w14:textId="77777777" w:rsidR="000A1B66" w:rsidRPr="008B219C" w:rsidRDefault="000A1B66" w:rsidP="00DC2FF8">
            <w:pPr>
              <w:rPr>
                <w:i/>
              </w:rPr>
            </w:pPr>
            <w:r w:rsidRPr="008B219C">
              <w:rPr>
                <w:i/>
              </w:rPr>
              <w:t>All Respondents</w:t>
            </w:r>
          </w:p>
        </w:tc>
        <w:tc>
          <w:tcPr>
            <w:tcW w:w="2592" w:type="dxa"/>
          </w:tcPr>
          <w:p w14:paraId="050131C0" w14:textId="77777777" w:rsidR="000A1B66" w:rsidRPr="008B219C" w:rsidRDefault="000A1B66" w:rsidP="00DC2FF8">
            <w:pPr>
              <w:rPr>
                <w:i/>
              </w:rPr>
            </w:pPr>
            <w:r w:rsidRPr="008B219C">
              <w:rPr>
                <w:i/>
              </w:rPr>
              <w:t>Law Enforcement</w:t>
            </w:r>
          </w:p>
        </w:tc>
        <w:tc>
          <w:tcPr>
            <w:tcW w:w="2592" w:type="dxa"/>
          </w:tcPr>
          <w:p w14:paraId="19DE5391" w14:textId="77777777" w:rsidR="000A1B66" w:rsidRPr="008B219C" w:rsidRDefault="000A1B66" w:rsidP="00DC2FF8">
            <w:pPr>
              <w:rPr>
                <w:i/>
              </w:rPr>
            </w:pPr>
            <w:r w:rsidRPr="008B219C">
              <w:rPr>
                <w:i/>
              </w:rPr>
              <w:t>Non-Law Enforcement</w:t>
            </w:r>
          </w:p>
        </w:tc>
      </w:tr>
      <w:tr w:rsidR="000A1B66" w14:paraId="6A825290" w14:textId="77777777" w:rsidTr="00DC2FF8">
        <w:tc>
          <w:tcPr>
            <w:tcW w:w="1008" w:type="dxa"/>
            <w:vAlign w:val="center"/>
          </w:tcPr>
          <w:p w14:paraId="736E22F3" w14:textId="77777777" w:rsidR="000A1B66" w:rsidRPr="002F6AF8" w:rsidRDefault="000A1B66" w:rsidP="00DC2FF8">
            <w:pPr>
              <w:jc w:val="center"/>
              <w:rPr>
                <w:sz w:val="20"/>
              </w:rPr>
            </w:pPr>
            <w:r w:rsidRPr="002F6AF8">
              <w:rPr>
                <w:sz w:val="20"/>
              </w:rPr>
              <w:t>1</w:t>
            </w:r>
          </w:p>
        </w:tc>
        <w:tc>
          <w:tcPr>
            <w:tcW w:w="2592" w:type="dxa"/>
            <w:vAlign w:val="center"/>
          </w:tcPr>
          <w:p w14:paraId="633FAED3" w14:textId="77777777" w:rsidR="000A1B66" w:rsidRPr="002F6AF8" w:rsidRDefault="000A1B66" w:rsidP="00DC2FF8">
            <w:pPr>
              <w:rPr>
                <w:sz w:val="20"/>
              </w:rPr>
            </w:pPr>
            <w:r>
              <w:rPr>
                <w:sz w:val="20"/>
              </w:rPr>
              <w:t>Specialty Courts (35%)</w:t>
            </w:r>
          </w:p>
        </w:tc>
        <w:tc>
          <w:tcPr>
            <w:tcW w:w="2592" w:type="dxa"/>
            <w:vAlign w:val="center"/>
          </w:tcPr>
          <w:p w14:paraId="1D22C546" w14:textId="77777777" w:rsidR="000A1B66" w:rsidRPr="002F6AF8" w:rsidRDefault="000A1B66" w:rsidP="00DC2FF8">
            <w:pPr>
              <w:rPr>
                <w:sz w:val="20"/>
              </w:rPr>
            </w:pPr>
            <w:r>
              <w:rPr>
                <w:sz w:val="20"/>
              </w:rPr>
              <w:t>Not applicable (45%)</w:t>
            </w:r>
          </w:p>
        </w:tc>
        <w:tc>
          <w:tcPr>
            <w:tcW w:w="2592" w:type="dxa"/>
            <w:vAlign w:val="center"/>
          </w:tcPr>
          <w:p w14:paraId="59F6C221" w14:textId="77777777" w:rsidR="000A1B66" w:rsidRPr="002F6AF8" w:rsidRDefault="000A1B66" w:rsidP="00DC2FF8">
            <w:pPr>
              <w:rPr>
                <w:sz w:val="20"/>
              </w:rPr>
            </w:pPr>
            <w:r>
              <w:rPr>
                <w:sz w:val="20"/>
              </w:rPr>
              <w:t>Specialty courts (51%)</w:t>
            </w:r>
          </w:p>
        </w:tc>
      </w:tr>
      <w:tr w:rsidR="000A1B66" w14:paraId="013EB85F" w14:textId="77777777" w:rsidTr="00DC2FF8">
        <w:tc>
          <w:tcPr>
            <w:tcW w:w="1008" w:type="dxa"/>
            <w:vAlign w:val="center"/>
          </w:tcPr>
          <w:p w14:paraId="24A651B4" w14:textId="77777777" w:rsidR="000A1B66" w:rsidRPr="002F6AF8" w:rsidRDefault="000A1B66" w:rsidP="00DC2FF8">
            <w:pPr>
              <w:jc w:val="center"/>
              <w:rPr>
                <w:sz w:val="20"/>
              </w:rPr>
            </w:pPr>
            <w:r w:rsidRPr="002F6AF8">
              <w:rPr>
                <w:sz w:val="20"/>
              </w:rPr>
              <w:t>2</w:t>
            </w:r>
          </w:p>
        </w:tc>
        <w:tc>
          <w:tcPr>
            <w:tcW w:w="2592" w:type="dxa"/>
            <w:vAlign w:val="center"/>
          </w:tcPr>
          <w:p w14:paraId="1B9935BE" w14:textId="77777777" w:rsidR="000A1B66" w:rsidRPr="002F6AF8" w:rsidRDefault="000A1B66" w:rsidP="00DC2FF8">
            <w:pPr>
              <w:rPr>
                <w:sz w:val="20"/>
              </w:rPr>
            </w:pPr>
            <w:r>
              <w:rPr>
                <w:sz w:val="20"/>
              </w:rPr>
              <w:t>Not Applicable (32%)</w:t>
            </w:r>
          </w:p>
        </w:tc>
        <w:tc>
          <w:tcPr>
            <w:tcW w:w="2592" w:type="dxa"/>
            <w:vAlign w:val="center"/>
          </w:tcPr>
          <w:p w14:paraId="5FAF7B36" w14:textId="77777777" w:rsidR="000A1B66" w:rsidRPr="002F6AF8" w:rsidRDefault="000A1B66" w:rsidP="00DC2FF8">
            <w:pPr>
              <w:rPr>
                <w:sz w:val="20"/>
              </w:rPr>
            </w:pPr>
            <w:r>
              <w:rPr>
                <w:sz w:val="20"/>
              </w:rPr>
              <w:t>Training (33%)</w:t>
            </w:r>
          </w:p>
        </w:tc>
        <w:tc>
          <w:tcPr>
            <w:tcW w:w="2592" w:type="dxa"/>
            <w:vAlign w:val="center"/>
          </w:tcPr>
          <w:p w14:paraId="6A16A181" w14:textId="77777777" w:rsidR="000A1B66" w:rsidRPr="002F6AF8" w:rsidRDefault="000A1B66" w:rsidP="00DC2FF8">
            <w:pPr>
              <w:rPr>
                <w:sz w:val="20"/>
              </w:rPr>
            </w:pPr>
            <w:r>
              <w:rPr>
                <w:sz w:val="20"/>
              </w:rPr>
              <w:t>Training (20%)</w:t>
            </w:r>
          </w:p>
        </w:tc>
      </w:tr>
      <w:tr w:rsidR="000A1B66" w14:paraId="26689AB9" w14:textId="77777777" w:rsidTr="00DC2FF8">
        <w:tc>
          <w:tcPr>
            <w:tcW w:w="1008" w:type="dxa"/>
            <w:vAlign w:val="center"/>
          </w:tcPr>
          <w:p w14:paraId="5E33B434" w14:textId="77777777" w:rsidR="000A1B66" w:rsidRPr="002F6AF8" w:rsidRDefault="000A1B66" w:rsidP="00DC2FF8">
            <w:pPr>
              <w:jc w:val="center"/>
              <w:rPr>
                <w:sz w:val="20"/>
              </w:rPr>
            </w:pPr>
            <w:r w:rsidRPr="002F6AF8">
              <w:rPr>
                <w:sz w:val="20"/>
              </w:rPr>
              <w:t>3</w:t>
            </w:r>
          </w:p>
        </w:tc>
        <w:tc>
          <w:tcPr>
            <w:tcW w:w="2592" w:type="dxa"/>
            <w:vAlign w:val="center"/>
          </w:tcPr>
          <w:p w14:paraId="009528BB" w14:textId="77777777" w:rsidR="000A1B66" w:rsidRPr="002F6AF8" w:rsidRDefault="000A1B66" w:rsidP="00DC2FF8">
            <w:pPr>
              <w:rPr>
                <w:sz w:val="20"/>
              </w:rPr>
            </w:pPr>
            <w:r>
              <w:rPr>
                <w:sz w:val="20"/>
              </w:rPr>
              <w:t>Training (27%)</w:t>
            </w:r>
          </w:p>
        </w:tc>
        <w:tc>
          <w:tcPr>
            <w:tcW w:w="2592" w:type="dxa"/>
            <w:vAlign w:val="center"/>
          </w:tcPr>
          <w:p w14:paraId="754833D8" w14:textId="77777777" w:rsidR="000A1B66" w:rsidRPr="002F6AF8" w:rsidRDefault="000A1B66" w:rsidP="00DC2FF8">
            <w:pPr>
              <w:rPr>
                <w:sz w:val="20"/>
              </w:rPr>
            </w:pPr>
            <w:r>
              <w:rPr>
                <w:sz w:val="20"/>
              </w:rPr>
              <w:t>Drug/violent crime (26%)</w:t>
            </w:r>
          </w:p>
        </w:tc>
        <w:tc>
          <w:tcPr>
            <w:tcW w:w="2592" w:type="dxa"/>
            <w:vAlign w:val="center"/>
          </w:tcPr>
          <w:p w14:paraId="6DF9E239" w14:textId="77777777" w:rsidR="000A1B66" w:rsidRPr="002F6AF8" w:rsidRDefault="000A1B66" w:rsidP="00DC2FF8">
            <w:pPr>
              <w:rPr>
                <w:sz w:val="20"/>
              </w:rPr>
            </w:pPr>
            <w:r>
              <w:rPr>
                <w:sz w:val="20"/>
              </w:rPr>
              <w:t>Not applicable and pretrial risk assessment/monitoring (19%)</w:t>
            </w:r>
          </w:p>
        </w:tc>
      </w:tr>
    </w:tbl>
    <w:p w14:paraId="160461FC" w14:textId="77777777" w:rsidR="000A1B66" w:rsidRDefault="000A1B66" w:rsidP="000A1B66"/>
    <w:p w14:paraId="412FAB8E" w14:textId="77777777" w:rsidR="000A1B66" w:rsidRDefault="000A1B66" w:rsidP="000A1B66">
      <w:r>
        <w:t xml:space="preserve">Respondents did not appear to feel all that strongly about any </w:t>
      </w:r>
      <w:proofErr w:type="gramStart"/>
      <w:r>
        <w:t>particular initiative</w:t>
      </w:r>
      <w:proofErr w:type="gramEnd"/>
      <w:r>
        <w:t xml:space="preserve"> within Purpose Area 2. This is likely due to the small number of responses from those employed in courts/judicial positions and absence of representatives from the indigent defense field.</w:t>
      </w:r>
    </w:p>
    <w:p w14:paraId="5CD54A77" w14:textId="77777777" w:rsidR="000A1B66" w:rsidRDefault="000A1B66" w:rsidP="000A1B66"/>
    <w:p w14:paraId="7D9695F0" w14:textId="77777777" w:rsidR="000A1B66" w:rsidRPr="00EF0897" w:rsidRDefault="000A1B66" w:rsidP="000A1B66">
      <w:pPr>
        <w:rPr>
          <w:b/>
          <w:u w:val="single"/>
        </w:rPr>
      </w:pPr>
      <w:r w:rsidRPr="00EF0897">
        <w:rPr>
          <w:b/>
          <w:u w:val="single"/>
        </w:rPr>
        <w:t>Prevention and Education Programs</w:t>
      </w:r>
    </w:p>
    <w:p w14:paraId="150308CF" w14:textId="77777777" w:rsidR="000A1B66" w:rsidRPr="008B219C" w:rsidRDefault="000A1B66" w:rsidP="000A1B66"/>
    <w:tbl>
      <w:tblPr>
        <w:tblStyle w:val="TableGrid"/>
        <w:tblW w:w="0" w:type="auto"/>
        <w:tblLook w:val="04A0" w:firstRow="1" w:lastRow="0" w:firstColumn="1" w:lastColumn="0" w:noHBand="0" w:noVBand="1"/>
      </w:tblPr>
      <w:tblGrid>
        <w:gridCol w:w="1016"/>
        <w:gridCol w:w="2592"/>
        <w:gridCol w:w="2592"/>
        <w:gridCol w:w="2592"/>
      </w:tblGrid>
      <w:tr w:rsidR="000A1B66" w14:paraId="42A5746A" w14:textId="77777777" w:rsidTr="00DC2FF8">
        <w:tc>
          <w:tcPr>
            <w:tcW w:w="1008" w:type="dxa"/>
          </w:tcPr>
          <w:p w14:paraId="3075A0FA" w14:textId="77777777" w:rsidR="000A1B66" w:rsidRPr="008B219C" w:rsidRDefault="000A1B66" w:rsidP="00DC2FF8">
            <w:pPr>
              <w:rPr>
                <w:i/>
              </w:rPr>
            </w:pPr>
            <w:r>
              <w:rPr>
                <w:i/>
              </w:rPr>
              <w:t>Ranking</w:t>
            </w:r>
          </w:p>
        </w:tc>
        <w:tc>
          <w:tcPr>
            <w:tcW w:w="2592" w:type="dxa"/>
          </w:tcPr>
          <w:p w14:paraId="2BAD5E01" w14:textId="77777777" w:rsidR="000A1B66" w:rsidRPr="008B219C" w:rsidRDefault="000A1B66" w:rsidP="00DC2FF8">
            <w:pPr>
              <w:rPr>
                <w:i/>
              </w:rPr>
            </w:pPr>
            <w:r w:rsidRPr="008B219C">
              <w:rPr>
                <w:i/>
              </w:rPr>
              <w:t>All Respondents</w:t>
            </w:r>
          </w:p>
        </w:tc>
        <w:tc>
          <w:tcPr>
            <w:tcW w:w="2592" w:type="dxa"/>
          </w:tcPr>
          <w:p w14:paraId="34FC1545" w14:textId="77777777" w:rsidR="000A1B66" w:rsidRPr="008B219C" w:rsidRDefault="000A1B66" w:rsidP="00DC2FF8">
            <w:pPr>
              <w:rPr>
                <w:i/>
              </w:rPr>
            </w:pPr>
            <w:r w:rsidRPr="008B219C">
              <w:rPr>
                <w:i/>
              </w:rPr>
              <w:t>Law Enforcement</w:t>
            </w:r>
          </w:p>
        </w:tc>
        <w:tc>
          <w:tcPr>
            <w:tcW w:w="2592" w:type="dxa"/>
          </w:tcPr>
          <w:p w14:paraId="45C8C7CA" w14:textId="77777777" w:rsidR="000A1B66" w:rsidRPr="008B219C" w:rsidRDefault="000A1B66" w:rsidP="00DC2FF8">
            <w:pPr>
              <w:rPr>
                <w:i/>
              </w:rPr>
            </w:pPr>
            <w:r w:rsidRPr="008B219C">
              <w:rPr>
                <w:i/>
              </w:rPr>
              <w:t>Non-Law Enforcement</w:t>
            </w:r>
          </w:p>
        </w:tc>
      </w:tr>
      <w:tr w:rsidR="000A1B66" w14:paraId="2C92B30D" w14:textId="77777777" w:rsidTr="00DC2FF8">
        <w:tc>
          <w:tcPr>
            <w:tcW w:w="1008" w:type="dxa"/>
            <w:vAlign w:val="center"/>
          </w:tcPr>
          <w:p w14:paraId="606FCCCA" w14:textId="77777777" w:rsidR="000A1B66" w:rsidRPr="002F6AF8" w:rsidRDefault="000A1B66" w:rsidP="00DC2FF8">
            <w:pPr>
              <w:jc w:val="center"/>
              <w:rPr>
                <w:sz w:val="20"/>
              </w:rPr>
            </w:pPr>
            <w:r w:rsidRPr="002F6AF8">
              <w:rPr>
                <w:sz w:val="20"/>
              </w:rPr>
              <w:t>1</w:t>
            </w:r>
          </w:p>
        </w:tc>
        <w:tc>
          <w:tcPr>
            <w:tcW w:w="2592" w:type="dxa"/>
            <w:vAlign w:val="center"/>
          </w:tcPr>
          <w:p w14:paraId="3C1049C2" w14:textId="77777777" w:rsidR="000A1B66" w:rsidRPr="002F6AF8" w:rsidRDefault="000A1B66" w:rsidP="00DC2FF8">
            <w:pPr>
              <w:rPr>
                <w:sz w:val="20"/>
              </w:rPr>
            </w:pPr>
            <w:r>
              <w:rPr>
                <w:sz w:val="20"/>
              </w:rPr>
              <w:t>Substance abuse prevention/education (48%)</w:t>
            </w:r>
          </w:p>
        </w:tc>
        <w:tc>
          <w:tcPr>
            <w:tcW w:w="2592" w:type="dxa"/>
            <w:vAlign w:val="center"/>
          </w:tcPr>
          <w:p w14:paraId="57EA724A" w14:textId="77777777" w:rsidR="000A1B66" w:rsidRPr="002F6AF8" w:rsidRDefault="000A1B66" w:rsidP="00DC2FF8">
            <w:pPr>
              <w:rPr>
                <w:sz w:val="20"/>
              </w:rPr>
            </w:pPr>
            <w:r>
              <w:rPr>
                <w:sz w:val="20"/>
              </w:rPr>
              <w:t>School violence prevention/education and substance abuse education/prevention projects (47%)</w:t>
            </w:r>
          </w:p>
        </w:tc>
        <w:tc>
          <w:tcPr>
            <w:tcW w:w="2592" w:type="dxa"/>
            <w:vAlign w:val="center"/>
          </w:tcPr>
          <w:p w14:paraId="582F606A" w14:textId="77777777" w:rsidR="000A1B66" w:rsidRPr="002F6AF8" w:rsidRDefault="000A1B66" w:rsidP="00DC2FF8">
            <w:pPr>
              <w:rPr>
                <w:sz w:val="20"/>
              </w:rPr>
            </w:pPr>
            <w:r>
              <w:rPr>
                <w:sz w:val="20"/>
              </w:rPr>
              <w:t>Substance abuse prevention/education (48%)</w:t>
            </w:r>
          </w:p>
        </w:tc>
      </w:tr>
      <w:tr w:rsidR="000A1B66" w14:paraId="5A721FEC" w14:textId="77777777" w:rsidTr="00DC2FF8">
        <w:tc>
          <w:tcPr>
            <w:tcW w:w="1008" w:type="dxa"/>
            <w:vAlign w:val="center"/>
          </w:tcPr>
          <w:p w14:paraId="12EBCCD2" w14:textId="77777777" w:rsidR="000A1B66" w:rsidRPr="002F6AF8" w:rsidRDefault="000A1B66" w:rsidP="00DC2FF8">
            <w:pPr>
              <w:jc w:val="center"/>
              <w:rPr>
                <w:sz w:val="20"/>
              </w:rPr>
            </w:pPr>
            <w:r w:rsidRPr="002F6AF8">
              <w:rPr>
                <w:sz w:val="20"/>
              </w:rPr>
              <w:t>2</w:t>
            </w:r>
          </w:p>
        </w:tc>
        <w:tc>
          <w:tcPr>
            <w:tcW w:w="2592" w:type="dxa"/>
            <w:vAlign w:val="center"/>
          </w:tcPr>
          <w:p w14:paraId="7B1D589F" w14:textId="77777777" w:rsidR="000A1B66" w:rsidRPr="002F6AF8" w:rsidRDefault="000A1B66" w:rsidP="00DC2FF8">
            <w:pPr>
              <w:rPr>
                <w:sz w:val="20"/>
              </w:rPr>
            </w:pPr>
            <w:r>
              <w:rPr>
                <w:sz w:val="20"/>
              </w:rPr>
              <w:t>Domestic violence prevention (40%)</w:t>
            </w:r>
          </w:p>
        </w:tc>
        <w:tc>
          <w:tcPr>
            <w:tcW w:w="2592" w:type="dxa"/>
            <w:vAlign w:val="center"/>
          </w:tcPr>
          <w:p w14:paraId="2FDDBEC7" w14:textId="77777777" w:rsidR="000A1B66" w:rsidRPr="002F6AF8" w:rsidRDefault="000A1B66" w:rsidP="00DC2FF8">
            <w:pPr>
              <w:rPr>
                <w:sz w:val="20"/>
              </w:rPr>
            </w:pPr>
            <w:r>
              <w:rPr>
                <w:sz w:val="20"/>
              </w:rPr>
              <w:t>Domestic violence prevention (45%)</w:t>
            </w:r>
          </w:p>
        </w:tc>
        <w:tc>
          <w:tcPr>
            <w:tcW w:w="2592" w:type="dxa"/>
            <w:vAlign w:val="center"/>
          </w:tcPr>
          <w:p w14:paraId="68ECAB3D" w14:textId="77777777" w:rsidR="000A1B66" w:rsidRPr="002F6AF8" w:rsidRDefault="000A1B66" w:rsidP="00DC2FF8">
            <w:pPr>
              <w:rPr>
                <w:sz w:val="20"/>
              </w:rPr>
            </w:pPr>
            <w:r>
              <w:rPr>
                <w:sz w:val="20"/>
              </w:rPr>
              <w:t>Juvenile delinquency (41%)</w:t>
            </w:r>
          </w:p>
        </w:tc>
      </w:tr>
      <w:tr w:rsidR="000A1B66" w14:paraId="23E0FF5C" w14:textId="77777777" w:rsidTr="00DC2FF8">
        <w:tc>
          <w:tcPr>
            <w:tcW w:w="1008" w:type="dxa"/>
            <w:vAlign w:val="center"/>
          </w:tcPr>
          <w:p w14:paraId="673F75A0" w14:textId="77777777" w:rsidR="000A1B66" w:rsidRPr="002F6AF8" w:rsidRDefault="000A1B66" w:rsidP="00DC2FF8">
            <w:pPr>
              <w:jc w:val="center"/>
              <w:rPr>
                <w:sz w:val="20"/>
              </w:rPr>
            </w:pPr>
            <w:r w:rsidRPr="002F6AF8">
              <w:rPr>
                <w:sz w:val="20"/>
              </w:rPr>
              <w:t>3</w:t>
            </w:r>
          </w:p>
        </w:tc>
        <w:tc>
          <w:tcPr>
            <w:tcW w:w="2592" w:type="dxa"/>
            <w:vAlign w:val="center"/>
          </w:tcPr>
          <w:p w14:paraId="0890739D" w14:textId="77777777" w:rsidR="000A1B66" w:rsidRPr="002F6AF8" w:rsidRDefault="000A1B66" w:rsidP="00DC2FF8">
            <w:pPr>
              <w:rPr>
                <w:sz w:val="20"/>
              </w:rPr>
            </w:pPr>
            <w:r>
              <w:rPr>
                <w:sz w:val="20"/>
              </w:rPr>
              <w:t>Juvenile delinquency prevention (37%)</w:t>
            </w:r>
          </w:p>
        </w:tc>
        <w:tc>
          <w:tcPr>
            <w:tcW w:w="2592" w:type="dxa"/>
            <w:vAlign w:val="center"/>
          </w:tcPr>
          <w:p w14:paraId="28B00483" w14:textId="77777777" w:rsidR="000A1B66" w:rsidRPr="002F6AF8" w:rsidRDefault="000A1B66" w:rsidP="00DC2FF8">
            <w:pPr>
              <w:rPr>
                <w:sz w:val="20"/>
              </w:rPr>
            </w:pPr>
            <w:r>
              <w:rPr>
                <w:sz w:val="20"/>
              </w:rPr>
              <w:t>Juvenile delinquency prevention (37%)</w:t>
            </w:r>
          </w:p>
        </w:tc>
        <w:tc>
          <w:tcPr>
            <w:tcW w:w="2592" w:type="dxa"/>
            <w:vAlign w:val="center"/>
          </w:tcPr>
          <w:p w14:paraId="03A9CB18" w14:textId="77777777" w:rsidR="000A1B66" w:rsidRPr="002F6AF8" w:rsidRDefault="000A1B66" w:rsidP="00DC2FF8">
            <w:pPr>
              <w:rPr>
                <w:sz w:val="20"/>
              </w:rPr>
            </w:pPr>
            <w:r>
              <w:rPr>
                <w:sz w:val="20"/>
              </w:rPr>
              <w:t>Domestic violence prevention (36%)</w:t>
            </w:r>
          </w:p>
        </w:tc>
      </w:tr>
    </w:tbl>
    <w:p w14:paraId="09B12346" w14:textId="77777777" w:rsidR="000A1B66" w:rsidRDefault="000A1B66" w:rsidP="000A1B66"/>
    <w:p w14:paraId="6BA2E668" w14:textId="77777777" w:rsidR="000A1B66" w:rsidRDefault="000A1B66" w:rsidP="000A1B66">
      <w:r>
        <w:t xml:space="preserve">Substance abuse prevention/education, domestic violence prevention, and juvenile delinquency prevention (37%) were the top three ranked initiatives within this purpose area. Law enforcement respondents also ranked school violence as a significant issue (47%). </w:t>
      </w:r>
    </w:p>
    <w:p w14:paraId="636E038A" w14:textId="77777777" w:rsidR="000A1B66" w:rsidRDefault="000A1B66" w:rsidP="000A1B66"/>
    <w:p w14:paraId="0E8AA45F" w14:textId="77777777" w:rsidR="000A1B66" w:rsidRPr="00EF0897" w:rsidRDefault="000A1B66" w:rsidP="000A1B66">
      <w:pPr>
        <w:rPr>
          <w:b/>
          <w:u w:val="single"/>
        </w:rPr>
      </w:pPr>
      <w:r w:rsidRPr="00EF0897">
        <w:rPr>
          <w:b/>
          <w:u w:val="single"/>
        </w:rPr>
        <w:t>Corrections/Community Corrections</w:t>
      </w:r>
    </w:p>
    <w:p w14:paraId="77D07ED0" w14:textId="77777777" w:rsidR="000A1B66" w:rsidRPr="008B219C" w:rsidRDefault="000A1B66" w:rsidP="000A1B66"/>
    <w:tbl>
      <w:tblPr>
        <w:tblStyle w:val="TableGrid"/>
        <w:tblW w:w="0" w:type="auto"/>
        <w:tblLook w:val="04A0" w:firstRow="1" w:lastRow="0" w:firstColumn="1" w:lastColumn="0" w:noHBand="0" w:noVBand="1"/>
      </w:tblPr>
      <w:tblGrid>
        <w:gridCol w:w="1016"/>
        <w:gridCol w:w="2592"/>
        <w:gridCol w:w="2592"/>
        <w:gridCol w:w="2592"/>
      </w:tblGrid>
      <w:tr w:rsidR="000A1B66" w14:paraId="5D0639E2" w14:textId="77777777" w:rsidTr="00DC2FF8">
        <w:tc>
          <w:tcPr>
            <w:tcW w:w="1008" w:type="dxa"/>
          </w:tcPr>
          <w:p w14:paraId="149DFB82" w14:textId="77777777" w:rsidR="000A1B66" w:rsidRPr="008B219C" w:rsidRDefault="000A1B66" w:rsidP="00DC2FF8">
            <w:pPr>
              <w:rPr>
                <w:i/>
              </w:rPr>
            </w:pPr>
            <w:r>
              <w:rPr>
                <w:i/>
              </w:rPr>
              <w:t>Ranking</w:t>
            </w:r>
          </w:p>
        </w:tc>
        <w:tc>
          <w:tcPr>
            <w:tcW w:w="2592" w:type="dxa"/>
          </w:tcPr>
          <w:p w14:paraId="0BC66D24" w14:textId="77777777" w:rsidR="000A1B66" w:rsidRPr="008B219C" w:rsidRDefault="000A1B66" w:rsidP="00DC2FF8">
            <w:pPr>
              <w:rPr>
                <w:i/>
              </w:rPr>
            </w:pPr>
            <w:r w:rsidRPr="008B219C">
              <w:rPr>
                <w:i/>
              </w:rPr>
              <w:t>All Respondents</w:t>
            </w:r>
          </w:p>
        </w:tc>
        <w:tc>
          <w:tcPr>
            <w:tcW w:w="2592" w:type="dxa"/>
          </w:tcPr>
          <w:p w14:paraId="5655B96C" w14:textId="77777777" w:rsidR="000A1B66" w:rsidRPr="008B219C" w:rsidRDefault="000A1B66" w:rsidP="00DC2FF8">
            <w:pPr>
              <w:rPr>
                <w:i/>
              </w:rPr>
            </w:pPr>
            <w:r w:rsidRPr="008B219C">
              <w:rPr>
                <w:i/>
              </w:rPr>
              <w:t>Law Enforcement</w:t>
            </w:r>
          </w:p>
        </w:tc>
        <w:tc>
          <w:tcPr>
            <w:tcW w:w="2592" w:type="dxa"/>
          </w:tcPr>
          <w:p w14:paraId="31B738AE" w14:textId="77777777" w:rsidR="000A1B66" w:rsidRPr="008B219C" w:rsidRDefault="000A1B66" w:rsidP="00DC2FF8">
            <w:pPr>
              <w:rPr>
                <w:i/>
              </w:rPr>
            </w:pPr>
            <w:r w:rsidRPr="008B219C">
              <w:rPr>
                <w:i/>
              </w:rPr>
              <w:t>Non-Law Enforcement</w:t>
            </w:r>
          </w:p>
        </w:tc>
      </w:tr>
      <w:tr w:rsidR="000A1B66" w14:paraId="2F307CFB" w14:textId="77777777" w:rsidTr="00DC2FF8">
        <w:tc>
          <w:tcPr>
            <w:tcW w:w="1008" w:type="dxa"/>
            <w:vAlign w:val="center"/>
          </w:tcPr>
          <w:p w14:paraId="52E788AA" w14:textId="77777777" w:rsidR="000A1B66" w:rsidRPr="002F6AF8" w:rsidRDefault="000A1B66" w:rsidP="00DC2FF8">
            <w:pPr>
              <w:jc w:val="center"/>
              <w:rPr>
                <w:sz w:val="20"/>
              </w:rPr>
            </w:pPr>
            <w:r w:rsidRPr="002F6AF8">
              <w:rPr>
                <w:sz w:val="20"/>
              </w:rPr>
              <w:t>1</w:t>
            </w:r>
          </w:p>
        </w:tc>
        <w:tc>
          <w:tcPr>
            <w:tcW w:w="2592" w:type="dxa"/>
            <w:vAlign w:val="center"/>
          </w:tcPr>
          <w:p w14:paraId="1772BB60" w14:textId="77777777" w:rsidR="000A1B66" w:rsidRPr="002F6AF8" w:rsidRDefault="000A1B66" w:rsidP="00DC2FF8">
            <w:pPr>
              <w:rPr>
                <w:sz w:val="20"/>
              </w:rPr>
            </w:pPr>
            <w:r>
              <w:rPr>
                <w:sz w:val="20"/>
              </w:rPr>
              <w:t>Not applicable (46%)</w:t>
            </w:r>
          </w:p>
        </w:tc>
        <w:tc>
          <w:tcPr>
            <w:tcW w:w="2592" w:type="dxa"/>
            <w:vAlign w:val="center"/>
          </w:tcPr>
          <w:p w14:paraId="278B0EA5" w14:textId="77777777" w:rsidR="000A1B66" w:rsidRPr="002F6AF8" w:rsidRDefault="000A1B66" w:rsidP="00DC2FF8">
            <w:pPr>
              <w:rPr>
                <w:sz w:val="20"/>
              </w:rPr>
            </w:pPr>
            <w:r>
              <w:rPr>
                <w:sz w:val="20"/>
              </w:rPr>
              <w:t>Not applicable (65%)</w:t>
            </w:r>
          </w:p>
        </w:tc>
        <w:tc>
          <w:tcPr>
            <w:tcW w:w="2592" w:type="dxa"/>
            <w:vAlign w:val="center"/>
          </w:tcPr>
          <w:p w14:paraId="1CBD8F55" w14:textId="77777777" w:rsidR="000A1B66" w:rsidRPr="002F6AF8" w:rsidRDefault="000A1B66" w:rsidP="00DC2FF8">
            <w:pPr>
              <w:rPr>
                <w:sz w:val="20"/>
              </w:rPr>
            </w:pPr>
            <w:r>
              <w:rPr>
                <w:sz w:val="20"/>
              </w:rPr>
              <w:t>Community-based offender treatment (38%)</w:t>
            </w:r>
          </w:p>
        </w:tc>
      </w:tr>
      <w:tr w:rsidR="000A1B66" w14:paraId="5FDC9024" w14:textId="77777777" w:rsidTr="00DC2FF8">
        <w:tc>
          <w:tcPr>
            <w:tcW w:w="1008" w:type="dxa"/>
            <w:vAlign w:val="center"/>
          </w:tcPr>
          <w:p w14:paraId="72377F80" w14:textId="77777777" w:rsidR="000A1B66" w:rsidRPr="002F6AF8" w:rsidRDefault="000A1B66" w:rsidP="00DC2FF8">
            <w:pPr>
              <w:jc w:val="center"/>
              <w:rPr>
                <w:sz w:val="20"/>
              </w:rPr>
            </w:pPr>
            <w:r w:rsidRPr="002F6AF8">
              <w:rPr>
                <w:sz w:val="20"/>
              </w:rPr>
              <w:t>2</w:t>
            </w:r>
          </w:p>
        </w:tc>
        <w:tc>
          <w:tcPr>
            <w:tcW w:w="2592" w:type="dxa"/>
            <w:vAlign w:val="center"/>
          </w:tcPr>
          <w:p w14:paraId="562334EE" w14:textId="77777777" w:rsidR="000A1B66" w:rsidRPr="002F6AF8" w:rsidRDefault="000A1B66" w:rsidP="00DC2FF8">
            <w:pPr>
              <w:rPr>
                <w:sz w:val="20"/>
              </w:rPr>
            </w:pPr>
            <w:r>
              <w:rPr>
                <w:sz w:val="20"/>
              </w:rPr>
              <w:t>Community-based offender treatment (26%)</w:t>
            </w:r>
          </w:p>
        </w:tc>
        <w:tc>
          <w:tcPr>
            <w:tcW w:w="2592" w:type="dxa"/>
            <w:vAlign w:val="center"/>
          </w:tcPr>
          <w:p w14:paraId="1FB269CD" w14:textId="77777777" w:rsidR="000A1B66" w:rsidRPr="002F6AF8" w:rsidRDefault="000A1B66" w:rsidP="00DC2FF8">
            <w:pPr>
              <w:rPr>
                <w:sz w:val="20"/>
              </w:rPr>
            </w:pPr>
            <w:r>
              <w:rPr>
                <w:sz w:val="20"/>
              </w:rPr>
              <w:t>Workforce (19%)</w:t>
            </w:r>
          </w:p>
        </w:tc>
        <w:tc>
          <w:tcPr>
            <w:tcW w:w="2592" w:type="dxa"/>
            <w:vAlign w:val="center"/>
          </w:tcPr>
          <w:p w14:paraId="1A91A110" w14:textId="77777777" w:rsidR="000A1B66" w:rsidRPr="002F6AF8" w:rsidRDefault="000A1B66" w:rsidP="00DC2FF8">
            <w:pPr>
              <w:rPr>
                <w:sz w:val="20"/>
              </w:rPr>
            </w:pPr>
            <w:r>
              <w:rPr>
                <w:sz w:val="20"/>
              </w:rPr>
              <w:t>Reentry programs (33%)</w:t>
            </w:r>
          </w:p>
        </w:tc>
      </w:tr>
      <w:tr w:rsidR="000A1B66" w14:paraId="5A7C012F" w14:textId="77777777" w:rsidTr="00DC2FF8">
        <w:tc>
          <w:tcPr>
            <w:tcW w:w="1008" w:type="dxa"/>
            <w:vAlign w:val="center"/>
          </w:tcPr>
          <w:p w14:paraId="2B92B129" w14:textId="77777777" w:rsidR="000A1B66" w:rsidRPr="002F6AF8" w:rsidRDefault="000A1B66" w:rsidP="00DC2FF8">
            <w:pPr>
              <w:jc w:val="center"/>
              <w:rPr>
                <w:sz w:val="20"/>
              </w:rPr>
            </w:pPr>
            <w:r w:rsidRPr="002F6AF8">
              <w:rPr>
                <w:sz w:val="20"/>
              </w:rPr>
              <w:t>3</w:t>
            </w:r>
          </w:p>
        </w:tc>
        <w:tc>
          <w:tcPr>
            <w:tcW w:w="2592" w:type="dxa"/>
            <w:vAlign w:val="center"/>
          </w:tcPr>
          <w:p w14:paraId="35A343F1" w14:textId="77777777" w:rsidR="000A1B66" w:rsidRPr="002F6AF8" w:rsidRDefault="000A1B66" w:rsidP="00DC2FF8">
            <w:pPr>
              <w:rPr>
                <w:sz w:val="20"/>
              </w:rPr>
            </w:pPr>
            <w:r>
              <w:rPr>
                <w:sz w:val="20"/>
              </w:rPr>
              <w:t>Jail/prison-based offender treatment (23%)</w:t>
            </w:r>
          </w:p>
        </w:tc>
        <w:tc>
          <w:tcPr>
            <w:tcW w:w="2592" w:type="dxa"/>
            <w:vAlign w:val="center"/>
          </w:tcPr>
          <w:p w14:paraId="53724A6B" w14:textId="77777777" w:rsidR="000A1B66" w:rsidRPr="002F6AF8" w:rsidRDefault="000A1B66" w:rsidP="00DC2FF8">
            <w:pPr>
              <w:rPr>
                <w:sz w:val="20"/>
              </w:rPr>
            </w:pPr>
            <w:r>
              <w:rPr>
                <w:sz w:val="20"/>
              </w:rPr>
              <w:t>Jail/prison-based offender treatment (18%)</w:t>
            </w:r>
          </w:p>
        </w:tc>
        <w:tc>
          <w:tcPr>
            <w:tcW w:w="2592" w:type="dxa"/>
            <w:vAlign w:val="center"/>
          </w:tcPr>
          <w:p w14:paraId="629DCADA" w14:textId="77777777" w:rsidR="000A1B66" w:rsidRPr="002F6AF8" w:rsidRDefault="000A1B66" w:rsidP="00DC2FF8">
            <w:pPr>
              <w:rPr>
                <w:sz w:val="20"/>
              </w:rPr>
            </w:pPr>
            <w:r>
              <w:rPr>
                <w:sz w:val="20"/>
              </w:rPr>
              <w:t>N/A (28%)</w:t>
            </w:r>
          </w:p>
        </w:tc>
      </w:tr>
    </w:tbl>
    <w:p w14:paraId="624648CE" w14:textId="77777777" w:rsidR="000A1B66" w:rsidRDefault="000A1B66" w:rsidP="000A1B66"/>
    <w:p w14:paraId="3D63F3C8" w14:textId="77777777" w:rsidR="000A1B66" w:rsidRDefault="000A1B66" w:rsidP="000A1B66">
      <w:r>
        <w:t>Nearly half of respondents said that corrections/community corrections initiatives were not applicable to their role or agency. Of those for whom this Purpose Area applies, offender-based treatment is a significant issue.</w:t>
      </w:r>
    </w:p>
    <w:p w14:paraId="3E8C1D8B" w14:textId="77777777" w:rsidR="000A1B66" w:rsidRDefault="000A1B66" w:rsidP="000A1B66"/>
    <w:p w14:paraId="21C8715F" w14:textId="77777777" w:rsidR="009549ED" w:rsidRDefault="009549ED" w:rsidP="000A1B66">
      <w:pPr>
        <w:rPr>
          <w:b/>
          <w:u w:val="single"/>
        </w:rPr>
      </w:pPr>
    </w:p>
    <w:p w14:paraId="205627D4" w14:textId="55726CE5" w:rsidR="000A1B66" w:rsidRPr="00EF0897" w:rsidRDefault="000A1B66" w:rsidP="000A1B66">
      <w:pPr>
        <w:rPr>
          <w:b/>
          <w:u w:val="single"/>
        </w:rPr>
      </w:pPr>
      <w:r w:rsidRPr="00EF0897">
        <w:rPr>
          <w:b/>
          <w:u w:val="single"/>
        </w:rPr>
        <w:t>Drug Treatment &amp; Enforcement</w:t>
      </w:r>
    </w:p>
    <w:p w14:paraId="2442AAB0" w14:textId="77777777" w:rsidR="000A1B66" w:rsidRPr="008B219C" w:rsidRDefault="000A1B66" w:rsidP="000A1B66"/>
    <w:tbl>
      <w:tblPr>
        <w:tblStyle w:val="TableGrid"/>
        <w:tblW w:w="0" w:type="auto"/>
        <w:tblLook w:val="04A0" w:firstRow="1" w:lastRow="0" w:firstColumn="1" w:lastColumn="0" w:noHBand="0" w:noVBand="1"/>
      </w:tblPr>
      <w:tblGrid>
        <w:gridCol w:w="1016"/>
        <w:gridCol w:w="2592"/>
        <w:gridCol w:w="2592"/>
        <w:gridCol w:w="2592"/>
      </w:tblGrid>
      <w:tr w:rsidR="000A1B66" w14:paraId="231AEFAD" w14:textId="77777777" w:rsidTr="00DC2FF8">
        <w:tc>
          <w:tcPr>
            <w:tcW w:w="1008" w:type="dxa"/>
          </w:tcPr>
          <w:p w14:paraId="2C9ADE08" w14:textId="77777777" w:rsidR="000A1B66" w:rsidRPr="008B219C" w:rsidRDefault="000A1B66" w:rsidP="00DC2FF8">
            <w:pPr>
              <w:rPr>
                <w:i/>
              </w:rPr>
            </w:pPr>
            <w:r>
              <w:rPr>
                <w:i/>
              </w:rPr>
              <w:t>Ranking</w:t>
            </w:r>
          </w:p>
        </w:tc>
        <w:tc>
          <w:tcPr>
            <w:tcW w:w="2592" w:type="dxa"/>
          </w:tcPr>
          <w:p w14:paraId="4C44A64F" w14:textId="77777777" w:rsidR="000A1B66" w:rsidRPr="008B219C" w:rsidRDefault="000A1B66" w:rsidP="00DC2FF8">
            <w:pPr>
              <w:rPr>
                <w:i/>
              </w:rPr>
            </w:pPr>
            <w:r w:rsidRPr="008B219C">
              <w:rPr>
                <w:i/>
              </w:rPr>
              <w:t>All Respondents</w:t>
            </w:r>
          </w:p>
        </w:tc>
        <w:tc>
          <w:tcPr>
            <w:tcW w:w="2592" w:type="dxa"/>
          </w:tcPr>
          <w:p w14:paraId="00ACF088" w14:textId="77777777" w:rsidR="000A1B66" w:rsidRPr="008B219C" w:rsidRDefault="000A1B66" w:rsidP="00DC2FF8">
            <w:pPr>
              <w:rPr>
                <w:i/>
              </w:rPr>
            </w:pPr>
            <w:r w:rsidRPr="008B219C">
              <w:rPr>
                <w:i/>
              </w:rPr>
              <w:t>Law Enforcement</w:t>
            </w:r>
          </w:p>
        </w:tc>
        <w:tc>
          <w:tcPr>
            <w:tcW w:w="2592" w:type="dxa"/>
          </w:tcPr>
          <w:p w14:paraId="05943DFE" w14:textId="77777777" w:rsidR="000A1B66" w:rsidRPr="008B219C" w:rsidRDefault="000A1B66" w:rsidP="00DC2FF8">
            <w:pPr>
              <w:rPr>
                <w:i/>
              </w:rPr>
            </w:pPr>
            <w:r w:rsidRPr="008B219C">
              <w:rPr>
                <w:i/>
              </w:rPr>
              <w:t>Non-Law Enforcement</w:t>
            </w:r>
          </w:p>
        </w:tc>
      </w:tr>
      <w:tr w:rsidR="000A1B66" w14:paraId="2E85A58C" w14:textId="77777777" w:rsidTr="00DC2FF8">
        <w:tc>
          <w:tcPr>
            <w:tcW w:w="1008" w:type="dxa"/>
            <w:vAlign w:val="center"/>
          </w:tcPr>
          <w:p w14:paraId="5B6979E0" w14:textId="77777777" w:rsidR="000A1B66" w:rsidRPr="002F6AF8" w:rsidRDefault="000A1B66" w:rsidP="00DC2FF8">
            <w:pPr>
              <w:jc w:val="center"/>
              <w:rPr>
                <w:sz w:val="20"/>
              </w:rPr>
            </w:pPr>
            <w:r w:rsidRPr="002F6AF8">
              <w:rPr>
                <w:sz w:val="20"/>
              </w:rPr>
              <w:t>1</w:t>
            </w:r>
          </w:p>
        </w:tc>
        <w:tc>
          <w:tcPr>
            <w:tcW w:w="2592" w:type="dxa"/>
            <w:vAlign w:val="center"/>
          </w:tcPr>
          <w:p w14:paraId="78755F80" w14:textId="77777777" w:rsidR="000A1B66" w:rsidRPr="002F6AF8" w:rsidRDefault="000A1B66" w:rsidP="00DC2FF8">
            <w:pPr>
              <w:rPr>
                <w:sz w:val="20"/>
              </w:rPr>
            </w:pPr>
            <w:r>
              <w:rPr>
                <w:sz w:val="20"/>
              </w:rPr>
              <w:t>Mental illness and other chronic health conditions/services (36%)</w:t>
            </w:r>
          </w:p>
        </w:tc>
        <w:tc>
          <w:tcPr>
            <w:tcW w:w="2592" w:type="dxa"/>
            <w:vAlign w:val="center"/>
          </w:tcPr>
          <w:p w14:paraId="49DDA0D8" w14:textId="77777777" w:rsidR="000A1B66" w:rsidRPr="002F6AF8" w:rsidRDefault="000A1B66" w:rsidP="00DC2FF8">
            <w:pPr>
              <w:rPr>
                <w:sz w:val="20"/>
              </w:rPr>
            </w:pPr>
            <w:r>
              <w:rPr>
                <w:sz w:val="20"/>
              </w:rPr>
              <w:t>Drug enforcement and interdiction (49%)</w:t>
            </w:r>
          </w:p>
        </w:tc>
        <w:tc>
          <w:tcPr>
            <w:tcW w:w="2592" w:type="dxa"/>
            <w:vAlign w:val="center"/>
          </w:tcPr>
          <w:p w14:paraId="5670554F" w14:textId="77777777" w:rsidR="000A1B66" w:rsidRPr="002F6AF8" w:rsidRDefault="000A1B66" w:rsidP="00DC2FF8">
            <w:pPr>
              <w:rPr>
                <w:sz w:val="20"/>
              </w:rPr>
            </w:pPr>
            <w:r>
              <w:rPr>
                <w:sz w:val="20"/>
              </w:rPr>
              <w:t>Co-occur. mental illness and chronic health (48%)</w:t>
            </w:r>
          </w:p>
        </w:tc>
      </w:tr>
      <w:tr w:rsidR="000A1B66" w14:paraId="7E58D1EE" w14:textId="77777777" w:rsidTr="00DC2FF8">
        <w:tc>
          <w:tcPr>
            <w:tcW w:w="1008" w:type="dxa"/>
            <w:vAlign w:val="center"/>
          </w:tcPr>
          <w:p w14:paraId="582CAA46" w14:textId="77777777" w:rsidR="000A1B66" w:rsidRPr="002F6AF8" w:rsidRDefault="000A1B66" w:rsidP="00DC2FF8">
            <w:pPr>
              <w:jc w:val="center"/>
              <w:rPr>
                <w:sz w:val="20"/>
              </w:rPr>
            </w:pPr>
            <w:r w:rsidRPr="002F6AF8">
              <w:rPr>
                <w:sz w:val="20"/>
              </w:rPr>
              <w:t>2</w:t>
            </w:r>
          </w:p>
        </w:tc>
        <w:tc>
          <w:tcPr>
            <w:tcW w:w="2592" w:type="dxa"/>
            <w:vAlign w:val="center"/>
          </w:tcPr>
          <w:p w14:paraId="448D2508" w14:textId="77777777" w:rsidR="000A1B66" w:rsidRPr="002F6AF8" w:rsidRDefault="000A1B66" w:rsidP="00DC2FF8">
            <w:pPr>
              <w:rPr>
                <w:sz w:val="20"/>
              </w:rPr>
            </w:pPr>
            <w:r>
              <w:rPr>
                <w:sz w:val="20"/>
              </w:rPr>
              <w:t>Not applicable (30%)</w:t>
            </w:r>
          </w:p>
        </w:tc>
        <w:tc>
          <w:tcPr>
            <w:tcW w:w="2592" w:type="dxa"/>
            <w:vAlign w:val="center"/>
          </w:tcPr>
          <w:p w14:paraId="75D2896E" w14:textId="77777777" w:rsidR="000A1B66" w:rsidRPr="002F6AF8" w:rsidRDefault="000A1B66" w:rsidP="00DC2FF8">
            <w:pPr>
              <w:rPr>
                <w:sz w:val="20"/>
              </w:rPr>
            </w:pPr>
            <w:r>
              <w:rPr>
                <w:sz w:val="20"/>
              </w:rPr>
              <w:t>Not applicable (36%)</w:t>
            </w:r>
          </w:p>
        </w:tc>
        <w:tc>
          <w:tcPr>
            <w:tcW w:w="2592" w:type="dxa"/>
            <w:vAlign w:val="center"/>
          </w:tcPr>
          <w:p w14:paraId="28EF45E3" w14:textId="77777777" w:rsidR="000A1B66" w:rsidRPr="002F6AF8" w:rsidRDefault="000A1B66" w:rsidP="00DC2FF8">
            <w:pPr>
              <w:rPr>
                <w:sz w:val="20"/>
              </w:rPr>
            </w:pPr>
            <w:r>
              <w:rPr>
                <w:sz w:val="20"/>
              </w:rPr>
              <w:t>Community-based treatment (39%)</w:t>
            </w:r>
          </w:p>
        </w:tc>
      </w:tr>
      <w:tr w:rsidR="000A1B66" w14:paraId="4474F54C" w14:textId="77777777" w:rsidTr="00DC2FF8">
        <w:tc>
          <w:tcPr>
            <w:tcW w:w="1008" w:type="dxa"/>
            <w:vAlign w:val="center"/>
          </w:tcPr>
          <w:p w14:paraId="307A87B4" w14:textId="77777777" w:rsidR="000A1B66" w:rsidRPr="002F6AF8" w:rsidRDefault="000A1B66" w:rsidP="00DC2FF8">
            <w:pPr>
              <w:jc w:val="center"/>
              <w:rPr>
                <w:sz w:val="20"/>
              </w:rPr>
            </w:pPr>
            <w:r w:rsidRPr="002F6AF8">
              <w:rPr>
                <w:sz w:val="20"/>
              </w:rPr>
              <w:t>3</w:t>
            </w:r>
          </w:p>
        </w:tc>
        <w:tc>
          <w:tcPr>
            <w:tcW w:w="2592" w:type="dxa"/>
            <w:vAlign w:val="center"/>
          </w:tcPr>
          <w:p w14:paraId="67B4E220" w14:textId="77777777" w:rsidR="000A1B66" w:rsidRPr="002F6AF8" w:rsidRDefault="000A1B66" w:rsidP="00DC2FF8">
            <w:pPr>
              <w:rPr>
                <w:sz w:val="20"/>
              </w:rPr>
            </w:pPr>
            <w:r>
              <w:rPr>
                <w:sz w:val="20"/>
              </w:rPr>
              <w:t>Drug enforcement and interdiction (30%)</w:t>
            </w:r>
          </w:p>
        </w:tc>
        <w:tc>
          <w:tcPr>
            <w:tcW w:w="2592" w:type="dxa"/>
            <w:vAlign w:val="center"/>
          </w:tcPr>
          <w:p w14:paraId="2153C862" w14:textId="77777777" w:rsidR="000A1B66" w:rsidRPr="002F6AF8" w:rsidRDefault="000A1B66" w:rsidP="00DC2FF8">
            <w:pPr>
              <w:rPr>
                <w:sz w:val="20"/>
              </w:rPr>
            </w:pPr>
            <w:r>
              <w:rPr>
                <w:sz w:val="20"/>
              </w:rPr>
              <w:t>Co-occur. mental illness and other chronic health (24%)</w:t>
            </w:r>
          </w:p>
        </w:tc>
        <w:tc>
          <w:tcPr>
            <w:tcW w:w="2592" w:type="dxa"/>
            <w:vAlign w:val="center"/>
          </w:tcPr>
          <w:p w14:paraId="263B1A84" w14:textId="77777777" w:rsidR="000A1B66" w:rsidRPr="002F6AF8" w:rsidRDefault="000A1B66" w:rsidP="00DC2FF8">
            <w:pPr>
              <w:rPr>
                <w:sz w:val="20"/>
              </w:rPr>
            </w:pPr>
            <w:r>
              <w:rPr>
                <w:sz w:val="20"/>
              </w:rPr>
              <w:t>Corrections-based treatment (35%)</w:t>
            </w:r>
          </w:p>
        </w:tc>
      </w:tr>
    </w:tbl>
    <w:p w14:paraId="55F3390D" w14:textId="77777777" w:rsidR="000A1B66" w:rsidRDefault="000A1B66" w:rsidP="000A1B66"/>
    <w:p w14:paraId="6EE09CC2" w14:textId="77777777" w:rsidR="000A1B66" w:rsidRDefault="000A1B66" w:rsidP="000A1B66">
      <w:r>
        <w:t>Co-occurring mental illness and other chronic health conditions/services and drug enforcement/interdiction were ranked as significant issues within the Drug Enforcement Purpose Area. About a third of respondents, however, said that these initiatives did not apply to them. Drug enforcement and interdiction was a top issue for law enforcement (49%) while co-occurring mental illness and chronic health conditions was a top issue within the non-law enforcement group. Treatment was also a significant issue for the non-law enforcement group.</w:t>
      </w:r>
    </w:p>
    <w:p w14:paraId="39EAB40A" w14:textId="77777777" w:rsidR="000A1B66" w:rsidRDefault="000A1B66" w:rsidP="000A1B66"/>
    <w:p w14:paraId="7C09BD52" w14:textId="77777777" w:rsidR="000A1B66" w:rsidRPr="00EF0897" w:rsidRDefault="000A1B66" w:rsidP="000A1B66">
      <w:pPr>
        <w:rPr>
          <w:b/>
          <w:u w:val="single"/>
        </w:rPr>
      </w:pPr>
      <w:r w:rsidRPr="00EF0897">
        <w:rPr>
          <w:b/>
          <w:u w:val="single"/>
        </w:rPr>
        <w:t>Planning, Evaluation and Technology</w:t>
      </w:r>
    </w:p>
    <w:p w14:paraId="1CB0DCE4" w14:textId="77777777" w:rsidR="000A1B66" w:rsidRPr="008B219C" w:rsidRDefault="000A1B66" w:rsidP="000A1B66"/>
    <w:tbl>
      <w:tblPr>
        <w:tblStyle w:val="TableGrid"/>
        <w:tblW w:w="0" w:type="auto"/>
        <w:tblLook w:val="04A0" w:firstRow="1" w:lastRow="0" w:firstColumn="1" w:lastColumn="0" w:noHBand="0" w:noVBand="1"/>
      </w:tblPr>
      <w:tblGrid>
        <w:gridCol w:w="1016"/>
        <w:gridCol w:w="2592"/>
        <w:gridCol w:w="2592"/>
        <w:gridCol w:w="2592"/>
      </w:tblGrid>
      <w:tr w:rsidR="000A1B66" w14:paraId="186C58C1" w14:textId="77777777" w:rsidTr="00DC2FF8">
        <w:tc>
          <w:tcPr>
            <w:tcW w:w="1008" w:type="dxa"/>
          </w:tcPr>
          <w:p w14:paraId="4816D219" w14:textId="77777777" w:rsidR="000A1B66" w:rsidRPr="008B219C" w:rsidRDefault="000A1B66" w:rsidP="00DC2FF8">
            <w:pPr>
              <w:rPr>
                <w:i/>
              </w:rPr>
            </w:pPr>
            <w:r>
              <w:rPr>
                <w:i/>
              </w:rPr>
              <w:t>Ranking</w:t>
            </w:r>
          </w:p>
        </w:tc>
        <w:tc>
          <w:tcPr>
            <w:tcW w:w="2592" w:type="dxa"/>
          </w:tcPr>
          <w:p w14:paraId="2E86D68F" w14:textId="77777777" w:rsidR="000A1B66" w:rsidRPr="008B219C" w:rsidRDefault="000A1B66" w:rsidP="00DC2FF8">
            <w:pPr>
              <w:rPr>
                <w:i/>
              </w:rPr>
            </w:pPr>
            <w:r w:rsidRPr="008B219C">
              <w:rPr>
                <w:i/>
              </w:rPr>
              <w:t>All Respondents</w:t>
            </w:r>
          </w:p>
        </w:tc>
        <w:tc>
          <w:tcPr>
            <w:tcW w:w="2592" w:type="dxa"/>
          </w:tcPr>
          <w:p w14:paraId="05E1FEC0" w14:textId="77777777" w:rsidR="000A1B66" w:rsidRPr="008B219C" w:rsidRDefault="000A1B66" w:rsidP="00DC2FF8">
            <w:pPr>
              <w:rPr>
                <w:i/>
              </w:rPr>
            </w:pPr>
            <w:r w:rsidRPr="008B219C">
              <w:rPr>
                <w:i/>
              </w:rPr>
              <w:t>Law Enforcement</w:t>
            </w:r>
          </w:p>
        </w:tc>
        <w:tc>
          <w:tcPr>
            <w:tcW w:w="2592" w:type="dxa"/>
          </w:tcPr>
          <w:p w14:paraId="49F6B436" w14:textId="77777777" w:rsidR="000A1B66" w:rsidRPr="008B219C" w:rsidRDefault="000A1B66" w:rsidP="00DC2FF8">
            <w:pPr>
              <w:rPr>
                <w:i/>
              </w:rPr>
            </w:pPr>
            <w:r w:rsidRPr="008B219C">
              <w:rPr>
                <w:i/>
              </w:rPr>
              <w:t>Non-Law Enforcement</w:t>
            </w:r>
          </w:p>
        </w:tc>
      </w:tr>
      <w:tr w:rsidR="000A1B66" w14:paraId="44827E48" w14:textId="77777777" w:rsidTr="00DC2FF8">
        <w:tc>
          <w:tcPr>
            <w:tcW w:w="1008" w:type="dxa"/>
            <w:vAlign w:val="center"/>
          </w:tcPr>
          <w:p w14:paraId="0F95B57D" w14:textId="77777777" w:rsidR="000A1B66" w:rsidRPr="002F6AF8" w:rsidRDefault="000A1B66" w:rsidP="00DC2FF8">
            <w:pPr>
              <w:jc w:val="center"/>
              <w:rPr>
                <w:sz w:val="20"/>
              </w:rPr>
            </w:pPr>
            <w:r w:rsidRPr="002F6AF8">
              <w:rPr>
                <w:sz w:val="20"/>
              </w:rPr>
              <w:t>1</w:t>
            </w:r>
          </w:p>
        </w:tc>
        <w:tc>
          <w:tcPr>
            <w:tcW w:w="2592" w:type="dxa"/>
            <w:vAlign w:val="center"/>
          </w:tcPr>
          <w:p w14:paraId="7D6039EC" w14:textId="77777777" w:rsidR="000A1B66" w:rsidRPr="002F6AF8" w:rsidRDefault="000A1B66" w:rsidP="00DC2FF8">
            <w:pPr>
              <w:rPr>
                <w:sz w:val="20"/>
              </w:rPr>
            </w:pPr>
            <w:r>
              <w:rPr>
                <w:sz w:val="20"/>
              </w:rPr>
              <w:t>Training (48%)</w:t>
            </w:r>
          </w:p>
        </w:tc>
        <w:tc>
          <w:tcPr>
            <w:tcW w:w="2592" w:type="dxa"/>
            <w:vAlign w:val="center"/>
          </w:tcPr>
          <w:p w14:paraId="6F9B17CE" w14:textId="77777777" w:rsidR="000A1B66" w:rsidRPr="002F6AF8" w:rsidRDefault="000A1B66" w:rsidP="00DC2FF8">
            <w:pPr>
              <w:rPr>
                <w:sz w:val="20"/>
              </w:rPr>
            </w:pPr>
            <w:r>
              <w:rPr>
                <w:sz w:val="20"/>
              </w:rPr>
              <w:t>Training (56%)</w:t>
            </w:r>
          </w:p>
        </w:tc>
        <w:tc>
          <w:tcPr>
            <w:tcW w:w="2592" w:type="dxa"/>
            <w:vAlign w:val="center"/>
          </w:tcPr>
          <w:p w14:paraId="2BED2A74" w14:textId="77777777" w:rsidR="000A1B66" w:rsidRPr="002F6AF8" w:rsidRDefault="000A1B66" w:rsidP="00DC2FF8">
            <w:pPr>
              <w:rPr>
                <w:sz w:val="20"/>
              </w:rPr>
            </w:pPr>
            <w:r>
              <w:rPr>
                <w:sz w:val="20"/>
              </w:rPr>
              <w:t>Automated info sharing with community services (44%)</w:t>
            </w:r>
          </w:p>
        </w:tc>
      </w:tr>
      <w:tr w:rsidR="000A1B66" w14:paraId="1BE1F601" w14:textId="77777777" w:rsidTr="00DC2FF8">
        <w:tc>
          <w:tcPr>
            <w:tcW w:w="1008" w:type="dxa"/>
            <w:vAlign w:val="center"/>
          </w:tcPr>
          <w:p w14:paraId="5D335756" w14:textId="77777777" w:rsidR="000A1B66" w:rsidRPr="002F6AF8" w:rsidRDefault="000A1B66" w:rsidP="00DC2FF8">
            <w:pPr>
              <w:jc w:val="center"/>
              <w:rPr>
                <w:sz w:val="20"/>
              </w:rPr>
            </w:pPr>
            <w:r w:rsidRPr="002F6AF8">
              <w:rPr>
                <w:sz w:val="20"/>
              </w:rPr>
              <w:t>2</w:t>
            </w:r>
          </w:p>
        </w:tc>
        <w:tc>
          <w:tcPr>
            <w:tcW w:w="2592" w:type="dxa"/>
            <w:vAlign w:val="center"/>
          </w:tcPr>
          <w:p w14:paraId="15AA6D83" w14:textId="77777777" w:rsidR="000A1B66" w:rsidRPr="002F6AF8" w:rsidRDefault="000A1B66" w:rsidP="00DC2FF8">
            <w:pPr>
              <w:rPr>
                <w:sz w:val="20"/>
              </w:rPr>
            </w:pPr>
            <w:r>
              <w:rPr>
                <w:sz w:val="20"/>
              </w:rPr>
              <w:t>Forensic science lab enhancements (37%)</w:t>
            </w:r>
          </w:p>
        </w:tc>
        <w:tc>
          <w:tcPr>
            <w:tcW w:w="2592" w:type="dxa"/>
            <w:vAlign w:val="center"/>
          </w:tcPr>
          <w:p w14:paraId="46380A50" w14:textId="77777777" w:rsidR="000A1B66" w:rsidRPr="002F6AF8" w:rsidRDefault="000A1B66" w:rsidP="00DC2FF8">
            <w:pPr>
              <w:rPr>
                <w:sz w:val="20"/>
              </w:rPr>
            </w:pPr>
            <w:r>
              <w:rPr>
                <w:sz w:val="20"/>
              </w:rPr>
              <w:t>Forensics lab improvements (44%)</w:t>
            </w:r>
          </w:p>
        </w:tc>
        <w:tc>
          <w:tcPr>
            <w:tcW w:w="2592" w:type="dxa"/>
            <w:vAlign w:val="center"/>
          </w:tcPr>
          <w:p w14:paraId="6EF08317" w14:textId="77777777" w:rsidR="000A1B66" w:rsidRPr="002F6AF8" w:rsidRDefault="000A1B66" w:rsidP="00DC2FF8">
            <w:pPr>
              <w:rPr>
                <w:sz w:val="20"/>
              </w:rPr>
            </w:pPr>
            <w:r>
              <w:rPr>
                <w:sz w:val="20"/>
              </w:rPr>
              <w:t>Training (39%)</w:t>
            </w:r>
          </w:p>
        </w:tc>
      </w:tr>
      <w:tr w:rsidR="000A1B66" w14:paraId="37D54A8D" w14:textId="77777777" w:rsidTr="00DC2FF8">
        <w:tc>
          <w:tcPr>
            <w:tcW w:w="1008" w:type="dxa"/>
            <w:vAlign w:val="center"/>
          </w:tcPr>
          <w:p w14:paraId="46A74686" w14:textId="77777777" w:rsidR="000A1B66" w:rsidRPr="002F6AF8" w:rsidRDefault="000A1B66" w:rsidP="00DC2FF8">
            <w:pPr>
              <w:jc w:val="center"/>
              <w:rPr>
                <w:sz w:val="20"/>
              </w:rPr>
            </w:pPr>
            <w:r w:rsidRPr="002F6AF8">
              <w:rPr>
                <w:sz w:val="20"/>
              </w:rPr>
              <w:t>3</w:t>
            </w:r>
          </w:p>
        </w:tc>
        <w:tc>
          <w:tcPr>
            <w:tcW w:w="2592" w:type="dxa"/>
            <w:vAlign w:val="center"/>
          </w:tcPr>
          <w:p w14:paraId="1A496B6F" w14:textId="77777777" w:rsidR="000A1B66" w:rsidRPr="002F6AF8" w:rsidRDefault="000A1B66" w:rsidP="00DC2FF8">
            <w:pPr>
              <w:rPr>
                <w:sz w:val="20"/>
              </w:rPr>
            </w:pPr>
            <w:r>
              <w:rPr>
                <w:sz w:val="20"/>
              </w:rPr>
              <w:t>Automated information sharing projects with justice system partners and community services (33% each)</w:t>
            </w:r>
          </w:p>
        </w:tc>
        <w:tc>
          <w:tcPr>
            <w:tcW w:w="2592" w:type="dxa"/>
            <w:vAlign w:val="center"/>
          </w:tcPr>
          <w:p w14:paraId="0DAB3241" w14:textId="77777777" w:rsidR="000A1B66" w:rsidRPr="002F6AF8" w:rsidRDefault="000A1B66" w:rsidP="00DC2FF8">
            <w:pPr>
              <w:rPr>
                <w:sz w:val="20"/>
              </w:rPr>
            </w:pPr>
            <w:r>
              <w:rPr>
                <w:sz w:val="20"/>
              </w:rPr>
              <w:t>Database and technology upgrades (39%)</w:t>
            </w:r>
          </w:p>
        </w:tc>
        <w:tc>
          <w:tcPr>
            <w:tcW w:w="2592" w:type="dxa"/>
            <w:vAlign w:val="center"/>
          </w:tcPr>
          <w:p w14:paraId="7BB3B28A" w14:textId="77777777" w:rsidR="000A1B66" w:rsidRPr="002F6AF8" w:rsidRDefault="000A1B66" w:rsidP="00DC2FF8">
            <w:pPr>
              <w:rPr>
                <w:sz w:val="20"/>
              </w:rPr>
            </w:pPr>
            <w:r>
              <w:rPr>
                <w:sz w:val="20"/>
              </w:rPr>
              <w:t>Automated information sharing with justice system partners (30%)</w:t>
            </w:r>
          </w:p>
        </w:tc>
      </w:tr>
    </w:tbl>
    <w:p w14:paraId="0C99C4CA" w14:textId="77777777" w:rsidR="000A1B66" w:rsidRDefault="000A1B66" w:rsidP="000A1B66"/>
    <w:p w14:paraId="021F2A64" w14:textId="77777777" w:rsidR="000A1B66" w:rsidRPr="00EF0897" w:rsidRDefault="000A1B66" w:rsidP="000A1B66">
      <w:r>
        <w:t>Training, forensic lab improvements and automated justice information sharing were among the top concerns within the Planning, Evaluation and Technology Purpose Area. Database and technology upgrades were also a major concern among law enforcement.</w:t>
      </w:r>
    </w:p>
    <w:p w14:paraId="00A9E9DE" w14:textId="77777777" w:rsidR="000A1B66" w:rsidRDefault="000A1B66" w:rsidP="000A1B66"/>
    <w:p w14:paraId="117D8B39" w14:textId="77777777" w:rsidR="000A1B66" w:rsidRPr="00EF0897" w:rsidRDefault="000A1B66" w:rsidP="000A1B66">
      <w:pPr>
        <w:rPr>
          <w:b/>
          <w:u w:val="single"/>
        </w:rPr>
      </w:pPr>
      <w:r>
        <w:rPr>
          <w:b/>
          <w:u w:val="single"/>
        </w:rPr>
        <w:t>Crime Victim and Witness</w:t>
      </w:r>
    </w:p>
    <w:p w14:paraId="1852BC35" w14:textId="77777777" w:rsidR="000A1B66" w:rsidRPr="008B219C" w:rsidRDefault="000A1B66" w:rsidP="000A1B66"/>
    <w:tbl>
      <w:tblPr>
        <w:tblStyle w:val="TableGrid"/>
        <w:tblW w:w="0" w:type="auto"/>
        <w:tblLook w:val="04A0" w:firstRow="1" w:lastRow="0" w:firstColumn="1" w:lastColumn="0" w:noHBand="0" w:noVBand="1"/>
      </w:tblPr>
      <w:tblGrid>
        <w:gridCol w:w="1016"/>
        <w:gridCol w:w="2592"/>
        <w:gridCol w:w="2592"/>
        <w:gridCol w:w="2592"/>
      </w:tblGrid>
      <w:tr w:rsidR="000A1B66" w14:paraId="7AAE1815" w14:textId="77777777" w:rsidTr="00DC2FF8">
        <w:tc>
          <w:tcPr>
            <w:tcW w:w="1008" w:type="dxa"/>
          </w:tcPr>
          <w:p w14:paraId="390AEDF0" w14:textId="77777777" w:rsidR="000A1B66" w:rsidRPr="008B219C" w:rsidRDefault="000A1B66" w:rsidP="00DC2FF8">
            <w:pPr>
              <w:rPr>
                <w:i/>
              </w:rPr>
            </w:pPr>
            <w:r>
              <w:rPr>
                <w:i/>
              </w:rPr>
              <w:t>Ranking</w:t>
            </w:r>
          </w:p>
        </w:tc>
        <w:tc>
          <w:tcPr>
            <w:tcW w:w="2592" w:type="dxa"/>
          </w:tcPr>
          <w:p w14:paraId="7356F46C" w14:textId="77777777" w:rsidR="000A1B66" w:rsidRPr="008B219C" w:rsidRDefault="000A1B66" w:rsidP="00DC2FF8">
            <w:pPr>
              <w:rPr>
                <w:i/>
              </w:rPr>
            </w:pPr>
            <w:r w:rsidRPr="008B219C">
              <w:rPr>
                <w:i/>
              </w:rPr>
              <w:t>All Respondents</w:t>
            </w:r>
          </w:p>
        </w:tc>
        <w:tc>
          <w:tcPr>
            <w:tcW w:w="2592" w:type="dxa"/>
          </w:tcPr>
          <w:p w14:paraId="69EBB64A" w14:textId="77777777" w:rsidR="000A1B66" w:rsidRPr="008B219C" w:rsidRDefault="000A1B66" w:rsidP="00DC2FF8">
            <w:pPr>
              <w:rPr>
                <w:i/>
              </w:rPr>
            </w:pPr>
            <w:r w:rsidRPr="008B219C">
              <w:rPr>
                <w:i/>
              </w:rPr>
              <w:t>Law Enforcement</w:t>
            </w:r>
          </w:p>
        </w:tc>
        <w:tc>
          <w:tcPr>
            <w:tcW w:w="2592" w:type="dxa"/>
          </w:tcPr>
          <w:p w14:paraId="12BD13D2" w14:textId="77777777" w:rsidR="000A1B66" w:rsidRPr="008B219C" w:rsidRDefault="000A1B66" w:rsidP="00DC2FF8">
            <w:pPr>
              <w:rPr>
                <w:i/>
              </w:rPr>
            </w:pPr>
            <w:r w:rsidRPr="008B219C">
              <w:rPr>
                <w:i/>
              </w:rPr>
              <w:t>Non-Law Enforcement</w:t>
            </w:r>
          </w:p>
        </w:tc>
      </w:tr>
      <w:tr w:rsidR="000A1B66" w14:paraId="632C2304" w14:textId="77777777" w:rsidTr="00DC2FF8">
        <w:tc>
          <w:tcPr>
            <w:tcW w:w="1008" w:type="dxa"/>
            <w:vAlign w:val="center"/>
          </w:tcPr>
          <w:p w14:paraId="03DED1B2" w14:textId="77777777" w:rsidR="000A1B66" w:rsidRPr="002F6AF8" w:rsidRDefault="000A1B66" w:rsidP="00DC2FF8">
            <w:pPr>
              <w:jc w:val="center"/>
              <w:rPr>
                <w:sz w:val="20"/>
              </w:rPr>
            </w:pPr>
            <w:r w:rsidRPr="002F6AF8">
              <w:rPr>
                <w:sz w:val="20"/>
              </w:rPr>
              <w:t>1</w:t>
            </w:r>
          </w:p>
        </w:tc>
        <w:tc>
          <w:tcPr>
            <w:tcW w:w="2592" w:type="dxa"/>
            <w:vAlign w:val="center"/>
          </w:tcPr>
          <w:p w14:paraId="161F5B14" w14:textId="77777777" w:rsidR="000A1B66" w:rsidRPr="002F6AF8" w:rsidRDefault="000A1B66" w:rsidP="00DC2FF8">
            <w:pPr>
              <w:rPr>
                <w:sz w:val="20"/>
              </w:rPr>
            </w:pPr>
            <w:r>
              <w:rPr>
                <w:sz w:val="20"/>
              </w:rPr>
              <w:t>Behavioral health/trauma-informed care (42%)</w:t>
            </w:r>
          </w:p>
        </w:tc>
        <w:tc>
          <w:tcPr>
            <w:tcW w:w="2592" w:type="dxa"/>
            <w:vAlign w:val="center"/>
          </w:tcPr>
          <w:p w14:paraId="4BF5D7B2" w14:textId="77777777" w:rsidR="000A1B66" w:rsidRPr="002F6AF8" w:rsidRDefault="000A1B66" w:rsidP="00DC2FF8">
            <w:pPr>
              <w:rPr>
                <w:sz w:val="20"/>
              </w:rPr>
            </w:pPr>
            <w:r>
              <w:rPr>
                <w:sz w:val="20"/>
              </w:rPr>
              <w:t>Training and education for CJ practitioners (43%)</w:t>
            </w:r>
          </w:p>
        </w:tc>
        <w:tc>
          <w:tcPr>
            <w:tcW w:w="2592" w:type="dxa"/>
            <w:vAlign w:val="center"/>
          </w:tcPr>
          <w:p w14:paraId="3160A1CE" w14:textId="77777777" w:rsidR="000A1B66" w:rsidRPr="002F6AF8" w:rsidRDefault="000A1B66" w:rsidP="00DC2FF8">
            <w:pPr>
              <w:rPr>
                <w:sz w:val="20"/>
              </w:rPr>
            </w:pPr>
            <w:r>
              <w:rPr>
                <w:sz w:val="20"/>
              </w:rPr>
              <w:t>Behavioral health services/trauma-informed care (54%)</w:t>
            </w:r>
          </w:p>
        </w:tc>
      </w:tr>
      <w:tr w:rsidR="000A1B66" w14:paraId="21D3B58B" w14:textId="77777777" w:rsidTr="00DC2FF8">
        <w:tc>
          <w:tcPr>
            <w:tcW w:w="1008" w:type="dxa"/>
            <w:vAlign w:val="center"/>
          </w:tcPr>
          <w:p w14:paraId="2F483FB9" w14:textId="77777777" w:rsidR="000A1B66" w:rsidRPr="002F6AF8" w:rsidRDefault="000A1B66" w:rsidP="00DC2FF8">
            <w:pPr>
              <w:jc w:val="center"/>
              <w:rPr>
                <w:sz w:val="20"/>
              </w:rPr>
            </w:pPr>
            <w:r w:rsidRPr="002F6AF8">
              <w:rPr>
                <w:sz w:val="20"/>
              </w:rPr>
              <w:t>2</w:t>
            </w:r>
          </w:p>
        </w:tc>
        <w:tc>
          <w:tcPr>
            <w:tcW w:w="2592" w:type="dxa"/>
            <w:vAlign w:val="center"/>
          </w:tcPr>
          <w:p w14:paraId="01C16BEF" w14:textId="77777777" w:rsidR="000A1B66" w:rsidRPr="002F6AF8" w:rsidRDefault="000A1B66" w:rsidP="00DC2FF8">
            <w:pPr>
              <w:rPr>
                <w:sz w:val="20"/>
              </w:rPr>
            </w:pPr>
            <w:r>
              <w:rPr>
                <w:sz w:val="20"/>
              </w:rPr>
              <w:t>Child advocacy centers (38%)</w:t>
            </w:r>
          </w:p>
        </w:tc>
        <w:tc>
          <w:tcPr>
            <w:tcW w:w="2592" w:type="dxa"/>
            <w:vAlign w:val="center"/>
          </w:tcPr>
          <w:p w14:paraId="74566D7D" w14:textId="77777777" w:rsidR="000A1B66" w:rsidRPr="002F6AF8" w:rsidRDefault="000A1B66" w:rsidP="00DC2FF8">
            <w:pPr>
              <w:rPr>
                <w:sz w:val="20"/>
              </w:rPr>
            </w:pPr>
            <w:r>
              <w:rPr>
                <w:sz w:val="20"/>
              </w:rPr>
              <w:t>Child advocacy centers (43%)</w:t>
            </w:r>
          </w:p>
        </w:tc>
        <w:tc>
          <w:tcPr>
            <w:tcW w:w="2592" w:type="dxa"/>
            <w:vAlign w:val="center"/>
          </w:tcPr>
          <w:p w14:paraId="32B3410F" w14:textId="77777777" w:rsidR="000A1B66" w:rsidRPr="002F6AF8" w:rsidRDefault="000A1B66" w:rsidP="00DC2FF8">
            <w:pPr>
              <w:rPr>
                <w:sz w:val="20"/>
              </w:rPr>
            </w:pPr>
            <w:r>
              <w:rPr>
                <w:sz w:val="20"/>
              </w:rPr>
              <w:t>Children exposed to violence (37%)</w:t>
            </w:r>
          </w:p>
        </w:tc>
      </w:tr>
      <w:tr w:rsidR="000A1B66" w14:paraId="04877287" w14:textId="77777777" w:rsidTr="00DC2FF8">
        <w:tc>
          <w:tcPr>
            <w:tcW w:w="1008" w:type="dxa"/>
            <w:vAlign w:val="center"/>
          </w:tcPr>
          <w:p w14:paraId="51E847D9" w14:textId="77777777" w:rsidR="000A1B66" w:rsidRPr="002F6AF8" w:rsidRDefault="000A1B66" w:rsidP="00DC2FF8">
            <w:pPr>
              <w:jc w:val="center"/>
              <w:rPr>
                <w:sz w:val="20"/>
              </w:rPr>
            </w:pPr>
            <w:r w:rsidRPr="002F6AF8">
              <w:rPr>
                <w:sz w:val="20"/>
              </w:rPr>
              <w:t>3</w:t>
            </w:r>
          </w:p>
        </w:tc>
        <w:tc>
          <w:tcPr>
            <w:tcW w:w="2592" w:type="dxa"/>
            <w:vAlign w:val="center"/>
          </w:tcPr>
          <w:p w14:paraId="57192C11" w14:textId="77777777" w:rsidR="000A1B66" w:rsidRPr="002F6AF8" w:rsidRDefault="000A1B66" w:rsidP="00DC2FF8">
            <w:pPr>
              <w:rPr>
                <w:sz w:val="20"/>
              </w:rPr>
            </w:pPr>
            <w:r>
              <w:rPr>
                <w:sz w:val="20"/>
              </w:rPr>
              <w:t>Children exposed to violence (35%)</w:t>
            </w:r>
          </w:p>
        </w:tc>
        <w:tc>
          <w:tcPr>
            <w:tcW w:w="2592" w:type="dxa"/>
            <w:vAlign w:val="center"/>
          </w:tcPr>
          <w:p w14:paraId="7BBC7904" w14:textId="77777777" w:rsidR="000A1B66" w:rsidRPr="002F6AF8" w:rsidRDefault="000A1B66" w:rsidP="00DC2FF8">
            <w:pPr>
              <w:rPr>
                <w:sz w:val="20"/>
              </w:rPr>
            </w:pPr>
            <w:r>
              <w:rPr>
                <w:sz w:val="20"/>
              </w:rPr>
              <w:t>Children exposed to violence (33%)</w:t>
            </w:r>
          </w:p>
        </w:tc>
        <w:tc>
          <w:tcPr>
            <w:tcW w:w="2592" w:type="dxa"/>
            <w:vAlign w:val="center"/>
          </w:tcPr>
          <w:p w14:paraId="087B7D6D" w14:textId="77777777" w:rsidR="000A1B66" w:rsidRPr="002F6AF8" w:rsidRDefault="000A1B66" w:rsidP="00DC2FF8">
            <w:pPr>
              <w:rPr>
                <w:sz w:val="20"/>
              </w:rPr>
            </w:pPr>
            <w:r>
              <w:rPr>
                <w:sz w:val="20"/>
              </w:rPr>
              <w:t>Child advocacy centers (33%)</w:t>
            </w:r>
          </w:p>
        </w:tc>
      </w:tr>
    </w:tbl>
    <w:p w14:paraId="5B4153CC" w14:textId="77777777" w:rsidR="000A1B66" w:rsidRDefault="000A1B66" w:rsidP="000A1B66"/>
    <w:p w14:paraId="7438A022" w14:textId="77777777" w:rsidR="000A1B66" w:rsidRDefault="000A1B66" w:rsidP="000A1B66">
      <w:r>
        <w:t>Behavioral health/trauma-informed care and youth victimization appear to be major issues overall. Law enforcement ranked training and education for criminal justice practitioners a top priority.</w:t>
      </w:r>
    </w:p>
    <w:p w14:paraId="3B642F30" w14:textId="77777777" w:rsidR="000A1B66" w:rsidRDefault="000A1B66" w:rsidP="000A1B66"/>
    <w:p w14:paraId="0D732194" w14:textId="77777777" w:rsidR="000A1B66" w:rsidRPr="00EF0897" w:rsidRDefault="000A1B66" w:rsidP="000A1B66">
      <w:pPr>
        <w:rPr>
          <w:b/>
          <w:u w:val="single"/>
        </w:rPr>
      </w:pPr>
      <w:r>
        <w:rPr>
          <w:b/>
          <w:u w:val="single"/>
        </w:rPr>
        <w:t>Mental Health</w:t>
      </w:r>
    </w:p>
    <w:p w14:paraId="14DBD5C7" w14:textId="77777777" w:rsidR="000A1B66" w:rsidRPr="008B219C" w:rsidRDefault="000A1B66" w:rsidP="000A1B66"/>
    <w:tbl>
      <w:tblPr>
        <w:tblStyle w:val="TableGrid"/>
        <w:tblW w:w="0" w:type="auto"/>
        <w:tblLook w:val="04A0" w:firstRow="1" w:lastRow="0" w:firstColumn="1" w:lastColumn="0" w:noHBand="0" w:noVBand="1"/>
      </w:tblPr>
      <w:tblGrid>
        <w:gridCol w:w="1016"/>
        <w:gridCol w:w="2592"/>
        <w:gridCol w:w="2592"/>
        <w:gridCol w:w="2592"/>
      </w:tblGrid>
      <w:tr w:rsidR="000A1B66" w14:paraId="7B1EB3F9" w14:textId="77777777" w:rsidTr="00DC2FF8">
        <w:tc>
          <w:tcPr>
            <w:tcW w:w="1008" w:type="dxa"/>
          </w:tcPr>
          <w:p w14:paraId="50A4F0CF" w14:textId="77777777" w:rsidR="000A1B66" w:rsidRPr="008B219C" w:rsidRDefault="000A1B66" w:rsidP="00DC2FF8">
            <w:pPr>
              <w:rPr>
                <w:i/>
              </w:rPr>
            </w:pPr>
            <w:r>
              <w:rPr>
                <w:i/>
              </w:rPr>
              <w:t>Ranking</w:t>
            </w:r>
          </w:p>
        </w:tc>
        <w:tc>
          <w:tcPr>
            <w:tcW w:w="2592" w:type="dxa"/>
          </w:tcPr>
          <w:p w14:paraId="62B713E8" w14:textId="77777777" w:rsidR="000A1B66" w:rsidRPr="008B219C" w:rsidRDefault="000A1B66" w:rsidP="00DC2FF8">
            <w:pPr>
              <w:rPr>
                <w:i/>
              </w:rPr>
            </w:pPr>
            <w:r w:rsidRPr="008B219C">
              <w:rPr>
                <w:i/>
              </w:rPr>
              <w:t>All Respondents</w:t>
            </w:r>
          </w:p>
        </w:tc>
        <w:tc>
          <w:tcPr>
            <w:tcW w:w="2592" w:type="dxa"/>
          </w:tcPr>
          <w:p w14:paraId="24839BE7" w14:textId="77777777" w:rsidR="000A1B66" w:rsidRPr="008B219C" w:rsidRDefault="000A1B66" w:rsidP="00DC2FF8">
            <w:pPr>
              <w:rPr>
                <w:i/>
              </w:rPr>
            </w:pPr>
            <w:r w:rsidRPr="008B219C">
              <w:rPr>
                <w:i/>
              </w:rPr>
              <w:t>Law Enforcement</w:t>
            </w:r>
          </w:p>
        </w:tc>
        <w:tc>
          <w:tcPr>
            <w:tcW w:w="2592" w:type="dxa"/>
          </w:tcPr>
          <w:p w14:paraId="6800A09E" w14:textId="77777777" w:rsidR="000A1B66" w:rsidRPr="008B219C" w:rsidRDefault="000A1B66" w:rsidP="00DC2FF8">
            <w:pPr>
              <w:rPr>
                <w:i/>
              </w:rPr>
            </w:pPr>
            <w:r w:rsidRPr="008B219C">
              <w:rPr>
                <w:i/>
              </w:rPr>
              <w:t>Non-Law Enforcement</w:t>
            </w:r>
          </w:p>
        </w:tc>
      </w:tr>
      <w:tr w:rsidR="000A1B66" w14:paraId="17EC0293" w14:textId="77777777" w:rsidTr="00DC2FF8">
        <w:tc>
          <w:tcPr>
            <w:tcW w:w="1008" w:type="dxa"/>
            <w:vAlign w:val="center"/>
          </w:tcPr>
          <w:p w14:paraId="63EB4AD8" w14:textId="77777777" w:rsidR="000A1B66" w:rsidRPr="002F6AF8" w:rsidRDefault="000A1B66" w:rsidP="00DC2FF8">
            <w:pPr>
              <w:jc w:val="center"/>
              <w:rPr>
                <w:sz w:val="20"/>
              </w:rPr>
            </w:pPr>
            <w:r w:rsidRPr="002F6AF8">
              <w:rPr>
                <w:sz w:val="20"/>
              </w:rPr>
              <w:t>1</w:t>
            </w:r>
          </w:p>
        </w:tc>
        <w:tc>
          <w:tcPr>
            <w:tcW w:w="2592" w:type="dxa"/>
            <w:vAlign w:val="center"/>
          </w:tcPr>
          <w:p w14:paraId="54A3362E" w14:textId="77777777" w:rsidR="000A1B66" w:rsidRPr="002F6AF8" w:rsidRDefault="000A1B66" w:rsidP="00DC2FF8">
            <w:pPr>
              <w:rPr>
                <w:sz w:val="20"/>
              </w:rPr>
            </w:pPr>
            <w:r>
              <w:rPr>
                <w:sz w:val="20"/>
              </w:rPr>
              <w:t>Evaluation/assessment of mental health and co-occurring disorders (55%)</w:t>
            </w:r>
          </w:p>
        </w:tc>
        <w:tc>
          <w:tcPr>
            <w:tcW w:w="2592" w:type="dxa"/>
            <w:vAlign w:val="center"/>
          </w:tcPr>
          <w:p w14:paraId="14626A44" w14:textId="77777777" w:rsidR="000A1B66" w:rsidRPr="002F6AF8" w:rsidRDefault="000A1B66" w:rsidP="00DC2FF8">
            <w:pPr>
              <w:rPr>
                <w:sz w:val="20"/>
              </w:rPr>
            </w:pPr>
            <w:r>
              <w:rPr>
                <w:sz w:val="20"/>
              </w:rPr>
              <w:t>Training (58%)</w:t>
            </w:r>
          </w:p>
        </w:tc>
        <w:tc>
          <w:tcPr>
            <w:tcW w:w="2592" w:type="dxa"/>
            <w:vAlign w:val="center"/>
          </w:tcPr>
          <w:p w14:paraId="1E93673B" w14:textId="77777777" w:rsidR="000A1B66" w:rsidRPr="002F6AF8" w:rsidRDefault="000A1B66" w:rsidP="00DC2FF8">
            <w:pPr>
              <w:rPr>
                <w:sz w:val="20"/>
              </w:rPr>
            </w:pPr>
            <w:r>
              <w:rPr>
                <w:sz w:val="20"/>
              </w:rPr>
              <w:t>Evaluation/assessment (57%)</w:t>
            </w:r>
          </w:p>
        </w:tc>
      </w:tr>
      <w:tr w:rsidR="000A1B66" w14:paraId="6445E4E6" w14:textId="77777777" w:rsidTr="00DC2FF8">
        <w:tc>
          <w:tcPr>
            <w:tcW w:w="1008" w:type="dxa"/>
            <w:vAlign w:val="center"/>
          </w:tcPr>
          <w:p w14:paraId="542B8776" w14:textId="77777777" w:rsidR="000A1B66" w:rsidRPr="002F6AF8" w:rsidRDefault="000A1B66" w:rsidP="00DC2FF8">
            <w:pPr>
              <w:jc w:val="center"/>
              <w:rPr>
                <w:sz w:val="20"/>
              </w:rPr>
            </w:pPr>
            <w:r w:rsidRPr="002F6AF8">
              <w:rPr>
                <w:sz w:val="20"/>
              </w:rPr>
              <w:t>2</w:t>
            </w:r>
          </w:p>
        </w:tc>
        <w:tc>
          <w:tcPr>
            <w:tcW w:w="2592" w:type="dxa"/>
            <w:vAlign w:val="center"/>
          </w:tcPr>
          <w:p w14:paraId="24F88D57" w14:textId="77777777" w:rsidR="000A1B66" w:rsidRPr="002F6AF8" w:rsidRDefault="000A1B66" w:rsidP="00DC2FF8">
            <w:pPr>
              <w:rPr>
                <w:sz w:val="20"/>
              </w:rPr>
            </w:pPr>
            <w:r>
              <w:rPr>
                <w:sz w:val="20"/>
              </w:rPr>
              <w:t>CIT Training and support (48%)</w:t>
            </w:r>
          </w:p>
        </w:tc>
        <w:tc>
          <w:tcPr>
            <w:tcW w:w="2592" w:type="dxa"/>
            <w:vAlign w:val="center"/>
          </w:tcPr>
          <w:p w14:paraId="6E53036A" w14:textId="77777777" w:rsidR="000A1B66" w:rsidRPr="002F6AF8" w:rsidRDefault="000A1B66" w:rsidP="00DC2FF8">
            <w:pPr>
              <w:rPr>
                <w:sz w:val="20"/>
              </w:rPr>
            </w:pPr>
            <w:r>
              <w:rPr>
                <w:sz w:val="20"/>
              </w:rPr>
              <w:t>Evaluation/assessment (53%)</w:t>
            </w:r>
          </w:p>
        </w:tc>
        <w:tc>
          <w:tcPr>
            <w:tcW w:w="2592" w:type="dxa"/>
            <w:vAlign w:val="center"/>
          </w:tcPr>
          <w:p w14:paraId="01B6FE49" w14:textId="77777777" w:rsidR="000A1B66" w:rsidRPr="002F6AF8" w:rsidRDefault="000A1B66" w:rsidP="00DC2FF8">
            <w:pPr>
              <w:rPr>
                <w:sz w:val="20"/>
              </w:rPr>
            </w:pPr>
            <w:r>
              <w:rPr>
                <w:sz w:val="20"/>
              </w:rPr>
              <w:t>Residential inpatient behavioral health treatment (55%)</w:t>
            </w:r>
          </w:p>
        </w:tc>
      </w:tr>
      <w:tr w:rsidR="000A1B66" w14:paraId="0D9C2290" w14:textId="77777777" w:rsidTr="00DC2FF8">
        <w:tc>
          <w:tcPr>
            <w:tcW w:w="1008" w:type="dxa"/>
            <w:vAlign w:val="center"/>
          </w:tcPr>
          <w:p w14:paraId="686B361A" w14:textId="77777777" w:rsidR="000A1B66" w:rsidRPr="002F6AF8" w:rsidRDefault="000A1B66" w:rsidP="00DC2FF8">
            <w:pPr>
              <w:jc w:val="center"/>
              <w:rPr>
                <w:sz w:val="20"/>
              </w:rPr>
            </w:pPr>
            <w:r w:rsidRPr="002F6AF8">
              <w:rPr>
                <w:sz w:val="20"/>
              </w:rPr>
              <w:t>3</w:t>
            </w:r>
          </w:p>
        </w:tc>
        <w:tc>
          <w:tcPr>
            <w:tcW w:w="2592" w:type="dxa"/>
            <w:vAlign w:val="center"/>
          </w:tcPr>
          <w:p w14:paraId="74077F86" w14:textId="77777777" w:rsidR="000A1B66" w:rsidRPr="002F6AF8" w:rsidRDefault="000A1B66" w:rsidP="00DC2FF8">
            <w:pPr>
              <w:rPr>
                <w:sz w:val="20"/>
              </w:rPr>
            </w:pPr>
            <w:r>
              <w:rPr>
                <w:sz w:val="20"/>
              </w:rPr>
              <w:t>Training (39%) and residential inpatient behavioral health treatment programs (38%)</w:t>
            </w:r>
          </w:p>
        </w:tc>
        <w:tc>
          <w:tcPr>
            <w:tcW w:w="2592" w:type="dxa"/>
            <w:vAlign w:val="center"/>
          </w:tcPr>
          <w:p w14:paraId="5EB43017" w14:textId="77777777" w:rsidR="000A1B66" w:rsidRPr="002F6AF8" w:rsidRDefault="000A1B66" w:rsidP="00DC2FF8">
            <w:pPr>
              <w:rPr>
                <w:sz w:val="20"/>
              </w:rPr>
            </w:pPr>
            <w:r>
              <w:rPr>
                <w:sz w:val="20"/>
              </w:rPr>
              <w:t>CIT training/support (51%)</w:t>
            </w:r>
          </w:p>
        </w:tc>
        <w:tc>
          <w:tcPr>
            <w:tcW w:w="2592" w:type="dxa"/>
            <w:vAlign w:val="center"/>
          </w:tcPr>
          <w:p w14:paraId="41A5B84C" w14:textId="77777777" w:rsidR="000A1B66" w:rsidRPr="002F6AF8" w:rsidRDefault="000A1B66" w:rsidP="00DC2FF8">
            <w:pPr>
              <w:rPr>
                <w:sz w:val="20"/>
              </w:rPr>
            </w:pPr>
            <w:r>
              <w:rPr>
                <w:sz w:val="20"/>
              </w:rPr>
              <w:t>CIT training and support (45%)</w:t>
            </w:r>
          </w:p>
        </w:tc>
      </w:tr>
    </w:tbl>
    <w:p w14:paraId="39E6B7D1" w14:textId="77777777" w:rsidR="000A1B66" w:rsidRDefault="000A1B66" w:rsidP="000A1B66"/>
    <w:p w14:paraId="6326AE08" w14:textId="77777777" w:rsidR="000A1B66" w:rsidRDefault="000A1B66" w:rsidP="000A1B66">
      <w:r>
        <w:t>Respondent ranked evaluation/assessment of mental health and co-occurring disorders, CIT training and support, and general training among top concerns within the Mental Health Purpose Area (behavioral health treatment programs were nearly ranked third). Again, law enforcement viewed general training as a top priority.</w:t>
      </w:r>
    </w:p>
    <w:p w14:paraId="5DEF5254" w14:textId="77777777" w:rsidR="000A1B66" w:rsidRDefault="000A1B66" w:rsidP="000A1B66"/>
    <w:p w14:paraId="5F59C3C1" w14:textId="77777777" w:rsidR="00D1432E" w:rsidRDefault="00D1432E" w:rsidP="000A1B66"/>
    <w:p w14:paraId="4B8BCB22" w14:textId="77777777" w:rsidR="00D1432E" w:rsidRDefault="00D1432E" w:rsidP="000A1B66"/>
    <w:p w14:paraId="41365029" w14:textId="11B79996" w:rsidR="000A1B66" w:rsidRDefault="000A1B66" w:rsidP="000A1B66">
      <w:r>
        <w:t>Ranking Purpose Areas</w:t>
      </w:r>
    </w:p>
    <w:tbl>
      <w:tblPr>
        <w:tblStyle w:val="TableGrid"/>
        <w:tblW w:w="0" w:type="auto"/>
        <w:tblLook w:val="04A0" w:firstRow="1" w:lastRow="0" w:firstColumn="1" w:lastColumn="0" w:noHBand="0" w:noVBand="1"/>
      </w:tblPr>
      <w:tblGrid>
        <w:gridCol w:w="1480"/>
        <w:gridCol w:w="2318"/>
        <w:gridCol w:w="2749"/>
        <w:gridCol w:w="2803"/>
      </w:tblGrid>
      <w:tr w:rsidR="000A1B66" w14:paraId="2082DD07" w14:textId="77777777" w:rsidTr="00DC2FF8">
        <w:tc>
          <w:tcPr>
            <w:tcW w:w="2394" w:type="dxa"/>
          </w:tcPr>
          <w:p w14:paraId="5BAE0118" w14:textId="77777777" w:rsidR="000A1B66" w:rsidRDefault="000A1B66" w:rsidP="00DC2FF8">
            <w:r>
              <w:t>Rank</w:t>
            </w:r>
          </w:p>
        </w:tc>
        <w:tc>
          <w:tcPr>
            <w:tcW w:w="2394" w:type="dxa"/>
          </w:tcPr>
          <w:p w14:paraId="3D6CEB82" w14:textId="77777777" w:rsidR="000A1B66" w:rsidRDefault="000A1B66" w:rsidP="00DC2FF8">
            <w:r>
              <w:t>All Respondents</w:t>
            </w:r>
          </w:p>
        </w:tc>
        <w:tc>
          <w:tcPr>
            <w:tcW w:w="2394" w:type="dxa"/>
          </w:tcPr>
          <w:p w14:paraId="1693A263" w14:textId="77777777" w:rsidR="000A1B66" w:rsidRDefault="000A1B66" w:rsidP="00DC2FF8">
            <w:r>
              <w:t>Law Enforcement Only</w:t>
            </w:r>
          </w:p>
        </w:tc>
        <w:tc>
          <w:tcPr>
            <w:tcW w:w="2394" w:type="dxa"/>
          </w:tcPr>
          <w:p w14:paraId="38C9605F" w14:textId="77777777" w:rsidR="000A1B66" w:rsidRDefault="000A1B66" w:rsidP="00DC2FF8">
            <w:r>
              <w:t>Non-Law Enforcement</w:t>
            </w:r>
          </w:p>
        </w:tc>
      </w:tr>
      <w:tr w:rsidR="000A1B66" w14:paraId="57ABDEF3" w14:textId="77777777" w:rsidTr="00DC2FF8">
        <w:tc>
          <w:tcPr>
            <w:tcW w:w="2394" w:type="dxa"/>
          </w:tcPr>
          <w:p w14:paraId="57661814" w14:textId="77777777" w:rsidR="000A1B66" w:rsidRDefault="000A1B66" w:rsidP="00DC2FF8">
            <w:r>
              <w:t>1</w:t>
            </w:r>
          </w:p>
        </w:tc>
        <w:tc>
          <w:tcPr>
            <w:tcW w:w="2394" w:type="dxa"/>
          </w:tcPr>
          <w:p w14:paraId="02B69C7F" w14:textId="77777777" w:rsidR="000A1B66" w:rsidRDefault="000A1B66" w:rsidP="00DC2FF8">
            <w:r>
              <w:t>Law enforcement (60%)</w:t>
            </w:r>
          </w:p>
        </w:tc>
        <w:tc>
          <w:tcPr>
            <w:tcW w:w="2394" w:type="dxa"/>
          </w:tcPr>
          <w:p w14:paraId="329E76D3" w14:textId="77777777" w:rsidR="000A1B66" w:rsidRDefault="000A1B66" w:rsidP="00DC2FF8">
            <w:r>
              <w:t>LE Program (84%)</w:t>
            </w:r>
          </w:p>
        </w:tc>
        <w:tc>
          <w:tcPr>
            <w:tcW w:w="2394" w:type="dxa"/>
          </w:tcPr>
          <w:p w14:paraId="04414976" w14:textId="77777777" w:rsidR="000A1B66" w:rsidRDefault="000A1B66" w:rsidP="00DC2FF8">
            <w:r>
              <w:t>Mental Health (71%)</w:t>
            </w:r>
          </w:p>
        </w:tc>
      </w:tr>
      <w:tr w:rsidR="000A1B66" w14:paraId="1CBEE5D8" w14:textId="77777777" w:rsidTr="00DC2FF8">
        <w:tc>
          <w:tcPr>
            <w:tcW w:w="2394" w:type="dxa"/>
          </w:tcPr>
          <w:p w14:paraId="7794FB1F" w14:textId="77777777" w:rsidR="000A1B66" w:rsidRDefault="000A1B66" w:rsidP="00DC2FF8">
            <w:r>
              <w:t>2</w:t>
            </w:r>
          </w:p>
        </w:tc>
        <w:tc>
          <w:tcPr>
            <w:tcW w:w="2394" w:type="dxa"/>
          </w:tcPr>
          <w:p w14:paraId="2972D537" w14:textId="77777777" w:rsidR="000A1B66" w:rsidRDefault="000A1B66" w:rsidP="00DC2FF8">
            <w:r>
              <w:t>Mental health (60%)</w:t>
            </w:r>
          </w:p>
        </w:tc>
        <w:tc>
          <w:tcPr>
            <w:tcW w:w="2394" w:type="dxa"/>
          </w:tcPr>
          <w:p w14:paraId="356A69AF" w14:textId="77777777" w:rsidR="000A1B66" w:rsidRDefault="000A1B66" w:rsidP="00DC2FF8">
            <w:r>
              <w:t>Mental health (48%)</w:t>
            </w:r>
          </w:p>
        </w:tc>
        <w:tc>
          <w:tcPr>
            <w:tcW w:w="2394" w:type="dxa"/>
          </w:tcPr>
          <w:p w14:paraId="4E653C16" w14:textId="77777777" w:rsidR="000A1B66" w:rsidRDefault="000A1B66" w:rsidP="00DC2FF8">
            <w:r>
              <w:t>Prevention/education (48%)</w:t>
            </w:r>
          </w:p>
        </w:tc>
      </w:tr>
      <w:tr w:rsidR="000A1B66" w14:paraId="6796722A" w14:textId="77777777" w:rsidTr="00DC2FF8">
        <w:tc>
          <w:tcPr>
            <w:tcW w:w="2394" w:type="dxa"/>
          </w:tcPr>
          <w:p w14:paraId="62845EBE" w14:textId="77777777" w:rsidR="000A1B66" w:rsidRDefault="000A1B66" w:rsidP="00DC2FF8">
            <w:r>
              <w:t>3</w:t>
            </w:r>
          </w:p>
        </w:tc>
        <w:tc>
          <w:tcPr>
            <w:tcW w:w="2394" w:type="dxa"/>
          </w:tcPr>
          <w:p w14:paraId="0B337F9C" w14:textId="77777777" w:rsidR="000A1B66" w:rsidRDefault="000A1B66" w:rsidP="00DC2FF8">
            <w:r>
              <w:t>Prevention/education (43%)</w:t>
            </w:r>
          </w:p>
        </w:tc>
        <w:tc>
          <w:tcPr>
            <w:tcW w:w="2394" w:type="dxa"/>
          </w:tcPr>
          <w:p w14:paraId="51B33C51" w14:textId="77777777" w:rsidR="000A1B66" w:rsidRDefault="000A1B66" w:rsidP="00DC2FF8">
            <w:r>
              <w:t>Prevention and education (36%)</w:t>
            </w:r>
          </w:p>
        </w:tc>
        <w:tc>
          <w:tcPr>
            <w:tcW w:w="2394" w:type="dxa"/>
          </w:tcPr>
          <w:p w14:paraId="641DD58D" w14:textId="77777777" w:rsidR="000A1B66" w:rsidRDefault="000A1B66" w:rsidP="00DC2FF8">
            <w:r>
              <w:t>Drug treatment (41%)</w:t>
            </w:r>
          </w:p>
        </w:tc>
      </w:tr>
      <w:tr w:rsidR="000A1B66" w14:paraId="3FE20938" w14:textId="77777777" w:rsidTr="00DC2FF8">
        <w:tc>
          <w:tcPr>
            <w:tcW w:w="2394" w:type="dxa"/>
          </w:tcPr>
          <w:p w14:paraId="11A69D56" w14:textId="77777777" w:rsidR="000A1B66" w:rsidRDefault="000A1B66" w:rsidP="00DC2FF8">
            <w:r>
              <w:t>4</w:t>
            </w:r>
          </w:p>
        </w:tc>
        <w:tc>
          <w:tcPr>
            <w:tcW w:w="2394" w:type="dxa"/>
          </w:tcPr>
          <w:p w14:paraId="3FEEAB2F" w14:textId="77777777" w:rsidR="000A1B66" w:rsidRPr="00224C9A" w:rsidRDefault="000A1B66" w:rsidP="00DC2FF8">
            <w:r>
              <w:t>Drug Treatment (38%)</w:t>
            </w:r>
          </w:p>
        </w:tc>
        <w:tc>
          <w:tcPr>
            <w:tcW w:w="2394" w:type="dxa"/>
          </w:tcPr>
          <w:p w14:paraId="4229F3BB" w14:textId="77777777" w:rsidR="000A1B66" w:rsidRDefault="000A1B66" w:rsidP="00DC2FF8">
            <w:r>
              <w:t>Drug Treatment (35%)</w:t>
            </w:r>
          </w:p>
        </w:tc>
        <w:tc>
          <w:tcPr>
            <w:tcW w:w="2394" w:type="dxa"/>
          </w:tcPr>
          <w:p w14:paraId="5E78159D" w14:textId="77777777" w:rsidR="000A1B66" w:rsidRDefault="000A1B66" w:rsidP="00DC2FF8">
            <w:r>
              <w:t>Law enforcement (37%)</w:t>
            </w:r>
          </w:p>
        </w:tc>
      </w:tr>
      <w:tr w:rsidR="000A1B66" w14:paraId="585DCE49" w14:textId="77777777" w:rsidTr="00DC2FF8">
        <w:tc>
          <w:tcPr>
            <w:tcW w:w="2394" w:type="dxa"/>
          </w:tcPr>
          <w:p w14:paraId="5D88735F" w14:textId="77777777" w:rsidR="000A1B66" w:rsidRDefault="000A1B66" w:rsidP="00DC2FF8">
            <w:r>
              <w:t>5</w:t>
            </w:r>
          </w:p>
        </w:tc>
        <w:tc>
          <w:tcPr>
            <w:tcW w:w="2394" w:type="dxa"/>
          </w:tcPr>
          <w:p w14:paraId="56BEEF08" w14:textId="77777777" w:rsidR="000A1B66" w:rsidRDefault="000A1B66" w:rsidP="00DC2FF8">
            <w:r>
              <w:t>Planning, evaluation and technology (33%)</w:t>
            </w:r>
          </w:p>
        </w:tc>
        <w:tc>
          <w:tcPr>
            <w:tcW w:w="2394" w:type="dxa"/>
          </w:tcPr>
          <w:p w14:paraId="75E4F8D8" w14:textId="77777777" w:rsidR="000A1B66" w:rsidRDefault="000A1B66" w:rsidP="00DC2FF8">
            <w:r>
              <w:t>Planning, evaluation and tech (33%)</w:t>
            </w:r>
          </w:p>
        </w:tc>
        <w:tc>
          <w:tcPr>
            <w:tcW w:w="2394" w:type="dxa"/>
          </w:tcPr>
          <w:p w14:paraId="6C2B68BB" w14:textId="77777777" w:rsidR="000A1B66" w:rsidRDefault="000A1B66" w:rsidP="00DC2FF8">
            <w:r>
              <w:t>Court/prosecution/indigent defense (35%)</w:t>
            </w:r>
          </w:p>
        </w:tc>
      </w:tr>
      <w:tr w:rsidR="000A1B66" w14:paraId="25CCDC97" w14:textId="77777777" w:rsidTr="00DC2FF8">
        <w:tc>
          <w:tcPr>
            <w:tcW w:w="2394" w:type="dxa"/>
          </w:tcPr>
          <w:p w14:paraId="21BFA635" w14:textId="77777777" w:rsidR="000A1B66" w:rsidRDefault="000A1B66" w:rsidP="00DC2FF8">
            <w:r>
              <w:t>6</w:t>
            </w:r>
          </w:p>
        </w:tc>
        <w:tc>
          <w:tcPr>
            <w:tcW w:w="2394" w:type="dxa"/>
          </w:tcPr>
          <w:p w14:paraId="5057F101" w14:textId="77777777" w:rsidR="000A1B66" w:rsidRDefault="000A1B66" w:rsidP="00DC2FF8">
            <w:r>
              <w:t>Crime victim and witness (29%)</w:t>
            </w:r>
          </w:p>
        </w:tc>
        <w:tc>
          <w:tcPr>
            <w:tcW w:w="2394" w:type="dxa"/>
          </w:tcPr>
          <w:p w14:paraId="58C5A494" w14:textId="77777777" w:rsidR="000A1B66" w:rsidRDefault="000A1B66" w:rsidP="00DC2FF8">
            <w:r>
              <w:t>Crime victim and witness (25%)</w:t>
            </w:r>
          </w:p>
        </w:tc>
        <w:tc>
          <w:tcPr>
            <w:tcW w:w="2394" w:type="dxa"/>
          </w:tcPr>
          <w:p w14:paraId="3147AD37" w14:textId="77777777" w:rsidR="000A1B66" w:rsidRDefault="000A1B66" w:rsidP="00DC2FF8">
            <w:r>
              <w:t>Crime victim and witness (35%)</w:t>
            </w:r>
          </w:p>
        </w:tc>
      </w:tr>
      <w:tr w:rsidR="000A1B66" w14:paraId="01D28EAF" w14:textId="77777777" w:rsidTr="00DC2FF8">
        <w:tc>
          <w:tcPr>
            <w:tcW w:w="2394" w:type="dxa"/>
          </w:tcPr>
          <w:p w14:paraId="3F375CE1" w14:textId="77777777" w:rsidR="000A1B66" w:rsidRDefault="000A1B66" w:rsidP="00DC2FF8">
            <w:r>
              <w:t>7</w:t>
            </w:r>
          </w:p>
        </w:tc>
        <w:tc>
          <w:tcPr>
            <w:tcW w:w="2394" w:type="dxa"/>
          </w:tcPr>
          <w:p w14:paraId="49F2FD47" w14:textId="77777777" w:rsidR="000A1B66" w:rsidRDefault="000A1B66" w:rsidP="00DC2FF8">
            <w:r>
              <w:t>Court/Prosecution Indigent Defense (28%)</w:t>
            </w:r>
          </w:p>
        </w:tc>
        <w:tc>
          <w:tcPr>
            <w:tcW w:w="2394" w:type="dxa"/>
          </w:tcPr>
          <w:p w14:paraId="09EB68F5" w14:textId="77777777" w:rsidR="000A1B66" w:rsidRDefault="000A1B66" w:rsidP="00DC2FF8">
            <w:r>
              <w:t>Court/prosecution/defense (21%)</w:t>
            </w:r>
          </w:p>
        </w:tc>
        <w:tc>
          <w:tcPr>
            <w:tcW w:w="2394" w:type="dxa"/>
          </w:tcPr>
          <w:p w14:paraId="27264284" w14:textId="77777777" w:rsidR="000A1B66" w:rsidRDefault="000A1B66" w:rsidP="00DC2FF8">
            <w:r>
              <w:t>Planning, evaluation and tech (34%)</w:t>
            </w:r>
          </w:p>
        </w:tc>
      </w:tr>
      <w:tr w:rsidR="000A1B66" w14:paraId="597A127E" w14:textId="77777777" w:rsidTr="00DC2FF8">
        <w:tc>
          <w:tcPr>
            <w:tcW w:w="2394" w:type="dxa"/>
          </w:tcPr>
          <w:p w14:paraId="05B8830E" w14:textId="77777777" w:rsidR="000A1B66" w:rsidRDefault="000A1B66" w:rsidP="00DC2FF8">
            <w:r>
              <w:t>8</w:t>
            </w:r>
          </w:p>
        </w:tc>
        <w:tc>
          <w:tcPr>
            <w:tcW w:w="2394" w:type="dxa"/>
          </w:tcPr>
          <w:p w14:paraId="12885B66" w14:textId="77777777" w:rsidR="000A1B66" w:rsidRDefault="000A1B66" w:rsidP="00DC2FF8">
            <w:pPr>
              <w:tabs>
                <w:tab w:val="right" w:pos="2178"/>
              </w:tabs>
            </w:pPr>
            <w:r>
              <w:t>Corrections and community corrections (25%)</w:t>
            </w:r>
          </w:p>
        </w:tc>
        <w:tc>
          <w:tcPr>
            <w:tcW w:w="2394" w:type="dxa"/>
          </w:tcPr>
          <w:p w14:paraId="14272214" w14:textId="77777777" w:rsidR="000A1B66" w:rsidRDefault="000A1B66" w:rsidP="00DC2FF8">
            <w:r>
              <w:t>Corrections and community corrections (21%)</w:t>
            </w:r>
          </w:p>
        </w:tc>
        <w:tc>
          <w:tcPr>
            <w:tcW w:w="2394" w:type="dxa"/>
          </w:tcPr>
          <w:p w14:paraId="3C530F2D" w14:textId="77777777" w:rsidR="000A1B66" w:rsidRDefault="000A1B66" w:rsidP="00DC2FF8">
            <w:r>
              <w:t>Corrections and community corrections (29%)</w:t>
            </w:r>
          </w:p>
        </w:tc>
      </w:tr>
    </w:tbl>
    <w:p w14:paraId="3B24458A" w14:textId="77777777" w:rsidR="000A1B66" w:rsidRDefault="000A1B66" w:rsidP="000A1B66"/>
    <w:p w14:paraId="798C89D5" w14:textId="77777777" w:rsidR="000A1B66" w:rsidRDefault="000A1B66" w:rsidP="000A1B66">
      <w:r>
        <w:t>Law Enforcement, Mental Health and Prevention/Education were identified as the top 3 most important Purpose Areas. Not surprisingly, most law enforcement respondents viewed the Law Enforcement purpose area as the most critical. Most non-law enforcement respondents said Mental Health was a top concern and Drug Treatment was ranked as more significant than the Law Enforcement Purpose Area. Corrections and Community Corrections were viewed as the least important (respondents from the corrections field did not participate in the survey).</w:t>
      </w:r>
    </w:p>
    <w:p w14:paraId="1F90B441" w14:textId="77777777" w:rsidR="000A1B66" w:rsidRDefault="000A1B66" w:rsidP="000A1B66"/>
    <w:p w14:paraId="0D5FEF78" w14:textId="77777777" w:rsidR="000A1B66" w:rsidRDefault="000A1B66" w:rsidP="000A1B66">
      <w:r>
        <w:t xml:space="preserve">Note: there is an error in the survey instrument in which respondents were asked to rank Purpose Areas in order from 1 to 8 with 1 being the most important. However, the question contains checkboxes rather than ranking fields, and therefore respondents could only select rather than rank critical Purpose Areas. </w:t>
      </w:r>
    </w:p>
    <w:p w14:paraId="665A6C7B" w14:textId="77777777" w:rsidR="00B44CAD" w:rsidRDefault="00B44CAD" w:rsidP="00B44CAD"/>
    <w:p w14:paraId="360089B2" w14:textId="77777777" w:rsidR="00B44CAD" w:rsidRPr="004268D5" w:rsidRDefault="00B44CAD" w:rsidP="00B44CAD">
      <w:pPr>
        <w:rPr>
          <w:b/>
          <w:sz w:val="28"/>
          <w:szCs w:val="28"/>
        </w:rPr>
      </w:pPr>
      <w:r w:rsidRPr="004268D5">
        <w:rPr>
          <w:b/>
          <w:sz w:val="28"/>
          <w:szCs w:val="28"/>
        </w:rPr>
        <w:t xml:space="preserve">Performance Measurement Data </w:t>
      </w:r>
    </w:p>
    <w:p w14:paraId="4DAF316D" w14:textId="77777777" w:rsidR="00B44CAD" w:rsidRPr="004268D5" w:rsidRDefault="00B44CAD" w:rsidP="00B44CAD"/>
    <w:p w14:paraId="5508128A" w14:textId="726CE6F4" w:rsidR="00B44CAD" w:rsidRPr="004268D5" w:rsidRDefault="00B44CAD" w:rsidP="00B44CAD">
      <w:r w:rsidRPr="004268D5">
        <w:t xml:space="preserve">ADECA/LETS’s plan for collecting and submitting performance measurement data required by BJA will be through the </w:t>
      </w:r>
      <w:r>
        <w:t>collection</w:t>
      </w:r>
      <w:r w:rsidRPr="004268D5">
        <w:t xml:space="preserve"> of quarterly reports</w:t>
      </w:r>
      <w:r>
        <w:t xml:space="preserve"> from </w:t>
      </w:r>
      <w:r w:rsidR="002C4278">
        <w:t>subrecipients</w:t>
      </w:r>
      <w:r w:rsidRPr="004268D5">
        <w:t xml:space="preserve">. </w:t>
      </w:r>
    </w:p>
    <w:p w14:paraId="31BC2036" w14:textId="4CFCC7AB" w:rsidR="00B44CAD" w:rsidRDefault="00B44CAD" w:rsidP="00B44CAD">
      <w:p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pPr>
    </w:p>
    <w:p w14:paraId="1884CFAD" w14:textId="3A1FF08C" w:rsidR="00D1432E" w:rsidRDefault="00D1432E" w:rsidP="00B44CAD">
      <w:p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pPr>
    </w:p>
    <w:p w14:paraId="765BF662" w14:textId="41081167" w:rsidR="00D1432E" w:rsidRDefault="00D1432E" w:rsidP="00B44CAD">
      <w:p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pPr>
    </w:p>
    <w:p w14:paraId="6D90635F" w14:textId="77777777" w:rsidR="00D1432E" w:rsidRPr="004268D5" w:rsidRDefault="00D1432E" w:rsidP="00B44CAD">
      <w:p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pPr>
    </w:p>
    <w:p w14:paraId="192C768F" w14:textId="77777777" w:rsidR="006B2F11" w:rsidRDefault="00B44CAD" w:rsidP="00B44CAD">
      <w:p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rPr>
          <w:i/>
        </w:rPr>
      </w:pPr>
      <w:r w:rsidRPr="004268D5">
        <w:rPr>
          <w:i/>
        </w:rPr>
        <w:t>Financial Reporting</w:t>
      </w:r>
    </w:p>
    <w:p w14:paraId="59CD159A" w14:textId="77777777" w:rsidR="00D25887" w:rsidRPr="004268D5" w:rsidRDefault="00D25887" w:rsidP="00B44CAD">
      <w:p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rPr>
          <w:i/>
        </w:rPr>
      </w:pPr>
    </w:p>
    <w:p w14:paraId="2BC2A3FE" w14:textId="04A4E0DB" w:rsidR="00B44CAD" w:rsidRPr="004268D5" w:rsidRDefault="00B44CAD" w:rsidP="00B44CAD">
      <w:p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pPr>
      <w:proofErr w:type="gramStart"/>
      <w:r w:rsidRPr="004268D5">
        <w:t>In order to</w:t>
      </w:r>
      <w:proofErr w:type="gramEnd"/>
      <w:r w:rsidRPr="004268D5">
        <w:t xml:space="preserve"> obtain financial information concerning the use of federal funds, </w:t>
      </w:r>
      <w:r w:rsidR="002C4278">
        <w:t>subrecipients</w:t>
      </w:r>
      <w:r w:rsidRPr="004268D5">
        <w:t xml:space="preserve"> must sub</w:t>
      </w:r>
      <w:r>
        <w:t xml:space="preserve">mit timely reports for review. </w:t>
      </w:r>
      <w:r w:rsidRPr="004268D5">
        <w:t>LETS, "Subgr</w:t>
      </w:r>
      <w:r>
        <w:t>ant Fiscal Report" was</w:t>
      </w:r>
      <w:r w:rsidRPr="004268D5">
        <w:t xml:space="preserve"> established to be submitted on a quarterly basis as previously described. These reports are signed by the Financial Officers or Authorized Officials and reflect the actual receipts and expenditure of funds for the period covered. The </w:t>
      </w:r>
      <w:r w:rsidR="00AB5374">
        <w:t>report</w:t>
      </w:r>
      <w:r w:rsidRPr="004268D5">
        <w:t xml:space="preserve"> also contains the Asset Seizure and Forfeiture Report for </w:t>
      </w:r>
      <w:r w:rsidR="002C4278">
        <w:t>subrecipients</w:t>
      </w:r>
      <w:r w:rsidRPr="004268D5">
        <w:t xml:space="preserve"> needing to report such data.  </w:t>
      </w:r>
    </w:p>
    <w:p w14:paraId="651A0217" w14:textId="77777777" w:rsidR="00B44CAD" w:rsidRDefault="00B44CAD" w:rsidP="00B44CAD">
      <w:p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pPr>
    </w:p>
    <w:p w14:paraId="31CF1CC0" w14:textId="77777777" w:rsidR="00B44CAD" w:rsidRDefault="00B44CAD" w:rsidP="00B44CAD">
      <w:p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rPr>
          <w:i/>
        </w:rPr>
      </w:pPr>
      <w:r w:rsidRPr="004268D5">
        <w:rPr>
          <w:i/>
        </w:rPr>
        <w:t xml:space="preserve">Progress Reporting </w:t>
      </w:r>
    </w:p>
    <w:p w14:paraId="718EB6E8" w14:textId="77777777" w:rsidR="00D25887" w:rsidRPr="004268D5" w:rsidRDefault="00D25887" w:rsidP="00B44CAD">
      <w:p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rPr>
          <w:i/>
        </w:rPr>
      </w:pPr>
    </w:p>
    <w:p w14:paraId="0B0BD53A" w14:textId="12692CA1" w:rsidR="00B44CAD" w:rsidRPr="004268D5" w:rsidRDefault="00B44CAD" w:rsidP="00B44CAD">
      <w:r>
        <w:t xml:space="preserve">Evaluation of </w:t>
      </w:r>
      <w:r w:rsidRPr="004268D5">
        <w:t>project</w:t>
      </w:r>
      <w:r>
        <w:t>s</w:t>
      </w:r>
      <w:r w:rsidRPr="004268D5">
        <w:t xml:space="preserve"> is important. The goals and objectives of the subgrant project must always be paramount in the minds of personnel conducting the project and those</w:t>
      </w:r>
      <w:r>
        <w:t xml:space="preserve"> monitoring the progress</w:t>
      </w:r>
      <w:r w:rsidRPr="004268D5">
        <w:t xml:space="preserve">.  To enable the project to be monitored and evaluated, </w:t>
      </w:r>
      <w:r w:rsidR="002C4278">
        <w:t>subrecipients</w:t>
      </w:r>
      <w:r w:rsidRPr="004268D5">
        <w:t xml:space="preserve"> are required to submit</w:t>
      </w:r>
      <w:r>
        <w:t xml:space="preserve"> </w:t>
      </w:r>
      <w:r w:rsidRPr="004268D5">
        <w:t>a quarterly progress report. These reports are prepared according to a template developed by the LETS Division. The performance measures, shown by activity type, are applicable for most purpose areas, and are designed to incorporate the reporting requirements of the Performance Measurement Tools (PMT)</w:t>
      </w:r>
      <w:r w:rsidR="004349BC">
        <w:t>.</w:t>
      </w:r>
      <w:r w:rsidRPr="004268D5">
        <w:t xml:space="preserve"> The inte</w:t>
      </w:r>
      <w:r w:rsidR="00AB5374">
        <w:t>nt of this report</w:t>
      </w:r>
      <w:r w:rsidRPr="004268D5">
        <w:t xml:space="preserve"> is to assist the SAA, local criminal justice planners, practitioners, researchers, and evaluators in: 1) conducting evaluations and performance measurement that will address the eff</w:t>
      </w:r>
      <w:r>
        <w:t xml:space="preserve">ectiveness and efficiency of </w:t>
      </w:r>
      <w:r w:rsidRPr="004268D5">
        <w:t>projects and 2) using evaluation information to improve program planning and implementation.</w:t>
      </w:r>
    </w:p>
    <w:p w14:paraId="5FFFB7C2" w14:textId="77777777" w:rsidR="00B44CAD" w:rsidRPr="004268D5" w:rsidRDefault="00B44CAD" w:rsidP="00B44CAD"/>
    <w:p w14:paraId="70397553" w14:textId="77777777" w:rsidR="00592C69" w:rsidRDefault="00592C69" w:rsidP="00B44CAD">
      <w:pPr>
        <w:rPr>
          <w:i/>
        </w:rPr>
      </w:pPr>
    </w:p>
    <w:p w14:paraId="6756E7E9" w14:textId="4CEA8A6C" w:rsidR="00B44CAD" w:rsidRDefault="00B44CAD" w:rsidP="00B44CAD">
      <w:pPr>
        <w:rPr>
          <w:i/>
        </w:rPr>
      </w:pPr>
      <w:r w:rsidRPr="004268D5">
        <w:rPr>
          <w:i/>
        </w:rPr>
        <w:t>UCR Reporting</w:t>
      </w:r>
      <w:r w:rsidR="004A14EE">
        <w:rPr>
          <w:i/>
        </w:rPr>
        <w:t>/NIBRS</w:t>
      </w:r>
    </w:p>
    <w:p w14:paraId="0C0BD21B" w14:textId="77777777" w:rsidR="00D25887" w:rsidRPr="004268D5" w:rsidRDefault="00D25887" w:rsidP="00B44CAD">
      <w:pPr>
        <w:rPr>
          <w:i/>
        </w:rPr>
      </w:pPr>
    </w:p>
    <w:p w14:paraId="3C87FDF8" w14:textId="22D2E5B8" w:rsidR="00B44CAD" w:rsidRPr="004268D5" w:rsidRDefault="00B44CAD" w:rsidP="00B44CAD">
      <w:pPr>
        <w:pStyle w:val="Default"/>
        <w:rPr>
          <w:rFonts w:ascii="Times New Roman" w:hAnsi="Times New Roman" w:cs="Times New Roman"/>
        </w:rPr>
      </w:pPr>
      <w:proofErr w:type="gramStart"/>
      <w:r w:rsidRPr="004268D5">
        <w:rPr>
          <w:rFonts w:ascii="Times New Roman" w:hAnsi="Times New Roman" w:cs="Times New Roman"/>
        </w:rPr>
        <w:t>In order to</w:t>
      </w:r>
      <w:proofErr w:type="gramEnd"/>
      <w:r w:rsidRPr="004268D5">
        <w:rPr>
          <w:rFonts w:ascii="Times New Roman" w:hAnsi="Times New Roman" w:cs="Times New Roman"/>
        </w:rPr>
        <w:t xml:space="preserve"> ensure compliance with BJA for the collection of required performance measurement data, all </w:t>
      </w:r>
      <w:r w:rsidR="009F2606" w:rsidRPr="004268D5">
        <w:rPr>
          <w:rFonts w:ascii="Times New Roman" w:hAnsi="Times New Roman" w:cs="Times New Roman"/>
        </w:rPr>
        <w:t>sub</w:t>
      </w:r>
      <w:r w:rsidR="009F2606">
        <w:rPr>
          <w:rFonts w:ascii="Times New Roman" w:hAnsi="Times New Roman" w:cs="Times New Roman"/>
        </w:rPr>
        <w:t>recipients</w:t>
      </w:r>
      <w:r w:rsidRPr="004268D5">
        <w:rPr>
          <w:rFonts w:ascii="Times New Roman" w:hAnsi="Times New Roman" w:cs="Times New Roman"/>
        </w:rPr>
        <w:t xml:space="preserve"> must be current with all Uniform Crime Reporting (UCR) as required by the Alabama Justice Information Center (AJIC) prior to making application. </w:t>
      </w:r>
      <w:r w:rsidR="00733DEF">
        <w:rPr>
          <w:rFonts w:ascii="Times New Roman" w:hAnsi="Times New Roman" w:cs="Times New Roman"/>
        </w:rPr>
        <w:t xml:space="preserve">And </w:t>
      </w:r>
      <w:proofErr w:type="gramStart"/>
      <w:r w:rsidR="00733DEF">
        <w:rPr>
          <w:rFonts w:ascii="Times New Roman" w:hAnsi="Times New Roman" w:cs="Times New Roman"/>
        </w:rPr>
        <w:t>in order to</w:t>
      </w:r>
      <w:proofErr w:type="gramEnd"/>
      <w:r w:rsidR="00733DEF">
        <w:rPr>
          <w:rFonts w:ascii="Times New Roman" w:hAnsi="Times New Roman" w:cs="Times New Roman"/>
        </w:rPr>
        <w:t xml:space="preserve"> move towards NIBRS compliance AJIC plans on having all departments trained by FY </w:t>
      </w:r>
      <w:r w:rsidR="00DF22F7">
        <w:rPr>
          <w:rFonts w:ascii="Times New Roman" w:hAnsi="Times New Roman" w:cs="Times New Roman"/>
        </w:rPr>
        <w:t>2020</w:t>
      </w:r>
      <w:r w:rsidR="00733DEF">
        <w:rPr>
          <w:rFonts w:ascii="Times New Roman" w:hAnsi="Times New Roman" w:cs="Times New Roman"/>
        </w:rPr>
        <w:t>.</w:t>
      </w:r>
    </w:p>
    <w:p w14:paraId="4826FAB8" w14:textId="77777777" w:rsidR="0077763F" w:rsidRDefault="0077763F" w:rsidP="00B44CAD">
      <w:pPr>
        <w:rPr>
          <w:i/>
        </w:rPr>
      </w:pPr>
    </w:p>
    <w:p w14:paraId="1A6D46B4" w14:textId="77777777" w:rsidR="0077763F" w:rsidRDefault="0077763F" w:rsidP="00B44CAD">
      <w:pPr>
        <w:rPr>
          <w:i/>
        </w:rPr>
      </w:pPr>
    </w:p>
    <w:p w14:paraId="6D3E2368" w14:textId="77777777" w:rsidR="00B44CAD" w:rsidRDefault="00B44CAD" w:rsidP="00B44CAD">
      <w:pPr>
        <w:rPr>
          <w:i/>
        </w:rPr>
      </w:pPr>
      <w:r w:rsidRPr="00114EDA">
        <w:rPr>
          <w:i/>
        </w:rPr>
        <w:t>PMT Reporting</w:t>
      </w:r>
    </w:p>
    <w:p w14:paraId="03E13995" w14:textId="77777777" w:rsidR="00D25887" w:rsidRPr="00114EDA" w:rsidRDefault="00D25887" w:rsidP="00B44CAD">
      <w:pPr>
        <w:rPr>
          <w:i/>
        </w:rPr>
      </w:pPr>
    </w:p>
    <w:p w14:paraId="726AB2B6" w14:textId="767D9F09" w:rsidR="00B44CAD" w:rsidRPr="00F359C9" w:rsidRDefault="00B44CAD" w:rsidP="00B44CAD">
      <w:proofErr w:type="gramStart"/>
      <w:r w:rsidRPr="00F359C9">
        <w:t>In order to</w:t>
      </w:r>
      <w:proofErr w:type="gramEnd"/>
      <w:r w:rsidRPr="00F359C9">
        <w:t xml:space="preserve"> ensure compliance with BJA for the collection of required performance measurement data, all </w:t>
      </w:r>
      <w:r w:rsidR="002C4278">
        <w:t>subrecipients</w:t>
      </w:r>
      <w:r w:rsidRPr="00F359C9">
        <w:t xml:space="preserve"> will be required to submit </w:t>
      </w:r>
      <w:r w:rsidR="00533858">
        <w:t>reports</w:t>
      </w:r>
      <w:r w:rsidRPr="00F359C9">
        <w:t xml:space="preserve"> to ADECA/LETS with information for the BJA Performance Measurement Tool (PMT).  </w:t>
      </w:r>
    </w:p>
    <w:p w14:paraId="5B377827" w14:textId="500CE1DA" w:rsidR="00B44CAD" w:rsidRPr="004268D5" w:rsidRDefault="00B44CAD" w:rsidP="00B44CAD">
      <w:pPr>
        <w:pStyle w:val="Heading1"/>
        <w:rPr>
          <w:rFonts w:eastAsia="Calibri"/>
          <w:color w:val="auto"/>
        </w:rPr>
      </w:pPr>
      <w:bookmarkStart w:id="3" w:name="_Toc259104367"/>
      <w:bookmarkStart w:id="4" w:name="_Toc260130403"/>
      <w:r w:rsidRPr="004268D5">
        <w:rPr>
          <w:rFonts w:eastAsia="Calibri"/>
          <w:color w:val="auto"/>
        </w:rPr>
        <w:t>Subgrant Award Process</w:t>
      </w:r>
      <w:bookmarkEnd w:id="3"/>
      <w:bookmarkEnd w:id="4"/>
    </w:p>
    <w:p w14:paraId="7A09679A" w14:textId="77777777" w:rsidR="00B44CAD" w:rsidRPr="004268D5" w:rsidRDefault="00B44CAD" w:rsidP="00B44CAD">
      <w:pPr>
        <w:pStyle w:val="Heading2"/>
        <w:rPr>
          <w:rFonts w:eastAsia="Calibri"/>
          <w:color w:val="auto"/>
        </w:rPr>
      </w:pPr>
      <w:bookmarkStart w:id="5" w:name="_Toc259104369"/>
      <w:bookmarkStart w:id="6" w:name="_Toc260130405"/>
      <w:r w:rsidRPr="004268D5">
        <w:rPr>
          <w:rFonts w:eastAsia="Calibri"/>
          <w:color w:val="auto"/>
        </w:rPr>
        <w:t>Application Process</w:t>
      </w:r>
      <w:bookmarkEnd w:id="5"/>
      <w:bookmarkEnd w:id="6"/>
    </w:p>
    <w:p w14:paraId="55D88451" w14:textId="778429B1" w:rsidR="00B44CAD" w:rsidRDefault="00B44CAD" w:rsidP="00B44CAD">
      <w:pPr>
        <w:pStyle w:val="Heading3"/>
        <w:rPr>
          <w:rFonts w:ascii="Times New Roman" w:eastAsia="Calibri" w:hAnsi="Times New Roman"/>
          <w:b w:val="0"/>
          <w:i/>
          <w:u w:val="single"/>
        </w:rPr>
      </w:pPr>
      <w:bookmarkStart w:id="7" w:name="_Toc259104370"/>
      <w:bookmarkStart w:id="8" w:name="_Toc260130406"/>
      <w:r w:rsidRPr="004268D5">
        <w:rPr>
          <w:rFonts w:ascii="Times New Roman" w:eastAsia="Calibri" w:hAnsi="Times New Roman"/>
          <w:b w:val="0"/>
          <w:i/>
          <w:u w:val="single"/>
        </w:rPr>
        <w:t>Acquiring an Application</w:t>
      </w:r>
      <w:bookmarkEnd w:id="7"/>
      <w:bookmarkEnd w:id="8"/>
    </w:p>
    <w:p w14:paraId="2440601E" w14:textId="77777777" w:rsidR="007E3BA2" w:rsidRPr="007E3BA2" w:rsidRDefault="007E3BA2" w:rsidP="007E3BA2">
      <w:pPr>
        <w:rPr>
          <w:rFonts w:eastAsia="Calibri"/>
        </w:rPr>
      </w:pPr>
    </w:p>
    <w:p w14:paraId="6E58FD8D" w14:textId="4FBF79F1" w:rsidR="00B44CAD" w:rsidRPr="004268D5" w:rsidRDefault="00B44CAD" w:rsidP="00B44CAD">
      <w:pPr>
        <w:autoSpaceDE w:val="0"/>
        <w:autoSpaceDN w:val="0"/>
        <w:adjustRightInd w:val="0"/>
        <w:rPr>
          <w:rFonts w:eastAsia="Calibri"/>
          <w:color w:val="000000"/>
        </w:rPr>
      </w:pPr>
      <w:r w:rsidRPr="004268D5">
        <w:rPr>
          <w:rFonts w:eastAsia="Calibri"/>
          <w:color w:val="000000"/>
        </w:rPr>
        <w:t>Sub</w:t>
      </w:r>
      <w:r w:rsidR="007E3BA2">
        <w:rPr>
          <w:rFonts w:eastAsia="Calibri"/>
          <w:color w:val="000000"/>
        </w:rPr>
        <w:t>reci</w:t>
      </w:r>
      <w:r w:rsidR="002C4278">
        <w:rPr>
          <w:rFonts w:eastAsia="Calibri"/>
          <w:color w:val="000000"/>
        </w:rPr>
        <w:t>pients</w:t>
      </w:r>
      <w:r w:rsidRPr="004268D5">
        <w:rPr>
          <w:rFonts w:eastAsia="Calibri"/>
          <w:color w:val="000000"/>
        </w:rPr>
        <w:t xml:space="preserve"> may </w:t>
      </w:r>
      <w:r w:rsidR="00A7113E">
        <w:rPr>
          <w:rFonts w:eastAsia="Calibri"/>
          <w:color w:val="000000"/>
        </w:rPr>
        <w:t>che</w:t>
      </w:r>
      <w:r w:rsidR="00861949">
        <w:rPr>
          <w:rFonts w:eastAsia="Calibri"/>
          <w:color w:val="000000"/>
        </w:rPr>
        <w:t>c</w:t>
      </w:r>
      <w:r w:rsidR="00A7113E">
        <w:rPr>
          <w:rFonts w:eastAsia="Calibri"/>
          <w:color w:val="000000"/>
        </w:rPr>
        <w:t xml:space="preserve">k our </w:t>
      </w:r>
      <w:r w:rsidR="00861949">
        <w:rPr>
          <w:rFonts w:eastAsia="Calibri"/>
          <w:color w:val="000000"/>
        </w:rPr>
        <w:t xml:space="preserve">new </w:t>
      </w:r>
      <w:r w:rsidR="00A7113E">
        <w:rPr>
          <w:rFonts w:eastAsia="Calibri"/>
          <w:color w:val="000000"/>
        </w:rPr>
        <w:t xml:space="preserve">online Grants Management System </w:t>
      </w:r>
      <w:r w:rsidR="00861949">
        <w:rPr>
          <w:rFonts w:eastAsia="Calibri"/>
          <w:color w:val="000000"/>
        </w:rPr>
        <w:t xml:space="preserve">called </w:t>
      </w:r>
      <w:r w:rsidR="00BB59F9" w:rsidRPr="00BB59F9">
        <w:rPr>
          <w:rFonts w:eastAsia="Calibri"/>
          <w:b/>
          <w:bCs/>
          <w:i/>
          <w:iCs/>
          <w:color w:val="000000"/>
        </w:rPr>
        <w:t>Alabama Grants</w:t>
      </w:r>
      <w:r w:rsidR="00861949">
        <w:rPr>
          <w:rFonts w:eastAsia="Calibri"/>
          <w:color w:val="000000"/>
        </w:rPr>
        <w:t xml:space="preserve"> to see </w:t>
      </w:r>
      <w:r w:rsidR="00850C5B">
        <w:rPr>
          <w:rFonts w:eastAsia="Calibri"/>
          <w:color w:val="000000"/>
        </w:rPr>
        <w:t xml:space="preserve">what programs are open for applications. Once they are registered in our </w:t>
      </w:r>
      <w:proofErr w:type="gramStart"/>
      <w:r w:rsidR="00850C5B">
        <w:rPr>
          <w:rFonts w:eastAsia="Calibri"/>
          <w:color w:val="000000"/>
        </w:rPr>
        <w:t>system</w:t>
      </w:r>
      <w:proofErr w:type="gramEnd"/>
      <w:r w:rsidR="00850C5B">
        <w:rPr>
          <w:rFonts w:eastAsia="Calibri"/>
          <w:color w:val="000000"/>
        </w:rPr>
        <w:t xml:space="preserve"> they can apply for any of the programs for which they are eligible as long as it is during an open application period. </w:t>
      </w:r>
    </w:p>
    <w:p w14:paraId="461A6F83" w14:textId="09507185" w:rsidR="00B44CAD" w:rsidRDefault="00B44CAD" w:rsidP="00B44CAD">
      <w:pPr>
        <w:pStyle w:val="Heading3"/>
        <w:rPr>
          <w:rFonts w:ascii="Times New Roman" w:eastAsia="Calibri" w:hAnsi="Times New Roman"/>
          <w:b w:val="0"/>
          <w:i/>
          <w:u w:val="single"/>
        </w:rPr>
      </w:pPr>
      <w:bookmarkStart w:id="9" w:name="_Toc259104371"/>
      <w:bookmarkStart w:id="10" w:name="_Toc260130407"/>
      <w:r w:rsidRPr="004268D5">
        <w:rPr>
          <w:rFonts w:ascii="Times New Roman" w:eastAsia="Calibri" w:hAnsi="Times New Roman"/>
          <w:b w:val="0"/>
          <w:i/>
          <w:u w:val="single"/>
        </w:rPr>
        <w:t>General</w:t>
      </w:r>
      <w:bookmarkEnd w:id="9"/>
      <w:bookmarkEnd w:id="10"/>
    </w:p>
    <w:p w14:paraId="6E1FB7C8" w14:textId="77777777" w:rsidR="002774DD" w:rsidRPr="002774DD" w:rsidRDefault="002774DD" w:rsidP="002774DD">
      <w:pPr>
        <w:rPr>
          <w:rFonts w:eastAsia="Calibri"/>
        </w:rPr>
      </w:pPr>
    </w:p>
    <w:p w14:paraId="7F34BE04" w14:textId="730A3138" w:rsidR="00B44CAD" w:rsidRPr="004268D5" w:rsidRDefault="00B44CAD" w:rsidP="00B44CAD">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8D5">
        <w:t xml:space="preserve">All </w:t>
      </w:r>
      <w:r w:rsidR="002C4278">
        <w:t>subrecipients</w:t>
      </w:r>
      <w:r w:rsidRPr="004268D5">
        <w:t xml:space="preserve"> of the ADECA/LETS Division are bound by uniform award, </w:t>
      </w:r>
      <w:proofErr w:type="gramStart"/>
      <w:r w:rsidRPr="004268D5">
        <w:t>payment</w:t>
      </w:r>
      <w:proofErr w:type="gramEnd"/>
      <w:r w:rsidRPr="004268D5">
        <w:t xml:space="preserve"> and financial reporting requirements.  </w:t>
      </w:r>
      <w:r w:rsidR="000500C1">
        <w:t>LETS policy letters</w:t>
      </w:r>
      <w:r w:rsidRPr="004268D5">
        <w:t xml:space="preserve"> </w:t>
      </w:r>
      <w:r w:rsidR="000500C1">
        <w:t>d</w:t>
      </w:r>
      <w:r w:rsidRPr="004268D5">
        <w:t xml:space="preserve">escribe the procedures </w:t>
      </w:r>
      <w:r w:rsidR="00AB5374">
        <w:t>to</w:t>
      </w:r>
      <w:r w:rsidRPr="004268D5">
        <w:t xml:space="preserve"> be followed by </w:t>
      </w:r>
      <w:r w:rsidR="002C4278">
        <w:t>subrecipients</w:t>
      </w:r>
      <w:r w:rsidRPr="004268D5">
        <w:t xml:space="preserve"> </w:t>
      </w:r>
      <w:proofErr w:type="gramStart"/>
      <w:r w:rsidRPr="004268D5">
        <w:t>in order to</w:t>
      </w:r>
      <w:proofErr w:type="gramEnd"/>
      <w:r w:rsidRPr="004268D5">
        <w:t xml:space="preserve"> properly initiate subgrant activities, receive advancement and reimbursement for expenditures, and report on subgrant activities.  </w:t>
      </w:r>
    </w:p>
    <w:p w14:paraId="256A9FF5" w14:textId="77777777" w:rsidR="00B44CAD" w:rsidRPr="004268D5" w:rsidRDefault="00B44CAD" w:rsidP="00B44CAD">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6874144" w14:textId="06823E78" w:rsidR="00B44CAD" w:rsidRPr="004268D5" w:rsidRDefault="00B44CAD" w:rsidP="00B44CAD">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color w:val="000000"/>
        </w:rPr>
      </w:pPr>
      <w:r w:rsidRPr="004268D5">
        <w:t xml:space="preserve">Financial questionnaires must be completed by all </w:t>
      </w:r>
      <w:r w:rsidR="002C4278">
        <w:t>subrecipients</w:t>
      </w:r>
      <w:r w:rsidRPr="004268D5">
        <w:t xml:space="preserve">.  This includes a review of the accounting system and a determination that periodic audits are performed to ensure fiscal </w:t>
      </w:r>
      <w:r w:rsidR="00AB5374">
        <w:t>integrity. New awards are not</w:t>
      </w:r>
      <w:r w:rsidRPr="004268D5">
        <w:t xml:space="preserve"> made to applicants with unresolved audits, delinquent financial or progress reports or other unresolved issues of fiscal integrity</w:t>
      </w:r>
      <w:r w:rsidR="00AB5374">
        <w:t>,</w:t>
      </w:r>
      <w:r w:rsidRPr="004268D5">
        <w:t xml:space="preserve"> or </w:t>
      </w:r>
      <w:r>
        <w:t>those</w:t>
      </w:r>
      <w:r w:rsidRPr="004268D5">
        <w:t xml:space="preserve"> debarred or suspended from Federal financial and non-financial assistance and benefits under Fe</w:t>
      </w:r>
      <w:r w:rsidR="00AB5374">
        <w:t xml:space="preserve">deral programs and activities. </w:t>
      </w:r>
    </w:p>
    <w:p w14:paraId="0DDF7737" w14:textId="77777777" w:rsidR="00B44CAD" w:rsidRPr="004268D5" w:rsidRDefault="00B44CAD" w:rsidP="00B44CAD">
      <w:pPr>
        <w:autoSpaceDE w:val="0"/>
        <w:autoSpaceDN w:val="0"/>
        <w:adjustRightInd w:val="0"/>
        <w:rPr>
          <w:rFonts w:eastAsia="Calibri"/>
          <w:color w:val="000000"/>
        </w:rPr>
      </w:pPr>
    </w:p>
    <w:p w14:paraId="50ED4495" w14:textId="7A73BEE4" w:rsidR="00B44CAD" w:rsidRDefault="006B2F11" w:rsidP="00B44CAD">
      <w:pPr>
        <w:pStyle w:val="Heading3"/>
        <w:rPr>
          <w:rFonts w:ascii="Times New Roman" w:hAnsi="Times New Roman"/>
          <w:b w:val="0"/>
          <w:i/>
          <w:u w:val="single"/>
        </w:rPr>
      </w:pPr>
      <w:r>
        <w:rPr>
          <w:rFonts w:ascii="Times New Roman" w:hAnsi="Times New Roman"/>
          <w:b w:val="0"/>
          <w:i/>
          <w:u w:val="single"/>
        </w:rPr>
        <w:t>Request for Proposal Training and Review Process</w:t>
      </w:r>
    </w:p>
    <w:p w14:paraId="456F3B98" w14:textId="77777777" w:rsidR="00CC12D2" w:rsidRPr="00CC12D2" w:rsidRDefault="00CC12D2" w:rsidP="00CC12D2"/>
    <w:p w14:paraId="396CEC89" w14:textId="77777777" w:rsidR="00B44CAD" w:rsidRDefault="00BF7F41" w:rsidP="00B44CAD">
      <w:pPr>
        <w:autoSpaceDE w:val="0"/>
        <w:autoSpaceDN w:val="0"/>
        <w:adjustRightInd w:val="0"/>
      </w:pPr>
      <w:r>
        <w:t>For the</w:t>
      </w:r>
      <w:r w:rsidR="006B2F11">
        <w:t xml:space="preserve"> main purpose areas that Byrne JAG will focus on in the upcoming year, ADECA/LETS has developed a Request for Proposal (RFP) for each. </w:t>
      </w:r>
    </w:p>
    <w:p w14:paraId="22BB0688" w14:textId="77777777" w:rsidR="00CA4935" w:rsidRDefault="00CA4935" w:rsidP="00B44CAD">
      <w:pPr>
        <w:autoSpaceDE w:val="0"/>
        <w:autoSpaceDN w:val="0"/>
        <w:adjustRightInd w:val="0"/>
      </w:pPr>
    </w:p>
    <w:p w14:paraId="7BF6632C" w14:textId="3BF8D113" w:rsidR="00CA4935" w:rsidRDefault="00CA4935" w:rsidP="00CA4935">
      <w:pPr>
        <w:autoSpaceDE w:val="0"/>
        <w:autoSpaceDN w:val="0"/>
        <w:adjustRightInd w:val="0"/>
        <w:rPr>
          <w:bCs/>
          <w:i/>
          <w:u w:val="single"/>
        </w:rPr>
      </w:pPr>
      <w:bookmarkStart w:id="11" w:name="_Toc259104372"/>
      <w:bookmarkStart w:id="12" w:name="_Toc260130408"/>
      <w:r w:rsidRPr="00CA4935">
        <w:rPr>
          <w:bCs/>
          <w:i/>
          <w:u w:val="single"/>
        </w:rPr>
        <w:t>Receipt</w:t>
      </w:r>
      <w:bookmarkEnd w:id="11"/>
      <w:bookmarkEnd w:id="12"/>
    </w:p>
    <w:p w14:paraId="537995C6" w14:textId="77777777" w:rsidR="00CC12D2" w:rsidRDefault="00CC12D2" w:rsidP="00CA4935">
      <w:pPr>
        <w:autoSpaceDE w:val="0"/>
        <w:autoSpaceDN w:val="0"/>
        <w:adjustRightInd w:val="0"/>
        <w:rPr>
          <w:bCs/>
          <w:i/>
          <w:u w:val="single"/>
        </w:rPr>
      </w:pPr>
    </w:p>
    <w:p w14:paraId="7D9AD921" w14:textId="013D69E0" w:rsidR="00CA4935" w:rsidRPr="00CA4935" w:rsidRDefault="00CA4935" w:rsidP="00CA4935">
      <w:pPr>
        <w:autoSpaceDE w:val="0"/>
        <w:autoSpaceDN w:val="0"/>
        <w:adjustRightInd w:val="0"/>
      </w:pPr>
      <w:r w:rsidRPr="00CA4935">
        <w:t xml:space="preserve">Grant applications are initially received </w:t>
      </w:r>
      <w:r w:rsidR="001F4DEE">
        <w:t xml:space="preserve">in the </w:t>
      </w:r>
      <w:r w:rsidR="00BB59F9" w:rsidRPr="00BB59F9">
        <w:rPr>
          <w:b/>
          <w:bCs/>
          <w:i/>
          <w:iCs/>
        </w:rPr>
        <w:t>Alabama Grants</w:t>
      </w:r>
      <w:r w:rsidR="001F4DEE">
        <w:t xml:space="preserve"> system.</w:t>
      </w:r>
      <w:r w:rsidR="00033E4C">
        <w:t xml:space="preserve"> </w:t>
      </w:r>
      <w:r w:rsidRPr="00CA4935">
        <w:t>The Program Manager(s) review the application for completeness and to determine if the application is acceptable in its current form. All p</w:t>
      </w:r>
      <w:r w:rsidR="00033E4C">
        <w:t>ortions</w:t>
      </w:r>
      <w:r w:rsidRPr="00CA4935">
        <w:t xml:space="preserve"> of the application must be </w:t>
      </w:r>
      <w:r w:rsidR="00CC12D2" w:rsidRPr="00CA4935">
        <w:t>included,</w:t>
      </w:r>
      <w:r w:rsidRPr="00CA4935">
        <w:t xml:space="preserve"> and all required certifications and attachments must be properly signed and attached. </w:t>
      </w:r>
    </w:p>
    <w:p w14:paraId="3CDB1679" w14:textId="77777777" w:rsidR="00CA4935" w:rsidRPr="00CA4935" w:rsidRDefault="00CA4935" w:rsidP="00CA4935">
      <w:pPr>
        <w:autoSpaceDE w:val="0"/>
        <w:autoSpaceDN w:val="0"/>
        <w:adjustRightInd w:val="0"/>
      </w:pPr>
    </w:p>
    <w:p w14:paraId="3BF9E1D2" w14:textId="4F66E0AC" w:rsidR="00CA4935" w:rsidRDefault="00CA4935" w:rsidP="00CA4935">
      <w:pPr>
        <w:autoSpaceDE w:val="0"/>
        <w:autoSpaceDN w:val="0"/>
        <w:adjustRightInd w:val="0"/>
      </w:pPr>
      <w:r w:rsidRPr="00CA4935">
        <w:t xml:space="preserve">Once an application is deemed acceptable, the Program Manager will then </w:t>
      </w:r>
      <w:r w:rsidR="00011DB4">
        <w:t xml:space="preserve">setup the application for review by program staff and/or outside </w:t>
      </w:r>
      <w:r w:rsidR="00CC1208">
        <w:t xml:space="preserve">reviewers. </w:t>
      </w:r>
    </w:p>
    <w:p w14:paraId="7C59022A" w14:textId="77777777" w:rsidR="00CA4935" w:rsidRPr="00CA4935" w:rsidRDefault="00CA4935" w:rsidP="00CA4935">
      <w:pPr>
        <w:autoSpaceDE w:val="0"/>
        <w:autoSpaceDN w:val="0"/>
        <w:adjustRightInd w:val="0"/>
      </w:pPr>
    </w:p>
    <w:p w14:paraId="28E770BF" w14:textId="77777777" w:rsidR="005D6D4F" w:rsidRDefault="005D6D4F" w:rsidP="00CA4935">
      <w:pPr>
        <w:autoSpaceDE w:val="0"/>
        <w:autoSpaceDN w:val="0"/>
        <w:adjustRightInd w:val="0"/>
        <w:rPr>
          <w:bCs/>
          <w:i/>
          <w:u w:val="single"/>
        </w:rPr>
      </w:pPr>
      <w:bookmarkStart w:id="13" w:name="_Toc259104373"/>
      <w:bookmarkStart w:id="14" w:name="_Toc260130409"/>
    </w:p>
    <w:p w14:paraId="29478CFD" w14:textId="77777777" w:rsidR="005D6D4F" w:rsidRDefault="005D6D4F" w:rsidP="00CA4935">
      <w:pPr>
        <w:autoSpaceDE w:val="0"/>
        <w:autoSpaceDN w:val="0"/>
        <w:adjustRightInd w:val="0"/>
        <w:rPr>
          <w:bCs/>
          <w:i/>
          <w:u w:val="single"/>
        </w:rPr>
      </w:pPr>
    </w:p>
    <w:p w14:paraId="10D0B5D6" w14:textId="51DD13A5" w:rsidR="00CA4935" w:rsidRDefault="00CA4935" w:rsidP="00CA4935">
      <w:pPr>
        <w:autoSpaceDE w:val="0"/>
        <w:autoSpaceDN w:val="0"/>
        <w:adjustRightInd w:val="0"/>
        <w:rPr>
          <w:bCs/>
          <w:i/>
          <w:u w:val="single"/>
        </w:rPr>
      </w:pPr>
      <w:r w:rsidRPr="00CA4935">
        <w:rPr>
          <w:bCs/>
          <w:i/>
          <w:u w:val="single"/>
        </w:rPr>
        <w:t>Subgrant Evaluation</w:t>
      </w:r>
      <w:bookmarkEnd w:id="13"/>
      <w:bookmarkEnd w:id="14"/>
    </w:p>
    <w:p w14:paraId="31DC9F65" w14:textId="77777777" w:rsidR="00D25887" w:rsidRPr="00CA4935" w:rsidRDefault="00D25887" w:rsidP="00CA4935">
      <w:pPr>
        <w:autoSpaceDE w:val="0"/>
        <w:autoSpaceDN w:val="0"/>
        <w:adjustRightInd w:val="0"/>
        <w:rPr>
          <w:bCs/>
          <w:i/>
          <w:u w:val="single"/>
        </w:rPr>
      </w:pPr>
    </w:p>
    <w:p w14:paraId="77DBB88F" w14:textId="759F3E79" w:rsidR="00CA4935" w:rsidRDefault="00CA4935" w:rsidP="00CA4935">
      <w:pPr>
        <w:autoSpaceDE w:val="0"/>
        <w:autoSpaceDN w:val="0"/>
        <w:adjustRightInd w:val="0"/>
      </w:pPr>
      <w:r w:rsidRPr="00CA4935">
        <w:t xml:space="preserve">Once the application is </w:t>
      </w:r>
      <w:r w:rsidR="00CC1208">
        <w:t>accepted</w:t>
      </w:r>
      <w:r w:rsidRPr="00CA4935">
        <w:t xml:space="preserve"> the Program Managers will complete detailed reviews and evaluations of the application. These will include a further review of required application completeness and attachments, to determine if the activity is allowable under federal guidelines; confirm that the program defines measurable terms; confirm that the budget is appropriate for the proposed program; confirm that the budget does not contain unallowable items per federal </w:t>
      </w:r>
      <w:r w:rsidR="007B718D">
        <w:t>and state rules or regulations.</w:t>
      </w:r>
      <w:r w:rsidR="00CC1208">
        <w:t xml:space="preserve"> The application will then move through the different levels of review</w:t>
      </w:r>
      <w:r w:rsidR="002A782D">
        <w:t xml:space="preserve">. </w:t>
      </w:r>
    </w:p>
    <w:p w14:paraId="5FEAC351" w14:textId="77777777" w:rsidR="00CC12D2" w:rsidRDefault="00CC12D2" w:rsidP="00CA4935">
      <w:pPr>
        <w:autoSpaceDE w:val="0"/>
        <w:autoSpaceDN w:val="0"/>
        <w:adjustRightInd w:val="0"/>
        <w:rPr>
          <w:i/>
          <w:u w:val="single"/>
        </w:rPr>
      </w:pPr>
    </w:p>
    <w:p w14:paraId="657BF645" w14:textId="031F396D" w:rsidR="00CA4935" w:rsidRDefault="0077763F" w:rsidP="00CA4935">
      <w:pPr>
        <w:autoSpaceDE w:val="0"/>
        <w:autoSpaceDN w:val="0"/>
        <w:adjustRightInd w:val="0"/>
        <w:rPr>
          <w:i/>
          <w:u w:val="single"/>
        </w:rPr>
      </w:pPr>
      <w:r>
        <w:rPr>
          <w:i/>
          <w:u w:val="single"/>
        </w:rPr>
        <w:t xml:space="preserve">RFP Review </w:t>
      </w:r>
      <w:r w:rsidR="00CA4935" w:rsidRPr="00CA4935">
        <w:rPr>
          <w:i/>
          <w:u w:val="single"/>
        </w:rPr>
        <w:t>and Award Process</w:t>
      </w:r>
    </w:p>
    <w:p w14:paraId="5FA3914D" w14:textId="77777777" w:rsidR="00CA4935" w:rsidRDefault="00CA4935" w:rsidP="00CA4935">
      <w:pPr>
        <w:autoSpaceDE w:val="0"/>
        <w:autoSpaceDN w:val="0"/>
        <w:adjustRightInd w:val="0"/>
        <w:rPr>
          <w:i/>
          <w:u w:val="single"/>
        </w:rPr>
      </w:pPr>
    </w:p>
    <w:p w14:paraId="210A27D1" w14:textId="2DEB3F47" w:rsidR="00CA4935" w:rsidRPr="00CA4935" w:rsidRDefault="00CA4935" w:rsidP="00CA4935">
      <w:pPr>
        <w:autoSpaceDE w:val="0"/>
        <w:autoSpaceDN w:val="0"/>
        <w:adjustRightInd w:val="0"/>
      </w:pPr>
      <w:r>
        <w:t xml:space="preserve">Each </w:t>
      </w:r>
      <w:r w:rsidR="002A782D">
        <w:t>application</w:t>
      </w:r>
      <w:r>
        <w:t xml:space="preserve"> will be reviewed by </w:t>
      </w:r>
      <w:r w:rsidR="0077763F">
        <w:t>program staff</w:t>
      </w:r>
      <w:r>
        <w:t xml:space="preserve"> that have knowledge in that purpose area. </w:t>
      </w:r>
      <w:r w:rsidR="007B718D">
        <w:t xml:space="preserve">Each </w:t>
      </w:r>
      <w:r w:rsidR="002A782D">
        <w:t>application</w:t>
      </w:r>
      <w:r w:rsidR="007B718D">
        <w:t xml:space="preserve"> will have a scoring mechanism that staff will use when assessing applications. ADECA/LETS will make awards based upon the highest scoring applications. </w:t>
      </w:r>
    </w:p>
    <w:p w14:paraId="1DA64589" w14:textId="77777777" w:rsidR="00B44CAD" w:rsidRDefault="006B2F11" w:rsidP="00B44CAD">
      <w:pPr>
        <w:pStyle w:val="Heading3"/>
        <w:rPr>
          <w:rFonts w:ascii="Times New Roman" w:hAnsi="Times New Roman"/>
          <w:b w:val="0"/>
          <w:i/>
          <w:u w:val="single"/>
        </w:rPr>
      </w:pPr>
      <w:r>
        <w:rPr>
          <w:rFonts w:ascii="Times New Roman" w:hAnsi="Times New Roman"/>
          <w:b w:val="0"/>
          <w:i/>
          <w:u w:val="single"/>
        </w:rPr>
        <w:t>Applications from less than 10k funds</w:t>
      </w:r>
    </w:p>
    <w:p w14:paraId="0EC64CA0" w14:textId="77777777" w:rsidR="00592C69" w:rsidRPr="00592C69" w:rsidRDefault="00592C69" w:rsidP="00592C69"/>
    <w:p w14:paraId="68763DE9" w14:textId="77777777" w:rsidR="00B44CAD" w:rsidRPr="004268D5" w:rsidRDefault="007B718D" w:rsidP="00B44CAD">
      <w:pPr>
        <w:autoSpaceDE w:val="0"/>
        <w:autoSpaceDN w:val="0"/>
        <w:adjustRightInd w:val="0"/>
      </w:pPr>
      <w:r>
        <w:rPr>
          <w:rFonts w:eastAsia="Calibri"/>
          <w:color w:val="000000"/>
        </w:rPr>
        <w:t xml:space="preserve">This </w:t>
      </w:r>
      <w:r w:rsidR="00F26FFF">
        <w:rPr>
          <w:rFonts w:eastAsia="Calibri"/>
          <w:color w:val="000000"/>
        </w:rPr>
        <w:t xml:space="preserve">year we are distributing the less than 10k funds through an RFP process in increments of $24,000. This will allow qualified applicants to apply for larger amounts that can be used for equipment replacement/upgrades. Qualified applicants will be notified and a deadline for applications will be set. Once applications have been received they will be reviewed by program staff and scored. The highest scoring applications will be funded until all funds have been exhausted. </w:t>
      </w:r>
    </w:p>
    <w:p w14:paraId="1B31FECB" w14:textId="77777777" w:rsidR="00B44CAD" w:rsidRDefault="00B44CAD" w:rsidP="00B44CAD">
      <w:pPr>
        <w:pStyle w:val="Heading3"/>
        <w:rPr>
          <w:rFonts w:ascii="Times New Roman" w:hAnsi="Times New Roman"/>
          <w:b w:val="0"/>
          <w:i/>
          <w:u w:val="single"/>
        </w:rPr>
      </w:pPr>
      <w:bookmarkStart w:id="15" w:name="_Toc260130412"/>
      <w:r w:rsidRPr="004268D5">
        <w:rPr>
          <w:rFonts w:ascii="Times New Roman" w:hAnsi="Times New Roman"/>
          <w:b w:val="0"/>
          <w:i/>
          <w:u w:val="single"/>
        </w:rPr>
        <w:t>State Awards</w:t>
      </w:r>
      <w:bookmarkEnd w:id="15"/>
    </w:p>
    <w:p w14:paraId="680881D8" w14:textId="77777777" w:rsidR="00592C69" w:rsidRPr="00592C69" w:rsidRDefault="00592C69" w:rsidP="00592C69"/>
    <w:p w14:paraId="296A1BFA" w14:textId="77777777" w:rsidR="00B44CAD" w:rsidRPr="004268D5" w:rsidRDefault="00B44CAD" w:rsidP="00B44CAD">
      <w:pPr>
        <w:autoSpaceDE w:val="0"/>
        <w:autoSpaceDN w:val="0"/>
        <w:adjustRightInd w:val="0"/>
        <w:rPr>
          <w:rFonts w:eastAsia="Calibri"/>
          <w:color w:val="000000"/>
        </w:rPr>
      </w:pPr>
      <w:r w:rsidRPr="004268D5">
        <w:rPr>
          <w:rFonts w:eastAsia="Calibri"/>
          <w:color w:val="000000"/>
        </w:rPr>
        <w:t xml:space="preserve">All awards </w:t>
      </w:r>
      <w:r>
        <w:rPr>
          <w:rFonts w:eastAsia="Calibri"/>
          <w:color w:val="000000"/>
        </w:rPr>
        <w:t>provided to</w:t>
      </w:r>
      <w:r w:rsidRPr="004268D5">
        <w:rPr>
          <w:rFonts w:eastAsia="Calibri"/>
          <w:color w:val="000000"/>
        </w:rPr>
        <w:t xml:space="preserve"> State entities from the state </w:t>
      </w:r>
      <w:r>
        <w:rPr>
          <w:rFonts w:eastAsia="Calibri"/>
          <w:color w:val="000000"/>
        </w:rPr>
        <w:t xml:space="preserve">allocable portion of the award will be primarily based on available guidance from the Office of the </w:t>
      </w:r>
      <w:r w:rsidRPr="004268D5">
        <w:rPr>
          <w:rFonts w:eastAsia="Calibri"/>
          <w:color w:val="000000"/>
        </w:rPr>
        <w:t xml:space="preserve">Governor. Absent </w:t>
      </w:r>
      <w:r>
        <w:rPr>
          <w:rFonts w:eastAsia="Calibri"/>
          <w:color w:val="000000"/>
        </w:rPr>
        <w:t xml:space="preserve">specific priority guidance from the Governor’s Office, funding recommendations are also based on their </w:t>
      </w:r>
      <w:r w:rsidRPr="00BA0474">
        <w:rPr>
          <w:rFonts w:eastAsia="Calibri"/>
          <w:color w:val="000000"/>
        </w:rPr>
        <w:t>nexus</w:t>
      </w:r>
      <w:r>
        <w:rPr>
          <w:rFonts w:eastAsia="Calibri"/>
          <w:color w:val="000000"/>
        </w:rPr>
        <w:t xml:space="preserve"> to establish</w:t>
      </w:r>
      <w:r w:rsidR="003B6397">
        <w:rPr>
          <w:rFonts w:eastAsia="Calibri"/>
          <w:color w:val="000000"/>
        </w:rPr>
        <w:t>ed</w:t>
      </w:r>
      <w:r>
        <w:rPr>
          <w:rFonts w:eastAsia="Calibri"/>
          <w:color w:val="000000"/>
        </w:rPr>
        <w:t xml:space="preserve"> funding priorities and how the projects support those priorities. </w:t>
      </w:r>
      <w:r w:rsidRPr="004268D5">
        <w:rPr>
          <w:rFonts w:eastAsia="Calibri"/>
          <w:color w:val="000000"/>
        </w:rPr>
        <w:t xml:space="preserve">State entities making </w:t>
      </w:r>
      <w:r>
        <w:rPr>
          <w:rFonts w:eastAsia="Calibri"/>
          <w:color w:val="000000"/>
        </w:rPr>
        <w:t>a</w:t>
      </w:r>
      <w:r w:rsidRPr="004268D5">
        <w:rPr>
          <w:rFonts w:eastAsia="Calibri"/>
          <w:color w:val="000000"/>
        </w:rPr>
        <w:t xml:space="preserve">pplication are subject to the same scoring guidelines as the Non-Formula Awards. </w:t>
      </w:r>
    </w:p>
    <w:p w14:paraId="66C01DDC" w14:textId="77777777" w:rsidR="00B44CAD" w:rsidRPr="004268D5" w:rsidRDefault="00B44CAD" w:rsidP="00B44CAD">
      <w:pPr>
        <w:autoSpaceDE w:val="0"/>
        <w:autoSpaceDN w:val="0"/>
        <w:adjustRightInd w:val="0"/>
        <w:rPr>
          <w:rFonts w:eastAsia="Calibri"/>
          <w:color w:val="000000"/>
        </w:rPr>
      </w:pPr>
    </w:p>
    <w:p w14:paraId="5279D5C2" w14:textId="77777777" w:rsidR="00B44CAD" w:rsidRDefault="00B44CAD" w:rsidP="00B44CAD">
      <w:pPr>
        <w:pStyle w:val="Heading3"/>
        <w:rPr>
          <w:rFonts w:ascii="Times New Roman" w:eastAsia="Calibri" w:hAnsi="Times New Roman"/>
          <w:b w:val="0"/>
          <w:i/>
          <w:u w:val="single"/>
        </w:rPr>
      </w:pPr>
      <w:bookmarkStart w:id="16" w:name="_Toc260130414"/>
      <w:r w:rsidRPr="004268D5">
        <w:rPr>
          <w:rFonts w:ascii="Times New Roman" w:eastAsia="Calibri" w:hAnsi="Times New Roman"/>
          <w:b w:val="0"/>
          <w:i/>
          <w:u w:val="single"/>
        </w:rPr>
        <w:t>Approval Routing</w:t>
      </w:r>
      <w:bookmarkEnd w:id="16"/>
      <w:r w:rsidRPr="004268D5">
        <w:rPr>
          <w:rFonts w:ascii="Times New Roman" w:eastAsia="Calibri" w:hAnsi="Times New Roman"/>
          <w:b w:val="0"/>
          <w:i/>
          <w:u w:val="single"/>
        </w:rPr>
        <w:t xml:space="preserve"> </w:t>
      </w:r>
    </w:p>
    <w:p w14:paraId="270A6478" w14:textId="77777777" w:rsidR="00D25887" w:rsidRPr="00D25887" w:rsidRDefault="00D25887" w:rsidP="00D25887">
      <w:pPr>
        <w:rPr>
          <w:rFonts w:eastAsia="Calibri"/>
        </w:rPr>
      </w:pPr>
    </w:p>
    <w:p w14:paraId="54BD2623" w14:textId="670BEFE7" w:rsidR="00B44CAD" w:rsidRPr="004268D5" w:rsidRDefault="00B44CAD" w:rsidP="00B44CAD">
      <w:pPr>
        <w:autoSpaceDE w:val="0"/>
        <w:autoSpaceDN w:val="0"/>
        <w:adjustRightInd w:val="0"/>
        <w:rPr>
          <w:rFonts w:eastAsia="Calibri"/>
          <w:color w:val="000000"/>
        </w:rPr>
      </w:pPr>
      <w:r w:rsidRPr="004268D5">
        <w:rPr>
          <w:rFonts w:eastAsia="Calibri"/>
          <w:color w:val="000000"/>
        </w:rPr>
        <w:t>Once the application is deemed complete and has been evaluated</w:t>
      </w:r>
      <w:r w:rsidR="003B6397">
        <w:rPr>
          <w:rFonts w:eastAsia="Calibri"/>
          <w:color w:val="000000"/>
        </w:rPr>
        <w:t>,</w:t>
      </w:r>
      <w:r w:rsidRPr="004268D5">
        <w:rPr>
          <w:rFonts w:eastAsia="Calibri"/>
          <w:color w:val="000000"/>
        </w:rPr>
        <w:t xml:space="preserve"> it is routed </w:t>
      </w:r>
      <w:r w:rsidR="00CC12D2">
        <w:rPr>
          <w:rFonts w:eastAsia="Calibri"/>
          <w:color w:val="000000"/>
        </w:rPr>
        <w:t>through</w:t>
      </w:r>
      <w:r w:rsidR="00FB7039">
        <w:rPr>
          <w:rFonts w:eastAsia="Calibri"/>
          <w:color w:val="000000"/>
        </w:rPr>
        <w:t xml:space="preserve"> the different levels of </w:t>
      </w:r>
      <w:r w:rsidR="00CC12D2">
        <w:rPr>
          <w:rFonts w:eastAsia="Calibri"/>
          <w:color w:val="000000"/>
        </w:rPr>
        <w:t>supervision</w:t>
      </w:r>
      <w:r w:rsidR="00FB7039">
        <w:rPr>
          <w:rFonts w:eastAsia="Calibri"/>
          <w:color w:val="000000"/>
        </w:rPr>
        <w:t xml:space="preserve"> which eventually reaches the division chiefs office</w:t>
      </w:r>
      <w:r>
        <w:rPr>
          <w:rFonts w:eastAsia="Calibri"/>
          <w:color w:val="000000"/>
        </w:rPr>
        <w:t>.</w:t>
      </w:r>
      <w:r w:rsidRPr="004268D5">
        <w:rPr>
          <w:rFonts w:eastAsia="Calibri"/>
          <w:color w:val="000000"/>
        </w:rPr>
        <w:t xml:space="preserve"> </w:t>
      </w:r>
      <w:r>
        <w:rPr>
          <w:rFonts w:eastAsia="Calibri"/>
          <w:color w:val="000000"/>
        </w:rPr>
        <w:t>From</w:t>
      </w:r>
      <w:r w:rsidRPr="004268D5">
        <w:rPr>
          <w:rFonts w:eastAsia="Calibri"/>
          <w:color w:val="000000"/>
        </w:rPr>
        <w:t xml:space="preserve"> there</w:t>
      </w:r>
      <w:r w:rsidR="00FB7039">
        <w:rPr>
          <w:rFonts w:eastAsia="Calibri"/>
          <w:color w:val="000000"/>
        </w:rPr>
        <w:t xml:space="preserve"> it</w:t>
      </w:r>
      <w:r w:rsidR="00A93639">
        <w:rPr>
          <w:rFonts w:eastAsia="Calibri"/>
          <w:color w:val="000000"/>
        </w:rPr>
        <w:t>’</w:t>
      </w:r>
      <w:r w:rsidR="00FB7039">
        <w:rPr>
          <w:rFonts w:eastAsia="Calibri"/>
          <w:color w:val="000000"/>
        </w:rPr>
        <w:t>s sent</w:t>
      </w:r>
      <w:r w:rsidRPr="004268D5">
        <w:rPr>
          <w:rFonts w:eastAsia="Calibri"/>
          <w:color w:val="000000"/>
        </w:rPr>
        <w:t xml:space="preserve"> to Financial Services, to </w:t>
      </w:r>
      <w:r>
        <w:rPr>
          <w:rFonts w:eastAsia="Calibri"/>
          <w:color w:val="000000"/>
        </w:rPr>
        <w:t xml:space="preserve">the Legal Section, to the Audit </w:t>
      </w:r>
      <w:r w:rsidRPr="004268D5">
        <w:rPr>
          <w:rFonts w:eastAsia="Calibri"/>
          <w:color w:val="000000"/>
        </w:rPr>
        <w:t>Section and finally the Director of ADECA for review and concurrence from each. Anyone along t</w:t>
      </w:r>
      <w:r>
        <w:rPr>
          <w:rFonts w:eastAsia="Calibri"/>
          <w:color w:val="000000"/>
        </w:rPr>
        <w:t xml:space="preserve">his process is empowered to request additional information or clarification of </w:t>
      </w:r>
      <w:r w:rsidRPr="004268D5">
        <w:rPr>
          <w:rFonts w:eastAsia="Calibri"/>
          <w:color w:val="000000"/>
        </w:rPr>
        <w:t xml:space="preserve">the application. </w:t>
      </w:r>
    </w:p>
    <w:p w14:paraId="776CDEAF" w14:textId="77777777" w:rsidR="00B44CAD" w:rsidRPr="004268D5" w:rsidRDefault="00B44CAD" w:rsidP="00B44CAD">
      <w:pPr>
        <w:autoSpaceDE w:val="0"/>
        <w:autoSpaceDN w:val="0"/>
        <w:adjustRightInd w:val="0"/>
        <w:rPr>
          <w:rFonts w:eastAsia="Calibri"/>
          <w:color w:val="000000"/>
        </w:rPr>
      </w:pPr>
    </w:p>
    <w:p w14:paraId="26A7D4D7" w14:textId="0B17CF9E" w:rsidR="00B44CAD" w:rsidRPr="004268D5" w:rsidRDefault="00B44CAD" w:rsidP="00B44CAD">
      <w:pPr>
        <w:autoSpaceDE w:val="0"/>
        <w:autoSpaceDN w:val="0"/>
        <w:adjustRightInd w:val="0"/>
        <w:rPr>
          <w:rFonts w:eastAsia="Calibri"/>
          <w:color w:val="000000"/>
        </w:rPr>
      </w:pPr>
      <w:r w:rsidRPr="004268D5">
        <w:rPr>
          <w:rFonts w:eastAsia="Calibri"/>
          <w:color w:val="000000"/>
        </w:rPr>
        <w:t>Once the application has completed this process it is forwarded to the Governor’s Of</w:t>
      </w:r>
      <w:r w:rsidR="003B6397">
        <w:rPr>
          <w:rFonts w:eastAsia="Calibri"/>
          <w:color w:val="000000"/>
        </w:rPr>
        <w:t>fice for final approval</w:t>
      </w:r>
      <w:r w:rsidRPr="004268D5">
        <w:rPr>
          <w:rFonts w:eastAsia="Calibri"/>
          <w:color w:val="000000"/>
        </w:rPr>
        <w:t>. Once approved</w:t>
      </w:r>
      <w:r>
        <w:rPr>
          <w:rFonts w:eastAsia="Calibri"/>
          <w:color w:val="000000"/>
        </w:rPr>
        <w:t>,</w:t>
      </w:r>
      <w:r w:rsidRPr="004268D5">
        <w:rPr>
          <w:rFonts w:eastAsia="Calibri"/>
          <w:color w:val="000000"/>
        </w:rPr>
        <w:t xml:space="preserve"> the award documents are </w:t>
      </w:r>
      <w:r w:rsidR="00CC12D2">
        <w:rPr>
          <w:rFonts w:eastAsia="Calibri"/>
          <w:color w:val="000000"/>
        </w:rPr>
        <w:t>sent</w:t>
      </w:r>
      <w:r w:rsidRPr="004268D5">
        <w:rPr>
          <w:rFonts w:eastAsia="Calibri"/>
          <w:color w:val="000000"/>
        </w:rPr>
        <w:t xml:space="preserve"> to the </w:t>
      </w:r>
      <w:r w:rsidR="002C4278">
        <w:rPr>
          <w:rFonts w:eastAsia="Calibri"/>
          <w:color w:val="000000"/>
        </w:rPr>
        <w:t>subrecipient</w:t>
      </w:r>
      <w:r w:rsidRPr="004268D5">
        <w:rPr>
          <w:rFonts w:eastAsia="Calibri"/>
          <w:color w:val="000000"/>
        </w:rPr>
        <w:t xml:space="preserve"> for acceptance of the award and signature. </w:t>
      </w:r>
    </w:p>
    <w:p w14:paraId="0F9CF9ED" w14:textId="77777777" w:rsidR="00B44CAD" w:rsidRDefault="00B44CAD" w:rsidP="00B44CAD">
      <w:pPr>
        <w:autoSpaceDE w:val="0"/>
        <w:autoSpaceDN w:val="0"/>
        <w:adjustRightInd w:val="0"/>
        <w:rPr>
          <w:rFonts w:eastAsia="Calibri"/>
          <w:color w:val="000000"/>
        </w:rPr>
      </w:pPr>
    </w:p>
    <w:p w14:paraId="142CA6F5" w14:textId="77777777" w:rsidR="00B44CAD" w:rsidRPr="004268D5" w:rsidRDefault="00B44CAD" w:rsidP="00B44CAD">
      <w:pPr>
        <w:autoSpaceDE w:val="0"/>
        <w:autoSpaceDN w:val="0"/>
        <w:adjustRightInd w:val="0"/>
        <w:rPr>
          <w:b/>
          <w:color w:val="000000"/>
          <w:sz w:val="28"/>
          <w:szCs w:val="28"/>
        </w:rPr>
      </w:pPr>
      <w:r w:rsidRPr="004268D5">
        <w:rPr>
          <w:b/>
          <w:color w:val="000000"/>
          <w:sz w:val="28"/>
          <w:szCs w:val="28"/>
        </w:rPr>
        <w:t>Time Line for Funding</w:t>
      </w:r>
    </w:p>
    <w:p w14:paraId="100DBEC7" w14:textId="77777777" w:rsidR="00C33739" w:rsidRDefault="00C33739" w:rsidP="00B44CAD">
      <w:pPr>
        <w:autoSpaceDE w:val="0"/>
        <w:autoSpaceDN w:val="0"/>
        <w:adjustRightInd w:val="0"/>
        <w:rPr>
          <w:color w:val="000000"/>
        </w:rPr>
      </w:pPr>
    </w:p>
    <w:p w14:paraId="7A5C8D7D" w14:textId="77777777" w:rsidR="00B44CAD" w:rsidRPr="006573C1" w:rsidRDefault="00B44CAD" w:rsidP="00B44CAD">
      <w:pPr>
        <w:autoSpaceDE w:val="0"/>
        <w:autoSpaceDN w:val="0"/>
        <w:adjustRightInd w:val="0"/>
        <w:rPr>
          <w:color w:val="000000"/>
        </w:rPr>
      </w:pPr>
      <w:r>
        <w:rPr>
          <w:color w:val="000000"/>
        </w:rPr>
        <w:t>ADECA /LETS requests annual</w:t>
      </w:r>
      <w:r w:rsidRPr="004268D5">
        <w:rPr>
          <w:color w:val="000000"/>
        </w:rPr>
        <w:t xml:space="preserve"> grant applications in </w:t>
      </w:r>
      <w:r w:rsidR="00CA4935">
        <w:rPr>
          <w:color w:val="000000"/>
        </w:rPr>
        <w:t>June/July</w:t>
      </w:r>
      <w:r>
        <w:rPr>
          <w:color w:val="000000"/>
        </w:rPr>
        <w:t xml:space="preserve"> </w:t>
      </w:r>
      <w:r w:rsidRPr="004268D5">
        <w:rPr>
          <w:color w:val="000000"/>
        </w:rPr>
        <w:t>and will accept grant applications anytime throughout the year for State entities and/or local law enforcement entities making application for “Less than $10K Funding”. With the exception of the “Less than $10K Awards” all grants are made for a period of twelve months. Reports are required on the 15</w:t>
      </w:r>
      <w:r w:rsidRPr="004268D5">
        <w:rPr>
          <w:color w:val="000000"/>
          <w:vertAlign w:val="superscript"/>
        </w:rPr>
        <w:t>th</w:t>
      </w:r>
      <w:r w:rsidRPr="004268D5">
        <w:rPr>
          <w:color w:val="000000"/>
        </w:rPr>
        <w:t xml:space="preserve"> day of the month following the end of the quarter. </w:t>
      </w:r>
      <w:r>
        <w:rPr>
          <w:color w:val="000000"/>
        </w:rPr>
        <w:t>Annual grants are funded to begin</w:t>
      </w:r>
      <w:r w:rsidRPr="004268D5">
        <w:rPr>
          <w:color w:val="000000"/>
        </w:rPr>
        <w:t xml:space="preserve"> on October 1 with application being accepted beginning in August. </w:t>
      </w:r>
    </w:p>
    <w:p w14:paraId="4BACF343" w14:textId="77777777" w:rsidR="00B44CAD" w:rsidRPr="004268D5" w:rsidRDefault="00B44CAD" w:rsidP="00B44CAD">
      <w:pPr>
        <w:autoSpaceDE w:val="0"/>
        <w:autoSpaceDN w:val="0"/>
        <w:adjustRightInd w:val="0"/>
        <w:rPr>
          <w:rFonts w:eastAsia="Calibri"/>
          <w:color w:val="000000"/>
        </w:rPr>
      </w:pPr>
    </w:p>
    <w:p w14:paraId="44FD3F1C" w14:textId="07279B57" w:rsidR="00B44CAD" w:rsidRPr="004268D5" w:rsidRDefault="000A01FD" w:rsidP="00B44CAD">
      <w:pPr>
        <w:autoSpaceDE w:val="0"/>
        <w:autoSpaceDN w:val="0"/>
        <w:adjustRightInd w:val="0"/>
        <w:rPr>
          <w:rFonts w:eastAsia="Calibri"/>
          <w:color w:val="000000"/>
        </w:rPr>
      </w:pPr>
      <w:r>
        <w:rPr>
          <w:rFonts w:eastAsia="Calibri"/>
          <w:color w:val="000000"/>
        </w:rPr>
        <w:t>Ju</w:t>
      </w:r>
      <w:r w:rsidR="006A09B6">
        <w:rPr>
          <w:rFonts w:eastAsia="Calibri"/>
          <w:color w:val="000000"/>
        </w:rPr>
        <w:t>l</w:t>
      </w:r>
      <w:r w:rsidR="00B44CAD" w:rsidRPr="004268D5">
        <w:rPr>
          <w:rFonts w:eastAsia="Calibri"/>
          <w:color w:val="000000"/>
        </w:rPr>
        <w:t xml:space="preserve"> – </w:t>
      </w:r>
      <w:r w:rsidR="00DF22F7">
        <w:rPr>
          <w:rFonts w:eastAsia="Calibri"/>
          <w:color w:val="000000"/>
        </w:rPr>
        <w:t>202</w:t>
      </w:r>
      <w:r w:rsidR="006A09B6">
        <w:rPr>
          <w:rFonts w:eastAsia="Calibri"/>
          <w:color w:val="000000"/>
        </w:rPr>
        <w:t>1</w:t>
      </w:r>
      <w:r w:rsidR="00B44CAD" w:rsidRPr="004268D5">
        <w:rPr>
          <w:rFonts w:eastAsia="Calibri"/>
          <w:color w:val="000000"/>
        </w:rPr>
        <w:tab/>
      </w:r>
      <w:r w:rsidR="00B44CAD" w:rsidRPr="004268D5">
        <w:rPr>
          <w:rFonts w:eastAsia="Calibri"/>
          <w:color w:val="000000"/>
        </w:rPr>
        <w:tab/>
      </w:r>
      <w:r w:rsidR="00F26FFF">
        <w:rPr>
          <w:rFonts w:eastAsia="Calibri"/>
          <w:color w:val="000000"/>
        </w:rPr>
        <w:t>Prepare and submit federal application</w:t>
      </w:r>
    </w:p>
    <w:p w14:paraId="426AF2FB" w14:textId="4763C344" w:rsidR="00B44CAD" w:rsidRPr="004268D5" w:rsidRDefault="00B44CAD" w:rsidP="00B44CAD">
      <w:pPr>
        <w:autoSpaceDE w:val="0"/>
        <w:autoSpaceDN w:val="0"/>
        <w:adjustRightInd w:val="0"/>
        <w:rPr>
          <w:rFonts w:eastAsia="Calibri"/>
          <w:color w:val="000000"/>
        </w:rPr>
      </w:pPr>
      <w:r w:rsidRPr="004268D5">
        <w:rPr>
          <w:rFonts w:eastAsia="Calibri"/>
          <w:color w:val="000000"/>
        </w:rPr>
        <w:t xml:space="preserve">Aug – Sep </w:t>
      </w:r>
      <w:r w:rsidR="00DF22F7">
        <w:rPr>
          <w:rFonts w:eastAsia="Calibri"/>
          <w:color w:val="000000"/>
        </w:rPr>
        <w:t>202</w:t>
      </w:r>
      <w:r w:rsidR="006A09B6">
        <w:rPr>
          <w:rFonts w:eastAsia="Calibri"/>
          <w:color w:val="000000"/>
        </w:rPr>
        <w:t>1</w:t>
      </w:r>
      <w:r w:rsidRPr="004268D5">
        <w:rPr>
          <w:rFonts w:eastAsia="Calibri"/>
          <w:color w:val="000000"/>
        </w:rPr>
        <w:tab/>
      </w:r>
      <w:r>
        <w:rPr>
          <w:rFonts w:eastAsia="Calibri"/>
          <w:color w:val="000000"/>
        </w:rPr>
        <w:t>Request</w:t>
      </w:r>
      <w:r w:rsidRPr="004268D5">
        <w:rPr>
          <w:rFonts w:eastAsia="Calibri"/>
          <w:color w:val="000000"/>
        </w:rPr>
        <w:t xml:space="preserve"> subgrant applications for State projects and</w:t>
      </w:r>
    </w:p>
    <w:p w14:paraId="1BF870E9" w14:textId="77777777" w:rsidR="00B44CAD" w:rsidRPr="004268D5" w:rsidRDefault="00B44CAD" w:rsidP="00B44CAD">
      <w:pPr>
        <w:autoSpaceDE w:val="0"/>
        <w:autoSpaceDN w:val="0"/>
        <w:adjustRightInd w:val="0"/>
        <w:ind w:left="1440" w:firstLine="720"/>
        <w:rPr>
          <w:rFonts w:eastAsia="Calibri"/>
          <w:color w:val="000000"/>
        </w:rPr>
      </w:pPr>
      <w:r>
        <w:rPr>
          <w:rFonts w:eastAsia="Calibri"/>
          <w:color w:val="000000"/>
        </w:rPr>
        <w:t>annual</w:t>
      </w:r>
      <w:r w:rsidRPr="004268D5">
        <w:rPr>
          <w:rFonts w:eastAsia="Calibri"/>
          <w:color w:val="000000"/>
        </w:rPr>
        <w:t xml:space="preserve"> grants; Subgrant applications </w:t>
      </w:r>
      <w:r>
        <w:rPr>
          <w:rFonts w:eastAsia="Calibri"/>
          <w:color w:val="000000"/>
        </w:rPr>
        <w:t>a</w:t>
      </w:r>
      <w:r w:rsidRPr="004268D5">
        <w:rPr>
          <w:rFonts w:eastAsia="Calibri"/>
          <w:color w:val="000000"/>
        </w:rPr>
        <w:t xml:space="preserve">wards for </w:t>
      </w:r>
      <w:r>
        <w:rPr>
          <w:rFonts w:eastAsia="Calibri"/>
          <w:color w:val="000000"/>
        </w:rPr>
        <w:t>annual</w:t>
      </w:r>
    </w:p>
    <w:p w14:paraId="25105970" w14:textId="77777777" w:rsidR="00B44CAD" w:rsidRPr="004268D5" w:rsidRDefault="00B44CAD" w:rsidP="00B44CAD">
      <w:pPr>
        <w:autoSpaceDE w:val="0"/>
        <w:autoSpaceDN w:val="0"/>
        <w:adjustRightInd w:val="0"/>
        <w:ind w:left="1440" w:firstLine="720"/>
        <w:rPr>
          <w:rFonts w:eastAsia="Calibri"/>
          <w:color w:val="000000"/>
        </w:rPr>
      </w:pPr>
      <w:r w:rsidRPr="004268D5">
        <w:rPr>
          <w:rFonts w:eastAsia="Calibri"/>
          <w:color w:val="000000"/>
        </w:rPr>
        <w:t>grants calculated and awarded</w:t>
      </w:r>
    </w:p>
    <w:p w14:paraId="7F43D967" w14:textId="0D5EB928" w:rsidR="00B44CAD" w:rsidRPr="004268D5" w:rsidRDefault="00B44CAD" w:rsidP="00B44CAD">
      <w:pPr>
        <w:autoSpaceDE w:val="0"/>
        <w:autoSpaceDN w:val="0"/>
        <w:adjustRightInd w:val="0"/>
        <w:rPr>
          <w:rFonts w:eastAsia="Calibri"/>
          <w:color w:val="000000"/>
        </w:rPr>
      </w:pPr>
      <w:r w:rsidRPr="004268D5">
        <w:rPr>
          <w:rFonts w:eastAsia="Calibri"/>
          <w:color w:val="000000"/>
        </w:rPr>
        <w:t xml:space="preserve">Oct – </w:t>
      </w:r>
      <w:r w:rsidR="00DF22F7">
        <w:rPr>
          <w:rFonts w:eastAsia="Calibri"/>
          <w:color w:val="000000"/>
        </w:rPr>
        <w:t>202</w:t>
      </w:r>
      <w:r w:rsidR="006A09B6">
        <w:rPr>
          <w:rFonts w:eastAsia="Calibri"/>
          <w:color w:val="000000"/>
        </w:rPr>
        <w:t>1</w:t>
      </w:r>
      <w:r w:rsidRPr="004268D5">
        <w:rPr>
          <w:rFonts w:eastAsia="Calibri"/>
          <w:color w:val="000000"/>
        </w:rPr>
        <w:tab/>
      </w:r>
      <w:r w:rsidRPr="004268D5">
        <w:rPr>
          <w:rFonts w:eastAsia="Calibri"/>
          <w:color w:val="000000"/>
        </w:rPr>
        <w:tab/>
      </w:r>
      <w:r w:rsidR="00592C69">
        <w:rPr>
          <w:rFonts w:eastAsia="Calibri"/>
          <w:color w:val="000000"/>
        </w:rPr>
        <w:t>A</w:t>
      </w:r>
      <w:r w:rsidRPr="004268D5">
        <w:rPr>
          <w:rFonts w:eastAsia="Calibri"/>
          <w:color w:val="000000"/>
        </w:rPr>
        <w:t>n</w:t>
      </w:r>
      <w:r>
        <w:rPr>
          <w:rFonts w:eastAsia="Calibri"/>
          <w:color w:val="000000"/>
        </w:rPr>
        <w:t>nual</w:t>
      </w:r>
      <w:r w:rsidRPr="004268D5">
        <w:rPr>
          <w:rFonts w:eastAsia="Calibri"/>
          <w:color w:val="000000"/>
        </w:rPr>
        <w:t xml:space="preserve"> subgrant awards begin (State and Local) </w:t>
      </w:r>
    </w:p>
    <w:p w14:paraId="68F83BB4" w14:textId="2DA7F8D9" w:rsidR="00B44CAD" w:rsidRPr="004268D5" w:rsidRDefault="00B44CAD" w:rsidP="00B44CAD">
      <w:pPr>
        <w:autoSpaceDE w:val="0"/>
        <w:autoSpaceDN w:val="0"/>
        <w:adjustRightInd w:val="0"/>
        <w:rPr>
          <w:rFonts w:eastAsia="Calibri"/>
          <w:color w:val="000000"/>
        </w:rPr>
      </w:pPr>
      <w:r w:rsidRPr="004268D5">
        <w:rPr>
          <w:rFonts w:eastAsia="Calibri"/>
          <w:color w:val="000000"/>
        </w:rPr>
        <w:t xml:space="preserve">Nov – </w:t>
      </w:r>
      <w:proofErr w:type="gramStart"/>
      <w:r w:rsidR="00DF22F7">
        <w:rPr>
          <w:rFonts w:eastAsia="Calibri"/>
          <w:color w:val="000000"/>
        </w:rPr>
        <w:t>202</w:t>
      </w:r>
      <w:r w:rsidR="006A09B6">
        <w:rPr>
          <w:rFonts w:eastAsia="Calibri"/>
          <w:color w:val="000000"/>
        </w:rPr>
        <w:t>1</w:t>
      </w:r>
      <w:r w:rsidR="00593736">
        <w:rPr>
          <w:rFonts w:eastAsia="Calibri"/>
          <w:color w:val="000000"/>
        </w:rPr>
        <w:t xml:space="preserve">  </w:t>
      </w:r>
      <w:r w:rsidR="00593736">
        <w:rPr>
          <w:rFonts w:eastAsia="Calibri"/>
          <w:color w:val="000000"/>
        </w:rPr>
        <w:tab/>
      </w:r>
      <w:proofErr w:type="gramEnd"/>
      <w:r w:rsidRPr="004268D5">
        <w:rPr>
          <w:rFonts w:eastAsia="Calibri"/>
          <w:color w:val="000000"/>
        </w:rPr>
        <w:tab/>
        <w:t xml:space="preserve">Begin Accepting Applications for Less than $10K Grants </w:t>
      </w:r>
    </w:p>
    <w:p w14:paraId="161748D4" w14:textId="239AD4C2" w:rsidR="00B44CAD" w:rsidRPr="004268D5" w:rsidRDefault="00B44CAD" w:rsidP="00B44CAD">
      <w:pPr>
        <w:autoSpaceDE w:val="0"/>
        <w:autoSpaceDN w:val="0"/>
        <w:adjustRightInd w:val="0"/>
        <w:rPr>
          <w:rFonts w:eastAsia="Calibri"/>
          <w:color w:val="000000"/>
        </w:rPr>
      </w:pPr>
      <w:r w:rsidRPr="004268D5">
        <w:rPr>
          <w:rFonts w:eastAsia="Calibri"/>
          <w:color w:val="000000"/>
        </w:rPr>
        <w:t xml:space="preserve">Oct – Dec </w:t>
      </w:r>
      <w:r w:rsidR="00DF22F7">
        <w:rPr>
          <w:rFonts w:eastAsia="Calibri"/>
          <w:color w:val="000000"/>
        </w:rPr>
        <w:t>202</w:t>
      </w:r>
      <w:r w:rsidR="006A09B6">
        <w:rPr>
          <w:rFonts w:eastAsia="Calibri"/>
          <w:color w:val="000000"/>
        </w:rPr>
        <w:t>1</w:t>
      </w:r>
      <w:r w:rsidR="00D25887">
        <w:rPr>
          <w:rFonts w:eastAsia="Calibri"/>
          <w:color w:val="000000"/>
        </w:rPr>
        <w:tab/>
        <w:t xml:space="preserve">Closeout of </w:t>
      </w:r>
      <w:r w:rsidR="009C10D9">
        <w:rPr>
          <w:rFonts w:eastAsia="Calibri"/>
          <w:color w:val="000000"/>
        </w:rPr>
        <w:t>20</w:t>
      </w:r>
      <w:r w:rsidR="00825417">
        <w:rPr>
          <w:rFonts w:eastAsia="Calibri"/>
          <w:color w:val="000000"/>
        </w:rPr>
        <w:t>20</w:t>
      </w:r>
      <w:r w:rsidRPr="004268D5">
        <w:rPr>
          <w:rFonts w:eastAsia="Calibri"/>
          <w:color w:val="000000"/>
        </w:rPr>
        <w:t xml:space="preserve"> subgrant awards </w:t>
      </w:r>
    </w:p>
    <w:p w14:paraId="165197BA" w14:textId="3C71BDE2" w:rsidR="00B44CAD" w:rsidRPr="004268D5" w:rsidRDefault="00F26FFF" w:rsidP="00B44CAD">
      <w:pPr>
        <w:autoSpaceDE w:val="0"/>
        <w:autoSpaceDN w:val="0"/>
        <w:adjustRightInd w:val="0"/>
        <w:rPr>
          <w:rFonts w:eastAsia="Calibri"/>
          <w:color w:val="000000"/>
        </w:rPr>
      </w:pPr>
      <w:r>
        <w:rPr>
          <w:rFonts w:eastAsia="Calibri"/>
          <w:color w:val="000000"/>
        </w:rPr>
        <w:t xml:space="preserve">Dec </w:t>
      </w:r>
      <w:r w:rsidR="00593736">
        <w:rPr>
          <w:rFonts w:eastAsia="Calibri"/>
          <w:color w:val="000000"/>
        </w:rPr>
        <w:t>– Jan 20</w:t>
      </w:r>
      <w:r w:rsidR="000A01FD">
        <w:rPr>
          <w:rFonts w:eastAsia="Calibri"/>
          <w:color w:val="000000"/>
        </w:rPr>
        <w:t>2</w:t>
      </w:r>
      <w:r w:rsidR="006A09B6">
        <w:rPr>
          <w:rFonts w:eastAsia="Calibri"/>
          <w:color w:val="000000"/>
        </w:rPr>
        <w:t>1</w:t>
      </w:r>
      <w:r w:rsidR="00B44CAD" w:rsidRPr="004268D5">
        <w:rPr>
          <w:rFonts w:eastAsia="Calibri"/>
          <w:color w:val="000000"/>
        </w:rPr>
        <w:tab/>
      </w:r>
      <w:r w:rsidR="00592C69">
        <w:rPr>
          <w:rFonts w:eastAsia="Calibri"/>
          <w:color w:val="000000"/>
        </w:rPr>
        <w:t>I</w:t>
      </w:r>
      <w:r w:rsidR="00CA4935" w:rsidRPr="004268D5">
        <w:rPr>
          <w:rFonts w:eastAsia="Calibri"/>
          <w:color w:val="000000"/>
        </w:rPr>
        <w:t>dentify</w:t>
      </w:r>
      <w:r w:rsidR="00B44CAD" w:rsidRPr="004268D5">
        <w:rPr>
          <w:rFonts w:eastAsia="Calibri"/>
          <w:color w:val="000000"/>
        </w:rPr>
        <w:t xml:space="preserve"> de-obligated funds and unobligated balances</w:t>
      </w:r>
    </w:p>
    <w:p w14:paraId="53368293" w14:textId="57E834BA" w:rsidR="00B44CAD" w:rsidRPr="004268D5" w:rsidRDefault="00CA4935" w:rsidP="00B44CAD">
      <w:pPr>
        <w:autoSpaceDE w:val="0"/>
        <w:autoSpaceDN w:val="0"/>
        <w:adjustRightInd w:val="0"/>
        <w:rPr>
          <w:rFonts w:eastAsia="Calibri"/>
          <w:color w:val="000000"/>
        </w:rPr>
      </w:pPr>
      <w:r>
        <w:rPr>
          <w:rFonts w:eastAsia="Calibri"/>
          <w:color w:val="000000"/>
        </w:rPr>
        <w:t>Jan – 20</w:t>
      </w:r>
      <w:r w:rsidR="000A01FD">
        <w:rPr>
          <w:rFonts w:eastAsia="Calibri"/>
          <w:color w:val="000000"/>
        </w:rPr>
        <w:t>2</w:t>
      </w:r>
      <w:r w:rsidR="006A09B6">
        <w:rPr>
          <w:rFonts w:eastAsia="Calibri"/>
          <w:color w:val="000000"/>
        </w:rPr>
        <w:t>2</w:t>
      </w:r>
      <w:r w:rsidR="00B44CAD" w:rsidRPr="004268D5">
        <w:rPr>
          <w:rFonts w:eastAsia="Calibri"/>
          <w:color w:val="000000"/>
        </w:rPr>
        <w:tab/>
      </w:r>
      <w:r w:rsidR="00B44CAD" w:rsidRPr="004268D5">
        <w:rPr>
          <w:rFonts w:eastAsia="Calibri"/>
          <w:color w:val="000000"/>
        </w:rPr>
        <w:tab/>
        <w:t>Quarterly Reports Due</w:t>
      </w:r>
    </w:p>
    <w:p w14:paraId="6D3C3098" w14:textId="44E18D81" w:rsidR="00B44CAD" w:rsidRPr="004268D5" w:rsidRDefault="00593736" w:rsidP="00B44CAD">
      <w:pPr>
        <w:autoSpaceDE w:val="0"/>
        <w:autoSpaceDN w:val="0"/>
        <w:adjustRightInd w:val="0"/>
        <w:rPr>
          <w:rFonts w:eastAsia="Calibri"/>
          <w:color w:val="000000"/>
        </w:rPr>
      </w:pPr>
      <w:r>
        <w:rPr>
          <w:rFonts w:eastAsia="Calibri"/>
          <w:color w:val="000000"/>
        </w:rPr>
        <w:t>Apr- 20</w:t>
      </w:r>
      <w:r w:rsidR="000A01FD">
        <w:rPr>
          <w:rFonts w:eastAsia="Calibri"/>
          <w:color w:val="000000"/>
        </w:rPr>
        <w:t>2</w:t>
      </w:r>
      <w:r w:rsidR="006A09B6">
        <w:rPr>
          <w:rFonts w:eastAsia="Calibri"/>
          <w:color w:val="000000"/>
        </w:rPr>
        <w:t>2</w:t>
      </w:r>
      <w:r w:rsidR="00B44CAD" w:rsidRPr="004268D5">
        <w:rPr>
          <w:rFonts w:eastAsia="Calibri"/>
          <w:color w:val="000000"/>
        </w:rPr>
        <w:tab/>
      </w:r>
      <w:r w:rsidR="00B44CAD" w:rsidRPr="004268D5">
        <w:rPr>
          <w:rFonts w:eastAsia="Calibri"/>
          <w:color w:val="000000"/>
        </w:rPr>
        <w:tab/>
        <w:t>Quarterly Reports Due</w:t>
      </w:r>
    </w:p>
    <w:p w14:paraId="39212657" w14:textId="0B52FC42" w:rsidR="00B44CAD" w:rsidRPr="004268D5" w:rsidRDefault="00CA4935" w:rsidP="00B44CAD">
      <w:pPr>
        <w:autoSpaceDE w:val="0"/>
        <w:autoSpaceDN w:val="0"/>
        <w:adjustRightInd w:val="0"/>
        <w:rPr>
          <w:rFonts w:eastAsia="Calibri"/>
          <w:color w:val="000000"/>
        </w:rPr>
      </w:pPr>
      <w:r>
        <w:rPr>
          <w:rFonts w:eastAsia="Calibri"/>
          <w:color w:val="000000"/>
        </w:rPr>
        <w:t xml:space="preserve">Apr </w:t>
      </w:r>
      <w:r w:rsidR="00593736">
        <w:rPr>
          <w:rFonts w:eastAsia="Calibri"/>
          <w:color w:val="000000"/>
        </w:rPr>
        <w:t>– May 20</w:t>
      </w:r>
      <w:r w:rsidR="000A01FD">
        <w:rPr>
          <w:rFonts w:eastAsia="Calibri"/>
          <w:color w:val="000000"/>
        </w:rPr>
        <w:t>2</w:t>
      </w:r>
      <w:r w:rsidR="006A09B6">
        <w:rPr>
          <w:rFonts w:eastAsia="Calibri"/>
          <w:color w:val="000000"/>
        </w:rPr>
        <w:t>2</w:t>
      </w:r>
      <w:r w:rsidR="00B44CAD" w:rsidRPr="004268D5">
        <w:rPr>
          <w:rFonts w:eastAsia="Calibri"/>
          <w:color w:val="000000"/>
        </w:rPr>
        <w:tab/>
        <w:t xml:space="preserve">Grant Application </w:t>
      </w:r>
      <w:r w:rsidR="00B44CAD">
        <w:rPr>
          <w:rFonts w:eastAsia="Calibri"/>
          <w:color w:val="000000"/>
        </w:rPr>
        <w:t>Prepared</w:t>
      </w:r>
      <w:r w:rsidR="00B44CAD" w:rsidRPr="004268D5">
        <w:rPr>
          <w:rFonts w:eastAsia="Calibri"/>
          <w:color w:val="000000"/>
        </w:rPr>
        <w:t xml:space="preserve"> and Submitted </w:t>
      </w:r>
    </w:p>
    <w:p w14:paraId="47C89978" w14:textId="212E0813" w:rsidR="00B44CAD" w:rsidRPr="004268D5" w:rsidRDefault="00593736" w:rsidP="00B44CAD">
      <w:pPr>
        <w:autoSpaceDE w:val="0"/>
        <w:autoSpaceDN w:val="0"/>
        <w:adjustRightInd w:val="0"/>
        <w:rPr>
          <w:rFonts w:eastAsia="Calibri"/>
          <w:color w:val="000000"/>
        </w:rPr>
      </w:pPr>
      <w:r>
        <w:rPr>
          <w:rFonts w:eastAsia="Calibri"/>
          <w:color w:val="000000"/>
        </w:rPr>
        <w:t>Jul – 20</w:t>
      </w:r>
      <w:r w:rsidR="000A01FD">
        <w:rPr>
          <w:rFonts w:eastAsia="Calibri"/>
          <w:color w:val="000000"/>
        </w:rPr>
        <w:t>2</w:t>
      </w:r>
      <w:r w:rsidR="006A09B6">
        <w:rPr>
          <w:rFonts w:eastAsia="Calibri"/>
          <w:color w:val="000000"/>
        </w:rPr>
        <w:t>2</w:t>
      </w:r>
      <w:r w:rsidR="00B44CAD" w:rsidRPr="004268D5">
        <w:rPr>
          <w:rFonts w:eastAsia="Calibri"/>
          <w:color w:val="000000"/>
        </w:rPr>
        <w:tab/>
      </w:r>
      <w:r w:rsidR="00B44CAD" w:rsidRPr="004268D5">
        <w:rPr>
          <w:rFonts w:eastAsia="Calibri"/>
          <w:color w:val="000000"/>
        </w:rPr>
        <w:tab/>
        <w:t xml:space="preserve">Quarterly Reports Due for </w:t>
      </w:r>
      <w:r w:rsidR="00DF22F7">
        <w:rPr>
          <w:rFonts w:eastAsia="Calibri"/>
          <w:color w:val="000000"/>
        </w:rPr>
        <w:t>202</w:t>
      </w:r>
      <w:r w:rsidR="00825417">
        <w:rPr>
          <w:rFonts w:eastAsia="Calibri"/>
          <w:color w:val="000000"/>
        </w:rPr>
        <w:t>1</w:t>
      </w:r>
      <w:r w:rsidR="00B44CAD" w:rsidRPr="004268D5">
        <w:rPr>
          <w:rFonts w:eastAsia="Calibri"/>
          <w:color w:val="000000"/>
        </w:rPr>
        <w:t xml:space="preserve"> sub-grants</w:t>
      </w:r>
    </w:p>
    <w:p w14:paraId="75B45D78" w14:textId="033266C5" w:rsidR="00B44CAD" w:rsidRPr="004268D5" w:rsidRDefault="00D25887" w:rsidP="00B44CAD">
      <w:pPr>
        <w:autoSpaceDE w:val="0"/>
        <w:autoSpaceDN w:val="0"/>
        <w:adjustRightInd w:val="0"/>
        <w:rPr>
          <w:rFonts w:eastAsia="Calibri"/>
          <w:color w:val="000000"/>
        </w:rPr>
      </w:pPr>
      <w:r>
        <w:rPr>
          <w:rFonts w:eastAsia="Calibri"/>
          <w:color w:val="000000"/>
        </w:rPr>
        <w:t>Aug – Sep</w:t>
      </w:r>
      <w:r w:rsidR="00593736">
        <w:rPr>
          <w:rFonts w:eastAsia="Calibri"/>
          <w:color w:val="000000"/>
        </w:rPr>
        <w:t xml:space="preserve"> 20</w:t>
      </w:r>
      <w:r w:rsidR="000A01FD">
        <w:rPr>
          <w:rFonts w:eastAsia="Calibri"/>
          <w:color w:val="000000"/>
        </w:rPr>
        <w:t>2</w:t>
      </w:r>
      <w:r w:rsidR="006A09B6">
        <w:rPr>
          <w:rFonts w:eastAsia="Calibri"/>
          <w:color w:val="000000"/>
        </w:rPr>
        <w:t>2</w:t>
      </w:r>
      <w:r w:rsidR="00B44CAD">
        <w:rPr>
          <w:rFonts w:eastAsia="Calibri"/>
          <w:color w:val="000000"/>
        </w:rPr>
        <w:tab/>
        <w:t>Awards for annual</w:t>
      </w:r>
      <w:r w:rsidR="00B44CAD" w:rsidRPr="004268D5">
        <w:rPr>
          <w:rFonts w:eastAsia="Calibri"/>
          <w:color w:val="000000"/>
        </w:rPr>
        <w:t xml:space="preserve"> grants calculated and awarded</w:t>
      </w:r>
    </w:p>
    <w:p w14:paraId="2372AC5F" w14:textId="0DA77A99" w:rsidR="00B44CAD" w:rsidRPr="004268D5" w:rsidRDefault="00593736" w:rsidP="00B44CAD">
      <w:pPr>
        <w:autoSpaceDE w:val="0"/>
        <w:autoSpaceDN w:val="0"/>
        <w:adjustRightInd w:val="0"/>
        <w:rPr>
          <w:rFonts w:eastAsia="Calibri"/>
          <w:color w:val="000000"/>
        </w:rPr>
      </w:pPr>
      <w:r>
        <w:rPr>
          <w:rFonts w:eastAsia="Calibri"/>
          <w:color w:val="000000"/>
        </w:rPr>
        <w:t>Oct – 20</w:t>
      </w:r>
      <w:r w:rsidR="000A01FD">
        <w:rPr>
          <w:rFonts w:eastAsia="Calibri"/>
          <w:color w:val="000000"/>
        </w:rPr>
        <w:t>2</w:t>
      </w:r>
      <w:r w:rsidR="006A09B6">
        <w:rPr>
          <w:rFonts w:eastAsia="Calibri"/>
          <w:color w:val="000000"/>
        </w:rPr>
        <w:t>2</w:t>
      </w:r>
      <w:r w:rsidR="00B44CAD" w:rsidRPr="004268D5">
        <w:rPr>
          <w:rFonts w:eastAsia="Calibri"/>
          <w:color w:val="000000"/>
        </w:rPr>
        <w:tab/>
      </w:r>
      <w:r w:rsidR="00B44CAD" w:rsidRPr="004268D5">
        <w:rPr>
          <w:rFonts w:eastAsia="Calibri"/>
          <w:color w:val="000000"/>
        </w:rPr>
        <w:tab/>
        <w:t>Quarterly Reports Due</w:t>
      </w:r>
    </w:p>
    <w:p w14:paraId="014B8205" w14:textId="42390085" w:rsidR="00D43E00" w:rsidRPr="004268D5" w:rsidRDefault="00593736" w:rsidP="00B44CAD">
      <w:pPr>
        <w:autoSpaceDE w:val="0"/>
        <w:autoSpaceDN w:val="0"/>
        <w:adjustRightInd w:val="0"/>
        <w:rPr>
          <w:rFonts w:eastAsia="Calibri"/>
          <w:color w:val="000000"/>
        </w:rPr>
      </w:pPr>
      <w:r>
        <w:rPr>
          <w:rFonts w:eastAsia="Calibri"/>
          <w:color w:val="000000"/>
        </w:rPr>
        <w:t>Dec 20</w:t>
      </w:r>
      <w:r w:rsidR="000A01FD">
        <w:rPr>
          <w:rFonts w:eastAsia="Calibri"/>
          <w:color w:val="000000"/>
        </w:rPr>
        <w:t>2</w:t>
      </w:r>
      <w:r w:rsidR="00825417">
        <w:rPr>
          <w:rFonts w:eastAsia="Calibri"/>
          <w:color w:val="000000"/>
        </w:rPr>
        <w:t>2</w:t>
      </w:r>
      <w:r w:rsidR="00B44CAD" w:rsidRPr="004268D5">
        <w:rPr>
          <w:rFonts w:eastAsia="Calibri"/>
          <w:color w:val="000000"/>
        </w:rPr>
        <w:tab/>
      </w:r>
      <w:r w:rsidR="00B44CAD" w:rsidRPr="004268D5">
        <w:rPr>
          <w:rFonts w:eastAsia="Calibri"/>
          <w:color w:val="000000"/>
        </w:rPr>
        <w:tab/>
        <w:t xml:space="preserve">Final Reports Due for </w:t>
      </w:r>
      <w:r w:rsidR="00DF22F7">
        <w:rPr>
          <w:rFonts w:eastAsia="Calibri"/>
          <w:color w:val="000000"/>
        </w:rPr>
        <w:t>202</w:t>
      </w:r>
      <w:r w:rsidR="00825417">
        <w:rPr>
          <w:rFonts w:eastAsia="Calibri"/>
          <w:color w:val="000000"/>
        </w:rPr>
        <w:t>1</w:t>
      </w:r>
      <w:r w:rsidR="00B44CAD" w:rsidRPr="004268D5">
        <w:rPr>
          <w:rFonts w:eastAsia="Calibri"/>
          <w:color w:val="000000"/>
        </w:rPr>
        <w:t xml:space="preserve"> </w:t>
      </w:r>
      <w:r w:rsidR="00B44CAD">
        <w:rPr>
          <w:rFonts w:eastAsia="Calibri"/>
          <w:color w:val="000000"/>
        </w:rPr>
        <w:t>annual</w:t>
      </w:r>
      <w:r w:rsidR="00B44CAD" w:rsidRPr="004268D5">
        <w:rPr>
          <w:rFonts w:eastAsia="Calibri"/>
          <w:color w:val="000000"/>
        </w:rPr>
        <w:t xml:space="preserve"> sub-awards</w:t>
      </w:r>
    </w:p>
    <w:sectPr w:rsidR="00D43E00" w:rsidRPr="004268D5" w:rsidSect="0052665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9A893" w14:textId="77777777" w:rsidR="00050133" w:rsidRDefault="00050133">
      <w:r>
        <w:separator/>
      </w:r>
    </w:p>
  </w:endnote>
  <w:endnote w:type="continuationSeparator" w:id="0">
    <w:p w14:paraId="2A64DA09" w14:textId="77777777" w:rsidR="00050133" w:rsidRDefault="00050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JAKHMM+PalatinoLinotype">
    <w:altName w:val="Palatino"/>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91426" w14:textId="0A53B615" w:rsidR="00232CE7" w:rsidRPr="001F3A8F" w:rsidRDefault="00232CE7" w:rsidP="001F3A8F">
    <w:pPr>
      <w:pStyle w:val="Footer"/>
      <w:rPr>
        <w:sz w:val="20"/>
        <w:szCs w:val="20"/>
      </w:rPr>
    </w:pPr>
    <w:r>
      <w:rPr>
        <w:sz w:val="20"/>
        <w:szCs w:val="20"/>
      </w:rPr>
      <w:t xml:space="preserve">JAG </w:t>
    </w:r>
    <w:r w:rsidRPr="001F3A8F">
      <w:rPr>
        <w:sz w:val="20"/>
        <w:szCs w:val="20"/>
      </w:rPr>
      <w:t>Grant Application FY</w:t>
    </w:r>
    <w:r w:rsidR="00DF22F7">
      <w:rPr>
        <w:sz w:val="20"/>
        <w:szCs w:val="20"/>
      </w:rPr>
      <w:t>202</w:t>
    </w:r>
    <w:r w:rsidR="00443584">
      <w:rPr>
        <w:sz w:val="20"/>
        <w:szCs w:val="20"/>
      </w:rPr>
      <w:t>1</w:t>
    </w:r>
    <w:r w:rsidRPr="001F3A8F">
      <w:rPr>
        <w:sz w:val="20"/>
        <w:szCs w:val="20"/>
      </w:rPr>
      <w:tab/>
    </w:r>
    <w:r w:rsidRPr="001F3A8F">
      <w:rPr>
        <w:sz w:val="20"/>
        <w:szCs w:val="20"/>
      </w:rPr>
      <w:tab/>
      <w:t xml:space="preserve">Page </w:t>
    </w:r>
    <w:r w:rsidRPr="001F3A8F">
      <w:rPr>
        <w:sz w:val="20"/>
        <w:szCs w:val="20"/>
      </w:rPr>
      <w:fldChar w:fldCharType="begin"/>
    </w:r>
    <w:r w:rsidRPr="001F3A8F">
      <w:rPr>
        <w:sz w:val="20"/>
        <w:szCs w:val="20"/>
      </w:rPr>
      <w:instrText xml:space="preserve"> PAGE </w:instrText>
    </w:r>
    <w:r w:rsidRPr="001F3A8F">
      <w:rPr>
        <w:sz w:val="20"/>
        <w:szCs w:val="20"/>
      </w:rPr>
      <w:fldChar w:fldCharType="separate"/>
    </w:r>
    <w:r w:rsidR="00733DEF">
      <w:rPr>
        <w:noProof/>
        <w:sz w:val="20"/>
        <w:szCs w:val="20"/>
      </w:rPr>
      <w:t>11</w:t>
    </w:r>
    <w:r w:rsidRPr="001F3A8F">
      <w:rPr>
        <w:sz w:val="20"/>
        <w:szCs w:val="20"/>
      </w:rPr>
      <w:fldChar w:fldCharType="end"/>
    </w:r>
    <w:r w:rsidRPr="001F3A8F">
      <w:rPr>
        <w:sz w:val="20"/>
        <w:szCs w:val="20"/>
      </w:rPr>
      <w:t xml:space="preserve"> of </w:t>
    </w:r>
    <w:r w:rsidRPr="001F3A8F">
      <w:rPr>
        <w:sz w:val="20"/>
        <w:szCs w:val="20"/>
      </w:rPr>
      <w:fldChar w:fldCharType="begin"/>
    </w:r>
    <w:r w:rsidRPr="001F3A8F">
      <w:rPr>
        <w:sz w:val="20"/>
        <w:szCs w:val="20"/>
      </w:rPr>
      <w:instrText xml:space="preserve"> NUMPAGES </w:instrText>
    </w:r>
    <w:r w:rsidRPr="001F3A8F">
      <w:rPr>
        <w:sz w:val="20"/>
        <w:szCs w:val="20"/>
      </w:rPr>
      <w:fldChar w:fldCharType="separate"/>
    </w:r>
    <w:r w:rsidR="00733DEF">
      <w:rPr>
        <w:noProof/>
        <w:sz w:val="20"/>
        <w:szCs w:val="20"/>
      </w:rPr>
      <w:t>11</w:t>
    </w:r>
    <w:r w:rsidRPr="001F3A8F">
      <w:rPr>
        <w:sz w:val="20"/>
        <w:szCs w:val="20"/>
      </w:rPr>
      <w:fldChar w:fldCharType="end"/>
    </w:r>
  </w:p>
  <w:p w14:paraId="6306FA20" w14:textId="77777777" w:rsidR="00232CE7" w:rsidRPr="001F3A8F" w:rsidRDefault="00232CE7" w:rsidP="001F3A8F">
    <w:pPr>
      <w:pStyle w:val="Footer"/>
      <w:rPr>
        <w:b/>
        <w:sz w:val="20"/>
        <w:szCs w:val="20"/>
      </w:rPr>
    </w:pPr>
    <w:r w:rsidRPr="001F3A8F">
      <w:rPr>
        <w:sz w:val="20"/>
        <w:szCs w:val="20"/>
      </w:rPr>
      <w:t xml:space="preserve">Attachment 1, </w:t>
    </w:r>
    <w:r w:rsidRPr="001F3A8F">
      <w:rPr>
        <w:b/>
        <w:sz w:val="20"/>
        <w:szCs w:val="20"/>
      </w:rPr>
      <w:t xml:space="preserve">Program Narrative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69570" w14:textId="77777777" w:rsidR="00050133" w:rsidRDefault="00050133">
      <w:r>
        <w:separator/>
      </w:r>
    </w:p>
  </w:footnote>
  <w:footnote w:type="continuationSeparator" w:id="0">
    <w:p w14:paraId="008FAE2D" w14:textId="77777777" w:rsidR="00050133" w:rsidRDefault="00050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26D13" w14:textId="77777777" w:rsidR="00232CE7" w:rsidRPr="008A17D6" w:rsidRDefault="00232CE7" w:rsidP="008A17D6">
    <w:pPr>
      <w:pStyle w:val="Header"/>
      <w:jc w:val="center"/>
      <w:rPr>
        <w:b/>
        <w:sz w:val="32"/>
        <w:szCs w:val="32"/>
      </w:rPr>
    </w:pPr>
    <w:r w:rsidRPr="008A17D6">
      <w:rPr>
        <w:b/>
        <w:sz w:val="32"/>
        <w:szCs w:val="32"/>
      </w:rPr>
      <w:t xml:space="preserve">State of </w:t>
    </w:r>
    <w:smartTag w:uri="urn:schemas-microsoft-com:office:smarttags" w:element="place">
      <w:smartTag w:uri="urn:schemas-microsoft-com:office:smarttags" w:element="State">
        <w:r w:rsidRPr="008A17D6">
          <w:rPr>
            <w:b/>
            <w:sz w:val="32"/>
            <w:szCs w:val="32"/>
          </w:rPr>
          <w:t>Alabama</w:t>
        </w:r>
      </w:smartTag>
    </w:smartTag>
  </w:p>
  <w:p w14:paraId="581F600C" w14:textId="77777777" w:rsidR="00232CE7" w:rsidRPr="008A17D6" w:rsidRDefault="00232CE7" w:rsidP="008A17D6">
    <w:pPr>
      <w:pStyle w:val="Header"/>
      <w:jc w:val="center"/>
      <w:rPr>
        <w:b/>
        <w:sz w:val="28"/>
        <w:szCs w:val="28"/>
      </w:rPr>
    </w:pPr>
    <w:r w:rsidRPr="008A17D6">
      <w:rPr>
        <w:b/>
        <w:sz w:val="28"/>
        <w:szCs w:val="28"/>
      </w:rPr>
      <w:t>Department of Economic and Community Affairs</w:t>
    </w:r>
  </w:p>
  <w:p w14:paraId="46B486A6" w14:textId="77777777" w:rsidR="00232CE7" w:rsidRPr="008A17D6" w:rsidRDefault="00232CE7" w:rsidP="008A17D6">
    <w:pPr>
      <w:pStyle w:val="Header"/>
      <w:jc w:val="center"/>
      <w:rPr>
        <w:b/>
        <w:sz w:val="28"/>
        <w:szCs w:val="28"/>
      </w:rPr>
    </w:pPr>
    <w:r w:rsidRPr="008A17D6">
      <w:rPr>
        <w:b/>
        <w:sz w:val="28"/>
        <w:szCs w:val="28"/>
      </w:rPr>
      <w:t xml:space="preserve">Law Enforcement </w:t>
    </w:r>
    <w:r>
      <w:rPr>
        <w:b/>
        <w:sz w:val="28"/>
        <w:szCs w:val="28"/>
      </w:rPr>
      <w:t>and</w:t>
    </w:r>
    <w:r w:rsidRPr="008A17D6">
      <w:rPr>
        <w:b/>
        <w:sz w:val="28"/>
        <w:szCs w:val="28"/>
      </w:rPr>
      <w:t xml:space="preserve"> Traffic </w:t>
    </w:r>
    <w:r>
      <w:rPr>
        <w:b/>
        <w:sz w:val="28"/>
        <w:szCs w:val="28"/>
      </w:rPr>
      <w:t xml:space="preserve">Safety </w:t>
    </w:r>
    <w:r w:rsidRPr="008A17D6">
      <w:rPr>
        <w:b/>
        <w:sz w:val="28"/>
        <w:szCs w:val="28"/>
      </w:rPr>
      <w:t>Division</w:t>
    </w:r>
  </w:p>
  <w:p w14:paraId="169E636D" w14:textId="77777777" w:rsidR="00232CE7" w:rsidRPr="008A17D6" w:rsidRDefault="00232CE7" w:rsidP="008A17D6">
    <w:pPr>
      <w:pStyle w:val="Header"/>
      <w:jc w:val="center"/>
      <w:rPr>
        <w:sz w:val="18"/>
        <w:szCs w:val="18"/>
      </w:rPr>
    </w:pPr>
    <w:smartTag w:uri="urn:schemas-microsoft-com:office:smarttags" w:element="Street">
      <w:smartTag w:uri="urn:schemas-microsoft-com:office:smarttags" w:element="address">
        <w:r w:rsidRPr="008A17D6">
          <w:rPr>
            <w:sz w:val="18"/>
            <w:szCs w:val="18"/>
          </w:rPr>
          <w:t>401 Adams Avenue</w:t>
        </w:r>
      </w:smartTag>
    </w:smartTag>
    <w:r w:rsidRPr="008A17D6">
      <w:rPr>
        <w:sz w:val="18"/>
        <w:szCs w:val="18"/>
      </w:rPr>
      <w:t>, Post Office Box 5690</w:t>
    </w:r>
  </w:p>
  <w:p w14:paraId="55590D43" w14:textId="77777777" w:rsidR="00232CE7" w:rsidRDefault="00232CE7" w:rsidP="008A17D6">
    <w:pPr>
      <w:pStyle w:val="Header"/>
      <w:jc w:val="center"/>
      <w:rPr>
        <w:sz w:val="18"/>
        <w:szCs w:val="18"/>
      </w:rPr>
    </w:pPr>
    <w:smartTag w:uri="urn:schemas-microsoft-com:office:smarttags" w:element="City">
      <w:r w:rsidRPr="008A17D6">
        <w:rPr>
          <w:sz w:val="18"/>
          <w:szCs w:val="18"/>
        </w:rPr>
        <w:t>Montgomery</w:t>
      </w:r>
    </w:smartTag>
    <w:r w:rsidRPr="008A17D6">
      <w:rPr>
        <w:sz w:val="18"/>
        <w:szCs w:val="18"/>
      </w:rPr>
      <w:t xml:space="preserve">, </w:t>
    </w:r>
    <w:smartTag w:uri="urn:schemas-microsoft-com:office:smarttags" w:element="State">
      <w:r w:rsidRPr="008A17D6">
        <w:rPr>
          <w:sz w:val="18"/>
          <w:szCs w:val="18"/>
        </w:rPr>
        <w:t>Alabama</w:t>
      </w:r>
    </w:smartTag>
    <w:r w:rsidRPr="008A17D6">
      <w:rPr>
        <w:sz w:val="18"/>
        <w:szCs w:val="18"/>
      </w:rPr>
      <w:t xml:space="preserve"> 36103-5690</w:t>
    </w:r>
  </w:p>
  <w:p w14:paraId="545E93D0" w14:textId="77777777" w:rsidR="00232CE7" w:rsidRDefault="00232CE7" w:rsidP="008A17D6">
    <w:pPr>
      <w:pStyle w:val="Header"/>
      <w:jc w:val="center"/>
      <w:rPr>
        <w:sz w:val="18"/>
        <w:szCs w:val="18"/>
      </w:rPr>
    </w:pPr>
  </w:p>
  <w:p w14:paraId="4B596F8C" w14:textId="77777777" w:rsidR="00232CE7" w:rsidRPr="008A17D6" w:rsidRDefault="00232CE7" w:rsidP="008A17D6">
    <w:pPr>
      <w:pStyle w:val="Heade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5" type="#_x0000_t75" style="width:6pt;height:6pt" o:bullet="t">
        <v:imagedata r:id="rId1" o:title="bullet"/>
      </v:shape>
    </w:pict>
  </w:numPicBullet>
  <w:abstractNum w:abstractNumId="0" w15:restartNumberingAfterBreak="0">
    <w:nsid w:val="03F90BCD"/>
    <w:multiLevelType w:val="hybridMultilevel"/>
    <w:tmpl w:val="4C467520"/>
    <w:lvl w:ilvl="0" w:tplc="04090019">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D0BFB"/>
    <w:multiLevelType w:val="hybridMultilevel"/>
    <w:tmpl w:val="FB2688A6"/>
    <w:lvl w:ilvl="0" w:tplc="DE920C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31078B"/>
    <w:multiLevelType w:val="multilevel"/>
    <w:tmpl w:val="103AF6B4"/>
    <w:lvl w:ilvl="0">
      <w:start w:val="1"/>
      <w:numFmt w:val="bullet"/>
      <w:lvlText w:val="o"/>
      <w:lvlPicBulletId w:val="0"/>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6DE7010"/>
    <w:multiLevelType w:val="hybridMultilevel"/>
    <w:tmpl w:val="EAD82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04629E"/>
    <w:multiLevelType w:val="hybridMultilevel"/>
    <w:tmpl w:val="D08297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CC4C84"/>
    <w:multiLevelType w:val="hybridMultilevel"/>
    <w:tmpl w:val="A3B28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36283F"/>
    <w:multiLevelType w:val="hybridMultilevel"/>
    <w:tmpl w:val="E2DCB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3427B4"/>
    <w:multiLevelType w:val="hybridMultilevel"/>
    <w:tmpl w:val="D8F833C2"/>
    <w:lvl w:ilvl="0" w:tplc="0F28B5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C8F4CAC"/>
    <w:multiLevelType w:val="hybridMultilevel"/>
    <w:tmpl w:val="40B82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922A7A"/>
    <w:multiLevelType w:val="hybridMultilevel"/>
    <w:tmpl w:val="72E09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7A2B41"/>
    <w:multiLevelType w:val="hybridMultilevel"/>
    <w:tmpl w:val="1AE65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871C89"/>
    <w:multiLevelType w:val="hybridMultilevel"/>
    <w:tmpl w:val="F676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4374B5"/>
    <w:multiLevelType w:val="hybridMultilevel"/>
    <w:tmpl w:val="15B05E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7F1512B"/>
    <w:multiLevelType w:val="hybridMultilevel"/>
    <w:tmpl w:val="D6B8D3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C484E94"/>
    <w:multiLevelType w:val="hybridMultilevel"/>
    <w:tmpl w:val="E6D2C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FB2A83"/>
    <w:multiLevelType w:val="multilevel"/>
    <w:tmpl w:val="4C3AE3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5"/>
  </w:num>
  <w:num w:numId="3">
    <w:abstractNumId w:val="12"/>
  </w:num>
  <w:num w:numId="4">
    <w:abstractNumId w:val="0"/>
  </w:num>
  <w:num w:numId="5">
    <w:abstractNumId w:val="6"/>
  </w:num>
  <w:num w:numId="6">
    <w:abstractNumId w:val="14"/>
  </w:num>
  <w:num w:numId="7">
    <w:abstractNumId w:val="11"/>
  </w:num>
  <w:num w:numId="8">
    <w:abstractNumId w:val="3"/>
  </w:num>
  <w:num w:numId="9">
    <w:abstractNumId w:val="9"/>
  </w:num>
  <w:num w:numId="10">
    <w:abstractNumId w:val="10"/>
  </w:num>
  <w:num w:numId="11">
    <w:abstractNumId w:val="8"/>
  </w:num>
  <w:num w:numId="12">
    <w:abstractNumId w:val="2"/>
  </w:num>
  <w:num w:numId="13">
    <w:abstractNumId w:val="1"/>
  </w:num>
  <w:num w:numId="14">
    <w:abstractNumId w:val="7"/>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431"/>
    <w:rsid w:val="0000634F"/>
    <w:rsid w:val="00011DB4"/>
    <w:rsid w:val="00024D4E"/>
    <w:rsid w:val="000329C4"/>
    <w:rsid w:val="00033E4C"/>
    <w:rsid w:val="000500C1"/>
    <w:rsid w:val="00050133"/>
    <w:rsid w:val="00055B66"/>
    <w:rsid w:val="00057A08"/>
    <w:rsid w:val="000635CD"/>
    <w:rsid w:val="000665C7"/>
    <w:rsid w:val="00073702"/>
    <w:rsid w:val="000759B9"/>
    <w:rsid w:val="00076325"/>
    <w:rsid w:val="00087285"/>
    <w:rsid w:val="00092DBB"/>
    <w:rsid w:val="0009388C"/>
    <w:rsid w:val="000A01FD"/>
    <w:rsid w:val="000A1B66"/>
    <w:rsid w:val="000B31F8"/>
    <w:rsid w:val="000B45B2"/>
    <w:rsid w:val="000C1EC2"/>
    <w:rsid w:val="000C6A66"/>
    <w:rsid w:val="000D459D"/>
    <w:rsid w:val="000E3C75"/>
    <w:rsid w:val="000F6C92"/>
    <w:rsid w:val="00105298"/>
    <w:rsid w:val="001124C3"/>
    <w:rsid w:val="00114EDA"/>
    <w:rsid w:val="00116569"/>
    <w:rsid w:val="00127B53"/>
    <w:rsid w:val="00140295"/>
    <w:rsid w:val="00141943"/>
    <w:rsid w:val="00150425"/>
    <w:rsid w:val="00163CA1"/>
    <w:rsid w:val="001654EF"/>
    <w:rsid w:val="00165AA5"/>
    <w:rsid w:val="001905FB"/>
    <w:rsid w:val="001A61EA"/>
    <w:rsid w:val="001A72B6"/>
    <w:rsid w:val="001B53ED"/>
    <w:rsid w:val="001C2BC4"/>
    <w:rsid w:val="001C5116"/>
    <w:rsid w:val="001F3A8F"/>
    <w:rsid w:val="001F4DEE"/>
    <w:rsid w:val="001F659E"/>
    <w:rsid w:val="001F74ED"/>
    <w:rsid w:val="0021662C"/>
    <w:rsid w:val="00232CE7"/>
    <w:rsid w:val="00253592"/>
    <w:rsid w:val="00254911"/>
    <w:rsid w:val="00262C71"/>
    <w:rsid w:val="002760D5"/>
    <w:rsid w:val="002774DD"/>
    <w:rsid w:val="0028628E"/>
    <w:rsid w:val="002906D5"/>
    <w:rsid w:val="002A4762"/>
    <w:rsid w:val="002A7333"/>
    <w:rsid w:val="002A782D"/>
    <w:rsid w:val="002B55B5"/>
    <w:rsid w:val="002C0C52"/>
    <w:rsid w:val="002C4278"/>
    <w:rsid w:val="002D5A42"/>
    <w:rsid w:val="002E1DC7"/>
    <w:rsid w:val="002E1E9E"/>
    <w:rsid w:val="00301F69"/>
    <w:rsid w:val="00302343"/>
    <w:rsid w:val="003179F9"/>
    <w:rsid w:val="00331573"/>
    <w:rsid w:val="00332B25"/>
    <w:rsid w:val="00357B75"/>
    <w:rsid w:val="00363904"/>
    <w:rsid w:val="00367C1C"/>
    <w:rsid w:val="003718BB"/>
    <w:rsid w:val="00372811"/>
    <w:rsid w:val="003B6397"/>
    <w:rsid w:val="003D0FF7"/>
    <w:rsid w:val="003D1776"/>
    <w:rsid w:val="003D743E"/>
    <w:rsid w:val="003E025F"/>
    <w:rsid w:val="0040048D"/>
    <w:rsid w:val="0040703B"/>
    <w:rsid w:val="00417797"/>
    <w:rsid w:val="00417F53"/>
    <w:rsid w:val="004268D5"/>
    <w:rsid w:val="0043062D"/>
    <w:rsid w:val="004349BC"/>
    <w:rsid w:val="004404BD"/>
    <w:rsid w:val="00443584"/>
    <w:rsid w:val="00444489"/>
    <w:rsid w:val="00446F14"/>
    <w:rsid w:val="00452FD8"/>
    <w:rsid w:val="00457C86"/>
    <w:rsid w:val="00494464"/>
    <w:rsid w:val="0049576C"/>
    <w:rsid w:val="004A14EE"/>
    <w:rsid w:val="004B0685"/>
    <w:rsid w:val="004B29DD"/>
    <w:rsid w:val="004B7F3E"/>
    <w:rsid w:val="004D2BCF"/>
    <w:rsid w:val="004E0374"/>
    <w:rsid w:val="004E1854"/>
    <w:rsid w:val="004E19BE"/>
    <w:rsid w:val="004F55C3"/>
    <w:rsid w:val="00504655"/>
    <w:rsid w:val="00513F17"/>
    <w:rsid w:val="00514FF0"/>
    <w:rsid w:val="00526657"/>
    <w:rsid w:val="00533858"/>
    <w:rsid w:val="005463B0"/>
    <w:rsid w:val="00567940"/>
    <w:rsid w:val="0057195A"/>
    <w:rsid w:val="00572B23"/>
    <w:rsid w:val="0058226E"/>
    <w:rsid w:val="00586243"/>
    <w:rsid w:val="00592C69"/>
    <w:rsid w:val="00593736"/>
    <w:rsid w:val="005A0109"/>
    <w:rsid w:val="005A3616"/>
    <w:rsid w:val="005B6654"/>
    <w:rsid w:val="005B6859"/>
    <w:rsid w:val="005C119D"/>
    <w:rsid w:val="005C132C"/>
    <w:rsid w:val="005D0D94"/>
    <w:rsid w:val="005D15A9"/>
    <w:rsid w:val="005D6D4F"/>
    <w:rsid w:val="006015C5"/>
    <w:rsid w:val="00601E16"/>
    <w:rsid w:val="00605403"/>
    <w:rsid w:val="00606069"/>
    <w:rsid w:val="00615853"/>
    <w:rsid w:val="00616D9F"/>
    <w:rsid w:val="00645220"/>
    <w:rsid w:val="0065259E"/>
    <w:rsid w:val="006735BE"/>
    <w:rsid w:val="00685E6C"/>
    <w:rsid w:val="006929F5"/>
    <w:rsid w:val="006A09B6"/>
    <w:rsid w:val="006A1939"/>
    <w:rsid w:val="006B1E0F"/>
    <w:rsid w:val="006B2F11"/>
    <w:rsid w:val="006C53C5"/>
    <w:rsid w:val="006D024D"/>
    <w:rsid w:val="006D319D"/>
    <w:rsid w:val="006F039B"/>
    <w:rsid w:val="006F1066"/>
    <w:rsid w:val="006F3517"/>
    <w:rsid w:val="006F694A"/>
    <w:rsid w:val="006F7B7A"/>
    <w:rsid w:val="00700A0D"/>
    <w:rsid w:val="007122BE"/>
    <w:rsid w:val="00720621"/>
    <w:rsid w:val="007270A9"/>
    <w:rsid w:val="00727F31"/>
    <w:rsid w:val="00733DEF"/>
    <w:rsid w:val="00736773"/>
    <w:rsid w:val="00747431"/>
    <w:rsid w:val="00751DE6"/>
    <w:rsid w:val="00770536"/>
    <w:rsid w:val="0077763F"/>
    <w:rsid w:val="00782067"/>
    <w:rsid w:val="007823F1"/>
    <w:rsid w:val="00787052"/>
    <w:rsid w:val="00791141"/>
    <w:rsid w:val="007A3FEE"/>
    <w:rsid w:val="007A4096"/>
    <w:rsid w:val="007B0B57"/>
    <w:rsid w:val="007B718D"/>
    <w:rsid w:val="007C3239"/>
    <w:rsid w:val="007E0A94"/>
    <w:rsid w:val="007E145D"/>
    <w:rsid w:val="007E1830"/>
    <w:rsid w:val="007E3BA2"/>
    <w:rsid w:val="007E454F"/>
    <w:rsid w:val="007F18EC"/>
    <w:rsid w:val="00825417"/>
    <w:rsid w:val="00833B44"/>
    <w:rsid w:val="00850C5B"/>
    <w:rsid w:val="0085502E"/>
    <w:rsid w:val="00860093"/>
    <w:rsid w:val="00861949"/>
    <w:rsid w:val="00865550"/>
    <w:rsid w:val="00866DE0"/>
    <w:rsid w:val="008756C2"/>
    <w:rsid w:val="00892376"/>
    <w:rsid w:val="00894809"/>
    <w:rsid w:val="008A17D6"/>
    <w:rsid w:val="008B0297"/>
    <w:rsid w:val="008B2A2D"/>
    <w:rsid w:val="008C43C9"/>
    <w:rsid w:val="008C7F3E"/>
    <w:rsid w:val="008D12B4"/>
    <w:rsid w:val="008D1ED7"/>
    <w:rsid w:val="008E2CA4"/>
    <w:rsid w:val="008E4C0B"/>
    <w:rsid w:val="008E5AAB"/>
    <w:rsid w:val="008F1889"/>
    <w:rsid w:val="009015C8"/>
    <w:rsid w:val="009106ED"/>
    <w:rsid w:val="00930F1A"/>
    <w:rsid w:val="0094433E"/>
    <w:rsid w:val="0094643C"/>
    <w:rsid w:val="0094791A"/>
    <w:rsid w:val="00950A7E"/>
    <w:rsid w:val="00950E6F"/>
    <w:rsid w:val="009549ED"/>
    <w:rsid w:val="009551D0"/>
    <w:rsid w:val="00955DD1"/>
    <w:rsid w:val="00962892"/>
    <w:rsid w:val="009630FF"/>
    <w:rsid w:val="00975CA7"/>
    <w:rsid w:val="00975CA9"/>
    <w:rsid w:val="0098439B"/>
    <w:rsid w:val="009A29EB"/>
    <w:rsid w:val="009B01D3"/>
    <w:rsid w:val="009B513B"/>
    <w:rsid w:val="009C10D9"/>
    <w:rsid w:val="009D1A27"/>
    <w:rsid w:val="009E6ACB"/>
    <w:rsid w:val="009F2606"/>
    <w:rsid w:val="00A01407"/>
    <w:rsid w:val="00A102AA"/>
    <w:rsid w:val="00A10CAD"/>
    <w:rsid w:val="00A23849"/>
    <w:rsid w:val="00A32039"/>
    <w:rsid w:val="00A36314"/>
    <w:rsid w:val="00A37095"/>
    <w:rsid w:val="00A43255"/>
    <w:rsid w:val="00A7113E"/>
    <w:rsid w:val="00A735AB"/>
    <w:rsid w:val="00A82B09"/>
    <w:rsid w:val="00A93455"/>
    <w:rsid w:val="00A93639"/>
    <w:rsid w:val="00A9533B"/>
    <w:rsid w:val="00A961CD"/>
    <w:rsid w:val="00AA2E41"/>
    <w:rsid w:val="00AB5091"/>
    <w:rsid w:val="00AB5374"/>
    <w:rsid w:val="00AC2344"/>
    <w:rsid w:val="00AC7803"/>
    <w:rsid w:val="00AD00B0"/>
    <w:rsid w:val="00AD678E"/>
    <w:rsid w:val="00AE4525"/>
    <w:rsid w:val="00B1296C"/>
    <w:rsid w:val="00B1335A"/>
    <w:rsid w:val="00B25B1A"/>
    <w:rsid w:val="00B363C2"/>
    <w:rsid w:val="00B44CAD"/>
    <w:rsid w:val="00B46E33"/>
    <w:rsid w:val="00B766DE"/>
    <w:rsid w:val="00BA1973"/>
    <w:rsid w:val="00BB1EDE"/>
    <w:rsid w:val="00BB59F9"/>
    <w:rsid w:val="00BD028D"/>
    <w:rsid w:val="00BD1BF1"/>
    <w:rsid w:val="00BD5B8B"/>
    <w:rsid w:val="00BE02DA"/>
    <w:rsid w:val="00BE2F3D"/>
    <w:rsid w:val="00BF1224"/>
    <w:rsid w:val="00BF7F41"/>
    <w:rsid w:val="00C01131"/>
    <w:rsid w:val="00C03EA3"/>
    <w:rsid w:val="00C072DF"/>
    <w:rsid w:val="00C10BDB"/>
    <w:rsid w:val="00C137DA"/>
    <w:rsid w:val="00C2356C"/>
    <w:rsid w:val="00C33739"/>
    <w:rsid w:val="00C36847"/>
    <w:rsid w:val="00C43D39"/>
    <w:rsid w:val="00C4607F"/>
    <w:rsid w:val="00C60381"/>
    <w:rsid w:val="00C70387"/>
    <w:rsid w:val="00C705F5"/>
    <w:rsid w:val="00C7326F"/>
    <w:rsid w:val="00C73B7F"/>
    <w:rsid w:val="00C73B97"/>
    <w:rsid w:val="00C76025"/>
    <w:rsid w:val="00C77501"/>
    <w:rsid w:val="00C85A08"/>
    <w:rsid w:val="00C92B52"/>
    <w:rsid w:val="00CA23C5"/>
    <w:rsid w:val="00CA4935"/>
    <w:rsid w:val="00CA7F12"/>
    <w:rsid w:val="00CC1208"/>
    <w:rsid w:val="00CC12D2"/>
    <w:rsid w:val="00CC32E5"/>
    <w:rsid w:val="00CC4775"/>
    <w:rsid w:val="00CC72C3"/>
    <w:rsid w:val="00CD04F5"/>
    <w:rsid w:val="00CD35E8"/>
    <w:rsid w:val="00CE42EF"/>
    <w:rsid w:val="00CE505B"/>
    <w:rsid w:val="00D00DFA"/>
    <w:rsid w:val="00D01B5D"/>
    <w:rsid w:val="00D037EC"/>
    <w:rsid w:val="00D1432E"/>
    <w:rsid w:val="00D25887"/>
    <w:rsid w:val="00D330E5"/>
    <w:rsid w:val="00D43E00"/>
    <w:rsid w:val="00D47C69"/>
    <w:rsid w:val="00D52580"/>
    <w:rsid w:val="00D61C94"/>
    <w:rsid w:val="00D62783"/>
    <w:rsid w:val="00D6658A"/>
    <w:rsid w:val="00D741EC"/>
    <w:rsid w:val="00D74B6F"/>
    <w:rsid w:val="00D758E1"/>
    <w:rsid w:val="00D82EC4"/>
    <w:rsid w:val="00D9787B"/>
    <w:rsid w:val="00DA1026"/>
    <w:rsid w:val="00DA11DF"/>
    <w:rsid w:val="00DA2F3B"/>
    <w:rsid w:val="00DA79BC"/>
    <w:rsid w:val="00DB326A"/>
    <w:rsid w:val="00DC0186"/>
    <w:rsid w:val="00DC12F6"/>
    <w:rsid w:val="00DD08DA"/>
    <w:rsid w:val="00DD5770"/>
    <w:rsid w:val="00DF22F7"/>
    <w:rsid w:val="00E05EFC"/>
    <w:rsid w:val="00E3372B"/>
    <w:rsid w:val="00E57060"/>
    <w:rsid w:val="00E57ED9"/>
    <w:rsid w:val="00E87A4F"/>
    <w:rsid w:val="00E935E4"/>
    <w:rsid w:val="00EA5D7D"/>
    <w:rsid w:val="00EB4711"/>
    <w:rsid w:val="00EC6237"/>
    <w:rsid w:val="00EC62A2"/>
    <w:rsid w:val="00EC7B20"/>
    <w:rsid w:val="00ED6B86"/>
    <w:rsid w:val="00EE4087"/>
    <w:rsid w:val="00EF2A73"/>
    <w:rsid w:val="00EF7754"/>
    <w:rsid w:val="00F04B7B"/>
    <w:rsid w:val="00F0745A"/>
    <w:rsid w:val="00F17EE5"/>
    <w:rsid w:val="00F26FFF"/>
    <w:rsid w:val="00F31F0B"/>
    <w:rsid w:val="00F342F7"/>
    <w:rsid w:val="00F359C9"/>
    <w:rsid w:val="00F365C6"/>
    <w:rsid w:val="00F41A08"/>
    <w:rsid w:val="00F43E8B"/>
    <w:rsid w:val="00F5484A"/>
    <w:rsid w:val="00F55A7C"/>
    <w:rsid w:val="00F622C8"/>
    <w:rsid w:val="00F86FD3"/>
    <w:rsid w:val="00F92310"/>
    <w:rsid w:val="00F959E9"/>
    <w:rsid w:val="00FA1C7F"/>
    <w:rsid w:val="00FA1CDA"/>
    <w:rsid w:val="00FB7039"/>
    <w:rsid w:val="00FC131E"/>
    <w:rsid w:val="00FC35EF"/>
    <w:rsid w:val="00FD3353"/>
    <w:rsid w:val="00FD44DB"/>
    <w:rsid w:val="00FD5F9F"/>
    <w:rsid w:val="00FE2A10"/>
    <w:rsid w:val="00FE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14:docId w14:val="17BEBFF9"/>
  <w15:docId w15:val="{93EF3ACB-B303-4EFE-8F14-62A970B19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3904"/>
    <w:rPr>
      <w:sz w:val="24"/>
      <w:szCs w:val="24"/>
    </w:rPr>
  </w:style>
  <w:style w:type="paragraph" w:styleId="Heading1">
    <w:name w:val="heading 1"/>
    <w:basedOn w:val="Normal"/>
    <w:next w:val="Normal"/>
    <w:link w:val="Heading1Char"/>
    <w:qFormat/>
    <w:rsid w:val="005D0D94"/>
    <w:pPr>
      <w:keepNext/>
      <w:keepLines/>
      <w:spacing w:before="480"/>
      <w:contextualSpacing/>
      <w:outlineLvl w:val="0"/>
    </w:pPr>
    <w:rPr>
      <w:b/>
      <w:bCs/>
      <w:color w:val="365F91"/>
      <w:sz w:val="28"/>
      <w:szCs w:val="28"/>
    </w:rPr>
  </w:style>
  <w:style w:type="paragraph" w:styleId="Heading2">
    <w:name w:val="heading 2"/>
    <w:basedOn w:val="Normal"/>
    <w:next w:val="Normal"/>
    <w:link w:val="Heading2Char"/>
    <w:uiPriority w:val="9"/>
    <w:unhideWhenUsed/>
    <w:qFormat/>
    <w:rsid w:val="005D0D94"/>
    <w:pPr>
      <w:keepNext/>
      <w:keepLines/>
      <w:spacing w:before="200"/>
      <w:contextualSpacing/>
      <w:outlineLvl w:val="1"/>
    </w:pPr>
    <w:rPr>
      <w:b/>
      <w:bCs/>
      <w:color w:val="4F81BD"/>
      <w:sz w:val="26"/>
      <w:szCs w:val="26"/>
    </w:rPr>
  </w:style>
  <w:style w:type="paragraph" w:styleId="Heading3">
    <w:name w:val="heading 3"/>
    <w:basedOn w:val="Normal"/>
    <w:next w:val="Normal"/>
    <w:link w:val="Heading3Char"/>
    <w:semiHidden/>
    <w:unhideWhenUsed/>
    <w:qFormat/>
    <w:rsid w:val="005D0D94"/>
    <w:pPr>
      <w:keepNext/>
      <w:spacing w:before="240" w:after="60"/>
      <w:outlineLvl w:val="2"/>
    </w:pPr>
    <w:rPr>
      <w:rFonts w:ascii="Cambria" w:hAnsi="Cambria"/>
      <w:b/>
      <w:bCs/>
      <w:sz w:val="26"/>
      <w:szCs w:val="26"/>
    </w:rPr>
  </w:style>
  <w:style w:type="paragraph" w:styleId="Heading4">
    <w:name w:val="heading 4"/>
    <w:basedOn w:val="Normal"/>
    <w:qFormat/>
    <w:rsid w:val="00747431"/>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533B"/>
    <w:pPr>
      <w:tabs>
        <w:tab w:val="center" w:pos="4320"/>
        <w:tab w:val="right" w:pos="8640"/>
      </w:tabs>
    </w:pPr>
  </w:style>
  <w:style w:type="paragraph" w:styleId="Footer">
    <w:name w:val="footer"/>
    <w:basedOn w:val="Normal"/>
    <w:rsid w:val="00A9533B"/>
    <w:pPr>
      <w:tabs>
        <w:tab w:val="center" w:pos="4320"/>
        <w:tab w:val="right" w:pos="8640"/>
      </w:tabs>
    </w:pPr>
  </w:style>
  <w:style w:type="paragraph" w:styleId="BalloonText">
    <w:name w:val="Balloon Text"/>
    <w:basedOn w:val="Normal"/>
    <w:semiHidden/>
    <w:rsid w:val="00EC6237"/>
    <w:rPr>
      <w:rFonts w:ascii="Tahoma" w:hAnsi="Tahoma" w:cs="Tahoma"/>
      <w:sz w:val="16"/>
      <w:szCs w:val="16"/>
    </w:rPr>
  </w:style>
  <w:style w:type="paragraph" w:styleId="NormalWeb">
    <w:name w:val="Normal (Web)"/>
    <w:basedOn w:val="Normal"/>
    <w:uiPriority w:val="99"/>
    <w:rsid w:val="007E454F"/>
    <w:pPr>
      <w:spacing w:before="100" w:beforeAutospacing="1" w:after="100" w:afterAutospacing="1"/>
    </w:pPr>
  </w:style>
  <w:style w:type="character" w:styleId="Strong">
    <w:name w:val="Strong"/>
    <w:basedOn w:val="DefaultParagraphFont"/>
    <w:qFormat/>
    <w:rsid w:val="007E454F"/>
    <w:rPr>
      <w:b/>
      <w:bCs/>
    </w:rPr>
  </w:style>
  <w:style w:type="character" w:styleId="Hyperlink">
    <w:name w:val="Hyperlink"/>
    <w:basedOn w:val="DefaultParagraphFont"/>
    <w:rsid w:val="00B1335A"/>
    <w:rPr>
      <w:color w:val="0000FF"/>
      <w:u w:val="single"/>
    </w:rPr>
  </w:style>
  <w:style w:type="paragraph" w:customStyle="1" w:styleId="Default">
    <w:name w:val="Default"/>
    <w:link w:val="DefaultChar"/>
    <w:rsid w:val="00301F69"/>
    <w:pPr>
      <w:autoSpaceDE w:val="0"/>
      <w:autoSpaceDN w:val="0"/>
      <w:adjustRightInd w:val="0"/>
    </w:pPr>
    <w:rPr>
      <w:rFonts w:ascii="Arial" w:hAnsi="Arial" w:cs="Arial"/>
      <w:color w:val="000000"/>
      <w:sz w:val="24"/>
      <w:szCs w:val="24"/>
    </w:rPr>
  </w:style>
  <w:style w:type="paragraph" w:styleId="BodyText">
    <w:name w:val="Body Text"/>
    <w:aliases w:val="Body Text Char"/>
    <w:basedOn w:val="Default"/>
    <w:next w:val="Default"/>
    <w:rsid w:val="00301F69"/>
    <w:rPr>
      <w:rFonts w:cs="Times New Roman"/>
      <w:color w:val="auto"/>
    </w:rPr>
  </w:style>
  <w:style w:type="paragraph" w:customStyle="1" w:styleId="AnnouncementTitle">
    <w:name w:val="Announcement Title"/>
    <w:basedOn w:val="Default"/>
    <w:next w:val="Default"/>
    <w:link w:val="AnnouncementTitleChar"/>
    <w:rsid w:val="00D741EC"/>
    <w:rPr>
      <w:rFonts w:cs="Times New Roman"/>
      <w:color w:val="auto"/>
    </w:rPr>
  </w:style>
  <w:style w:type="character" w:customStyle="1" w:styleId="DefaultChar">
    <w:name w:val="Default Char"/>
    <w:basedOn w:val="DefaultParagraphFont"/>
    <w:link w:val="Default"/>
    <w:rsid w:val="009A29EB"/>
    <w:rPr>
      <w:rFonts w:ascii="Arial" w:hAnsi="Arial" w:cs="Arial"/>
      <w:color w:val="000000"/>
      <w:sz w:val="24"/>
      <w:szCs w:val="24"/>
      <w:lang w:val="en-US" w:eastAsia="en-US" w:bidi="ar-SA"/>
    </w:rPr>
  </w:style>
  <w:style w:type="character" w:customStyle="1" w:styleId="AnnouncementTitleChar">
    <w:name w:val="Announcement Title Char"/>
    <w:basedOn w:val="DefaultChar"/>
    <w:link w:val="AnnouncementTitle"/>
    <w:rsid w:val="009A29EB"/>
    <w:rPr>
      <w:rFonts w:ascii="Arial" w:hAnsi="Arial" w:cs="Arial"/>
      <w:color w:val="000000"/>
      <w:sz w:val="24"/>
      <w:szCs w:val="24"/>
      <w:lang w:val="en-US" w:eastAsia="en-US" w:bidi="ar-SA"/>
    </w:rPr>
  </w:style>
  <w:style w:type="paragraph" w:styleId="ListParagraph">
    <w:name w:val="List Paragraph"/>
    <w:basedOn w:val="Normal"/>
    <w:uiPriority w:val="34"/>
    <w:qFormat/>
    <w:rsid w:val="00F342F7"/>
    <w:pPr>
      <w:ind w:left="720"/>
    </w:pPr>
  </w:style>
  <w:style w:type="paragraph" w:styleId="FootnoteText">
    <w:name w:val="footnote text"/>
    <w:basedOn w:val="Default"/>
    <w:next w:val="Default"/>
    <w:link w:val="FootnoteTextChar"/>
    <w:uiPriority w:val="99"/>
    <w:rsid w:val="00E3372B"/>
    <w:rPr>
      <w:rFonts w:ascii="JAKHMM+PalatinoLinotype" w:hAnsi="JAKHMM+PalatinoLinotype" w:cs="Times New Roman"/>
      <w:color w:val="auto"/>
    </w:rPr>
  </w:style>
  <w:style w:type="character" w:customStyle="1" w:styleId="FootnoteTextChar">
    <w:name w:val="Footnote Text Char"/>
    <w:basedOn w:val="DefaultParagraphFont"/>
    <w:link w:val="FootnoteText"/>
    <w:uiPriority w:val="99"/>
    <w:rsid w:val="00E3372B"/>
    <w:rPr>
      <w:rFonts w:ascii="JAKHMM+PalatinoLinotype" w:hAnsi="JAKHMM+PalatinoLinotype"/>
      <w:sz w:val="24"/>
      <w:szCs w:val="24"/>
    </w:rPr>
  </w:style>
  <w:style w:type="character" w:customStyle="1" w:styleId="Heading3Char">
    <w:name w:val="Heading 3 Char"/>
    <w:basedOn w:val="DefaultParagraphFont"/>
    <w:link w:val="Heading3"/>
    <w:semiHidden/>
    <w:rsid w:val="005D0D94"/>
    <w:rPr>
      <w:rFonts w:ascii="Cambria" w:eastAsia="Times New Roman" w:hAnsi="Cambria" w:cs="Times New Roman"/>
      <w:b/>
      <w:bCs/>
      <w:sz w:val="26"/>
      <w:szCs w:val="26"/>
    </w:rPr>
  </w:style>
  <w:style w:type="character" w:customStyle="1" w:styleId="Heading1Char">
    <w:name w:val="Heading 1 Char"/>
    <w:basedOn w:val="DefaultParagraphFont"/>
    <w:link w:val="Heading1"/>
    <w:rsid w:val="005D0D94"/>
    <w:rPr>
      <w:rFonts w:eastAsia="Times New Roman" w:cs="Times New Roman"/>
      <w:b/>
      <w:bCs/>
      <w:color w:val="365F91"/>
      <w:sz w:val="28"/>
      <w:szCs w:val="28"/>
    </w:rPr>
  </w:style>
  <w:style w:type="character" w:customStyle="1" w:styleId="Heading2Char">
    <w:name w:val="Heading 2 Char"/>
    <w:basedOn w:val="DefaultParagraphFont"/>
    <w:link w:val="Heading2"/>
    <w:uiPriority w:val="9"/>
    <w:rsid w:val="005D0D94"/>
    <w:rPr>
      <w:rFonts w:eastAsia="Times New Roman" w:cs="Times New Roman"/>
      <w:b/>
      <w:bCs/>
      <w:color w:val="4F81BD"/>
      <w:sz w:val="26"/>
      <w:szCs w:val="26"/>
    </w:rPr>
  </w:style>
  <w:style w:type="table" w:styleId="TableGrid">
    <w:name w:val="Table Grid"/>
    <w:basedOn w:val="TableNormal"/>
    <w:uiPriority w:val="59"/>
    <w:rsid w:val="006B2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885592">
      <w:bodyDiv w:val="1"/>
      <w:marLeft w:val="0"/>
      <w:marRight w:val="0"/>
      <w:marTop w:val="0"/>
      <w:marBottom w:val="0"/>
      <w:divBdr>
        <w:top w:val="none" w:sz="0" w:space="0" w:color="auto"/>
        <w:left w:val="none" w:sz="0" w:space="0" w:color="auto"/>
        <w:bottom w:val="none" w:sz="0" w:space="0" w:color="auto"/>
        <w:right w:val="none" w:sz="0" w:space="0" w:color="auto"/>
      </w:divBdr>
      <w:divsChild>
        <w:div w:id="536237509">
          <w:marLeft w:val="0"/>
          <w:marRight w:val="0"/>
          <w:marTop w:val="0"/>
          <w:marBottom w:val="0"/>
          <w:divBdr>
            <w:top w:val="none" w:sz="0" w:space="0" w:color="auto"/>
            <w:left w:val="none" w:sz="0" w:space="0" w:color="auto"/>
            <w:bottom w:val="none" w:sz="0" w:space="0" w:color="auto"/>
            <w:right w:val="none" w:sz="0" w:space="0" w:color="auto"/>
          </w:divBdr>
          <w:divsChild>
            <w:div w:id="1024096455">
              <w:marLeft w:val="0"/>
              <w:marRight w:val="0"/>
              <w:marTop w:val="0"/>
              <w:marBottom w:val="0"/>
              <w:divBdr>
                <w:top w:val="none" w:sz="0" w:space="0" w:color="auto"/>
                <w:left w:val="none" w:sz="0" w:space="0" w:color="auto"/>
                <w:bottom w:val="none" w:sz="0" w:space="0" w:color="auto"/>
                <w:right w:val="none" w:sz="0" w:space="0" w:color="auto"/>
              </w:divBdr>
              <w:divsChild>
                <w:div w:id="325017275">
                  <w:marLeft w:val="0"/>
                  <w:marRight w:val="0"/>
                  <w:marTop w:val="0"/>
                  <w:marBottom w:val="0"/>
                  <w:divBdr>
                    <w:top w:val="none" w:sz="0" w:space="0" w:color="auto"/>
                    <w:left w:val="none" w:sz="0" w:space="0" w:color="auto"/>
                    <w:bottom w:val="none" w:sz="0" w:space="0" w:color="auto"/>
                    <w:right w:val="none" w:sz="0" w:space="0" w:color="auto"/>
                  </w:divBdr>
                </w:div>
                <w:div w:id="659626027">
                  <w:marLeft w:val="0"/>
                  <w:marRight w:val="0"/>
                  <w:marTop w:val="0"/>
                  <w:marBottom w:val="0"/>
                  <w:divBdr>
                    <w:top w:val="none" w:sz="0" w:space="0" w:color="auto"/>
                    <w:left w:val="none" w:sz="0" w:space="0" w:color="auto"/>
                    <w:bottom w:val="none" w:sz="0" w:space="0" w:color="auto"/>
                    <w:right w:val="none" w:sz="0" w:space="0" w:color="auto"/>
                  </w:divBdr>
                </w:div>
                <w:div w:id="158808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1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8" ma:contentTypeDescription="Create a new document." ma:contentTypeScope="" ma:versionID="6344b2b4a6911a2f0a8f93b1fb34a0e0">
  <xsd:schema xmlns:xsd="http://www.w3.org/2001/XMLSchema" xmlns:xs="http://www.w3.org/2001/XMLSchema" xmlns:p="http://schemas.microsoft.com/office/2006/metadata/properties" xmlns:ns2="ead14a2b-0901-4851-9135-e440dd1a60d2" targetNamespace="http://schemas.microsoft.com/office/2006/metadata/properties" ma:root="true" ma:fieldsID="5acd947e48a6a3912c3029af96ab2042" ns2:_="">
    <xsd:import namespace="ead14a2b-0901-4851-9135-e440dd1a60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CC6107-2988-42F8-B373-3F6BDB51FB7E}">
  <ds:schemaRefs>
    <ds:schemaRef ds:uri="http://schemas.microsoft.com/sharepoint/v3/contenttype/forms"/>
  </ds:schemaRefs>
</ds:datastoreItem>
</file>

<file path=customXml/itemProps2.xml><?xml version="1.0" encoding="utf-8"?>
<ds:datastoreItem xmlns:ds="http://schemas.openxmlformats.org/officeDocument/2006/customXml" ds:itemID="{C185DEB0-332E-4E6B-AD8C-C068D8DF0DB9}">
  <ds:schemaRefs>
    <ds:schemaRef ds:uri="http://schemas.microsoft.com/office/2006/metadata/properties"/>
    <ds:schemaRef ds:uri="c564f204-83dd-477d-ba8c-66b0f8895676"/>
    <ds:schemaRef ds:uri="http://purl.org/dc/terms/"/>
    <ds:schemaRef ds:uri="http://schemas.openxmlformats.org/package/2006/metadata/core-properties"/>
    <ds:schemaRef ds:uri="http://schemas.microsoft.com/office/2006/documentManagement/types"/>
    <ds:schemaRef ds:uri="421b5dec-8cd7-4fdb-a529-4a82f33c0af1"/>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256FAB1-A67E-4F8F-A2F9-706C9D69AD3C}">
  <ds:schemaRefs>
    <ds:schemaRef ds:uri="http://schemas.openxmlformats.org/officeDocument/2006/bibliography"/>
  </ds:schemaRefs>
</ds:datastoreItem>
</file>

<file path=customXml/itemProps4.xml><?xml version="1.0" encoding="utf-8"?>
<ds:datastoreItem xmlns:ds="http://schemas.openxmlformats.org/officeDocument/2006/customXml" ds:itemID="{260047CC-CA28-489A-8138-45FA7F834CB2}"/>
</file>

<file path=docProps/app.xml><?xml version="1.0" encoding="utf-8"?>
<Properties xmlns="http://schemas.openxmlformats.org/officeDocument/2006/extended-properties" xmlns:vt="http://schemas.openxmlformats.org/officeDocument/2006/docPropsVTypes">
  <Template>Normal</Template>
  <TotalTime>1</TotalTime>
  <Pages>14</Pages>
  <Words>4398</Words>
  <Characters>25070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State of Alabama</vt:lpstr>
    </vt:vector>
  </TitlesOfParts>
  <Company>State of Alabama DECA</Company>
  <LinksUpToDate>false</LinksUpToDate>
  <CharactersWithSpaces>29410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Alabama</dc:title>
  <dc:creator>Randy.Ray</dc:creator>
  <cp:lastModifiedBy>Forster, Brian</cp:lastModifiedBy>
  <cp:revision>2</cp:revision>
  <cp:lastPrinted>2021-06-10T13:04:00Z</cp:lastPrinted>
  <dcterms:created xsi:type="dcterms:W3CDTF">2021-06-16T18:01:00Z</dcterms:created>
  <dcterms:modified xsi:type="dcterms:W3CDTF">2021-06-16T18:01:00Z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0x010100925F50E3F8B8C44D9EA5BD2549956CF2</vt:lpwstr>
  </property>
</Properties>
</file>