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8AD00" w14:textId="77777777" w:rsidR="000B1045" w:rsidRPr="008E7893" w:rsidRDefault="000B1045" w:rsidP="000B1045">
      <w:pPr>
        <w:spacing w:line="240" w:lineRule="auto"/>
        <w:contextualSpacing/>
        <w:rPr>
          <w:rFonts w:ascii="Arial" w:hAnsi="Arial" w:cs="Arial"/>
          <w:b/>
        </w:rPr>
      </w:pPr>
      <w:r w:rsidRPr="008E7893">
        <w:rPr>
          <w:rFonts w:ascii="Arial" w:hAnsi="Arial" w:cs="Arial"/>
          <w:b/>
        </w:rPr>
        <w:t>Subrecipient:</w:t>
      </w:r>
    </w:p>
    <w:p w14:paraId="3B61BEAE" w14:textId="77777777" w:rsidR="000B1045" w:rsidRPr="008E7893" w:rsidRDefault="000B1045" w:rsidP="000B1045">
      <w:pPr>
        <w:tabs>
          <w:tab w:val="left" w:pos="3960"/>
        </w:tabs>
        <w:spacing w:line="240" w:lineRule="auto"/>
        <w:contextualSpacing/>
        <w:rPr>
          <w:rFonts w:ascii="Arial" w:hAnsi="Arial" w:cs="Arial"/>
          <w:b/>
        </w:rPr>
      </w:pPr>
      <w:r w:rsidRPr="008E7893">
        <w:rPr>
          <w:rFonts w:ascii="Arial" w:hAnsi="Arial" w:cs="Arial"/>
          <w:b/>
        </w:rPr>
        <w:t>Contract Number:</w:t>
      </w:r>
      <w:r>
        <w:rPr>
          <w:rFonts w:ascii="Arial" w:hAnsi="Arial" w:cs="Arial"/>
          <w:b/>
        </w:rPr>
        <w:tab/>
      </w:r>
    </w:p>
    <w:p w14:paraId="2FDCDF58" w14:textId="77777777" w:rsidR="000B1045" w:rsidRPr="008E7893" w:rsidRDefault="000B1045" w:rsidP="000B1045">
      <w:pPr>
        <w:tabs>
          <w:tab w:val="left" w:pos="3588"/>
        </w:tabs>
        <w:spacing w:line="240" w:lineRule="auto"/>
        <w:contextualSpacing/>
        <w:rPr>
          <w:rFonts w:ascii="Arial" w:hAnsi="Arial" w:cs="Arial"/>
          <w:b/>
        </w:rPr>
      </w:pPr>
      <w:r w:rsidRPr="008E7893">
        <w:rPr>
          <w:rFonts w:ascii="Arial" w:hAnsi="Arial" w:cs="Arial"/>
          <w:b/>
        </w:rPr>
        <w:t>Second-tier Subrecipient:</w:t>
      </w:r>
      <w:r>
        <w:rPr>
          <w:rFonts w:ascii="Arial" w:hAnsi="Arial" w:cs="Arial"/>
          <w:b/>
        </w:rPr>
        <w:tab/>
      </w:r>
    </w:p>
    <w:p w14:paraId="47710D68" w14:textId="77777777" w:rsidR="00FC5229" w:rsidRDefault="000B1045" w:rsidP="000B1045">
      <w:pPr>
        <w:spacing w:line="240" w:lineRule="auto"/>
        <w:contextualSpacing/>
        <w:rPr>
          <w:rFonts w:ascii="Arial" w:hAnsi="Arial" w:cs="Arial"/>
          <w:b/>
        </w:rPr>
      </w:pPr>
      <w:r>
        <w:rPr>
          <w:rFonts w:ascii="Arial" w:hAnsi="Arial" w:cs="Arial"/>
          <w:b/>
        </w:rPr>
        <w:t>Request for Payment</w:t>
      </w:r>
      <w:r w:rsidRPr="00722CF6">
        <w:rPr>
          <w:rFonts w:ascii="Arial" w:hAnsi="Arial" w:cs="Arial"/>
          <w:b/>
        </w:rPr>
        <w:t xml:space="preserve"> Number</w:t>
      </w:r>
      <w:r w:rsidRPr="008E7893">
        <w:rPr>
          <w:rFonts w:ascii="Arial" w:hAnsi="Arial" w:cs="Arial"/>
          <w:b/>
        </w:rPr>
        <w:t>:</w:t>
      </w:r>
    </w:p>
    <w:p w14:paraId="571C31D6" w14:textId="77777777" w:rsidR="000B1045" w:rsidRPr="00FC1111" w:rsidRDefault="000B1045" w:rsidP="000B1045">
      <w:pPr>
        <w:spacing w:line="240" w:lineRule="auto"/>
        <w:contextualSpacing/>
        <w:rPr>
          <w:rFonts w:ascii="Arial" w:hAnsi="Arial" w:cs="Arial"/>
          <w:b/>
          <w:sz w:val="16"/>
          <w:szCs w:val="16"/>
        </w:rPr>
      </w:pPr>
    </w:p>
    <w:p w14:paraId="6FB0BD86" w14:textId="1F3AA00E" w:rsidR="000B1045" w:rsidRPr="007E0CF7" w:rsidRDefault="000B1045" w:rsidP="000B1045">
      <w:pPr>
        <w:contextualSpacing/>
        <w:rPr>
          <w:rFonts w:ascii="Arial" w:hAnsi="Arial" w:cs="Arial"/>
          <w:b/>
          <w:bCs/>
          <w:color w:val="FF0000"/>
        </w:rPr>
      </w:pPr>
      <w:r w:rsidRPr="00722CF6">
        <w:rPr>
          <w:rFonts w:ascii="Arial" w:hAnsi="Arial" w:cs="Arial"/>
        </w:rPr>
        <w:t>Instructions: Provide individual cover sheets for each second-tier subrecipient only when ESG</w:t>
      </w:r>
      <w:r w:rsidR="007E0CF7">
        <w:rPr>
          <w:rFonts w:ascii="Arial" w:hAnsi="Arial" w:cs="Arial"/>
        </w:rPr>
        <w:t>-CV</w:t>
      </w:r>
      <w:r w:rsidRPr="00722CF6">
        <w:rPr>
          <w:rFonts w:ascii="Arial" w:hAnsi="Arial" w:cs="Arial"/>
        </w:rPr>
        <w:t xml:space="preserve"> funds are requested</w:t>
      </w:r>
      <w:r w:rsidR="007E0CF7">
        <w:rPr>
          <w:rFonts w:ascii="Arial" w:hAnsi="Arial" w:cs="Arial"/>
        </w:rPr>
        <w:t>.</w:t>
      </w:r>
      <w:r w:rsidRPr="00722CF6">
        <w:rPr>
          <w:rFonts w:ascii="Arial" w:hAnsi="Arial" w:cs="Arial"/>
        </w:rPr>
        <w:t xml:space="preserve"> For each applicable Activity Cost Type listed below, </w:t>
      </w:r>
      <w:r w:rsidR="001C02AC">
        <w:rPr>
          <w:rFonts w:ascii="Arial" w:hAnsi="Arial" w:cs="Arial"/>
        </w:rPr>
        <w:t>list</w:t>
      </w:r>
      <w:r w:rsidRPr="00722CF6">
        <w:rPr>
          <w:rFonts w:ascii="Arial" w:hAnsi="Arial" w:cs="Arial"/>
        </w:rPr>
        <w:t xml:space="preserve"> the </w:t>
      </w:r>
      <w:r w:rsidR="00265B02">
        <w:rPr>
          <w:rFonts w:ascii="Arial" w:hAnsi="Arial" w:cs="Arial"/>
        </w:rPr>
        <w:t xml:space="preserve">total </w:t>
      </w:r>
      <w:r w:rsidRPr="00722CF6">
        <w:rPr>
          <w:rFonts w:ascii="Arial" w:hAnsi="Arial" w:cs="Arial"/>
        </w:rPr>
        <w:t>amount of ESG</w:t>
      </w:r>
      <w:r w:rsidR="007E0CF7">
        <w:rPr>
          <w:rFonts w:ascii="Arial" w:hAnsi="Arial" w:cs="Arial"/>
        </w:rPr>
        <w:t>-CV</w:t>
      </w:r>
      <w:r w:rsidRPr="00722CF6">
        <w:rPr>
          <w:rFonts w:ascii="Arial" w:hAnsi="Arial" w:cs="Arial"/>
        </w:rPr>
        <w:t xml:space="preserve"> funds requested</w:t>
      </w:r>
      <w:r w:rsidR="007E0CF7">
        <w:rPr>
          <w:rFonts w:ascii="Arial" w:hAnsi="Arial" w:cs="Arial"/>
        </w:rPr>
        <w:t>.</w:t>
      </w:r>
      <w:r w:rsidRPr="00722CF6">
        <w:rPr>
          <w:rFonts w:ascii="Arial" w:hAnsi="Arial" w:cs="Arial"/>
        </w:rPr>
        <w:t xml:space="preserve"> You may provide/attach any remarks or explanations as applicable. </w:t>
      </w:r>
      <w:r w:rsidRPr="007E0CF7">
        <w:rPr>
          <w:rFonts w:ascii="Arial" w:hAnsi="Arial" w:cs="Arial"/>
          <w:b/>
          <w:bCs/>
        </w:rPr>
        <w:t>Submit a detailed summary of individual expenditures for each Activity Cost Type</w:t>
      </w:r>
      <w:r w:rsidR="007E0CF7" w:rsidRPr="007E0CF7">
        <w:rPr>
          <w:rFonts w:ascii="Arial" w:hAnsi="Arial" w:cs="Arial"/>
          <w:b/>
          <w:bCs/>
        </w:rPr>
        <w:t>.</w:t>
      </w:r>
      <w:r w:rsidRPr="007E0CF7">
        <w:rPr>
          <w:rFonts w:ascii="Arial" w:hAnsi="Arial" w:cs="Arial"/>
          <w:b/>
          <w:bCs/>
        </w:rPr>
        <w:t xml:space="preserve"> </w:t>
      </w:r>
    </w:p>
    <w:p w14:paraId="6A63B543" w14:textId="77777777" w:rsidR="000B1045" w:rsidRPr="008E7893" w:rsidRDefault="000B1045" w:rsidP="000B1045">
      <w:pPr>
        <w:contextualSpacing/>
        <w:rPr>
          <w:rFonts w:ascii="Arial" w:hAnsi="Arial" w:cs="Arial"/>
        </w:rPr>
      </w:pPr>
    </w:p>
    <w:p w14:paraId="0E2DC7A6" w14:textId="6CBDC958" w:rsidR="000B1045" w:rsidRPr="00722CF6" w:rsidRDefault="000B1045" w:rsidP="000B1045">
      <w:pPr>
        <w:contextualSpacing/>
        <w:rPr>
          <w:rFonts w:ascii="Arial" w:hAnsi="Arial" w:cs="Arial"/>
        </w:rPr>
      </w:pPr>
      <w:r w:rsidRPr="00722CF6">
        <w:rPr>
          <w:rFonts w:ascii="Arial" w:hAnsi="Arial" w:cs="Arial"/>
        </w:rPr>
        <w:t xml:space="preserve">Staff and travel costs incurred while </w:t>
      </w:r>
      <w:r w:rsidR="007C4367">
        <w:rPr>
          <w:rFonts w:ascii="Arial" w:hAnsi="Arial" w:cs="Arial"/>
        </w:rPr>
        <w:t>performing duties</w:t>
      </w:r>
      <w:r w:rsidRPr="00722CF6">
        <w:rPr>
          <w:rFonts w:ascii="Arial" w:hAnsi="Arial" w:cs="Arial"/>
        </w:rPr>
        <w:t xml:space="preserve"> should be included in the applicable Activity Cost Type. Timesheets showing actual hours worked on ESG-</w:t>
      </w:r>
      <w:r w:rsidR="007E0CF7">
        <w:rPr>
          <w:rFonts w:ascii="Arial" w:hAnsi="Arial" w:cs="Arial"/>
        </w:rPr>
        <w:t xml:space="preserve">CV </w:t>
      </w:r>
      <w:r w:rsidRPr="00722CF6">
        <w:rPr>
          <w:rFonts w:ascii="Arial" w:hAnsi="Arial" w:cs="Arial"/>
        </w:rPr>
        <w:t>budgeted activities must be documented. For each employee, attach a daily summary of duties performed for specific program participants to show relevance to the ESG</w:t>
      </w:r>
      <w:r w:rsidR="007E0CF7">
        <w:rPr>
          <w:rFonts w:ascii="Arial" w:hAnsi="Arial" w:cs="Arial"/>
        </w:rPr>
        <w:t>-CV</w:t>
      </w:r>
      <w:r w:rsidRPr="00722CF6">
        <w:rPr>
          <w:rFonts w:ascii="Arial" w:hAnsi="Arial" w:cs="Arial"/>
        </w:rPr>
        <w:t xml:space="preserve"> project. Keep the timesheets and summary of duties in your files.</w:t>
      </w:r>
    </w:p>
    <w:p w14:paraId="0D50EBE5" w14:textId="77777777" w:rsidR="000B1045" w:rsidRPr="00722CF6" w:rsidRDefault="000B1045" w:rsidP="000B1045">
      <w:pPr>
        <w:contextualSpacing/>
        <w:rPr>
          <w:rFonts w:ascii="Arial" w:hAnsi="Arial" w:cs="Arial"/>
        </w:rPr>
      </w:pPr>
    </w:p>
    <w:p w14:paraId="747679B1" w14:textId="0B6C74E6" w:rsidR="000B1045" w:rsidRDefault="000B1045" w:rsidP="000B1045">
      <w:pPr>
        <w:contextualSpacing/>
        <w:rPr>
          <w:rFonts w:ascii="Arial" w:hAnsi="Arial" w:cs="Arial"/>
        </w:rPr>
      </w:pPr>
      <w:r w:rsidRPr="00722CF6">
        <w:rPr>
          <w:rFonts w:ascii="Arial" w:hAnsi="Arial" w:cs="Arial"/>
        </w:rPr>
        <w:t>When ESG</w:t>
      </w:r>
      <w:r w:rsidR="007E0CF7">
        <w:rPr>
          <w:rFonts w:ascii="Arial" w:hAnsi="Arial" w:cs="Arial"/>
        </w:rPr>
        <w:t>-CV</w:t>
      </w:r>
      <w:r w:rsidRPr="00722CF6">
        <w:rPr>
          <w:rFonts w:ascii="Arial" w:hAnsi="Arial" w:cs="Arial"/>
        </w:rPr>
        <w:t xml:space="preserve"> funds are requested</w:t>
      </w:r>
      <w:r w:rsidR="007E0CF7">
        <w:rPr>
          <w:rFonts w:ascii="Arial" w:hAnsi="Arial" w:cs="Arial"/>
        </w:rPr>
        <w:t>,</w:t>
      </w:r>
      <w:r w:rsidRPr="00722CF6">
        <w:rPr>
          <w:rFonts w:ascii="Arial" w:hAnsi="Arial" w:cs="Arial"/>
        </w:rPr>
        <w:t xml:space="preserve"> </w:t>
      </w:r>
      <w:r w:rsidRPr="00722CF6">
        <w:rPr>
          <w:rFonts w:ascii="Arial" w:hAnsi="Arial" w:cs="Arial"/>
          <w:u w:val="single"/>
        </w:rPr>
        <w:t xml:space="preserve">submit a list of program participants served during the period covered by the </w:t>
      </w:r>
      <w:r w:rsidR="007C4367">
        <w:rPr>
          <w:rFonts w:ascii="Arial" w:hAnsi="Arial" w:cs="Arial"/>
          <w:u w:val="single"/>
        </w:rPr>
        <w:t>request</w:t>
      </w:r>
      <w:r w:rsidRPr="00722CF6">
        <w:rPr>
          <w:rFonts w:ascii="Arial" w:hAnsi="Arial" w:cs="Arial"/>
          <w:u w:val="single"/>
        </w:rPr>
        <w:t>.</w:t>
      </w:r>
      <w:r w:rsidRPr="00722CF6">
        <w:rPr>
          <w:rFonts w:ascii="Arial" w:hAnsi="Arial" w:cs="Arial"/>
        </w:rPr>
        <w:t xml:space="preserve"> Client numbers or HMIS</w:t>
      </w:r>
      <w:r>
        <w:rPr>
          <w:rFonts w:ascii="Arial" w:hAnsi="Arial" w:cs="Arial"/>
        </w:rPr>
        <w:t>/comparable database</w:t>
      </w:r>
      <w:r w:rsidRPr="00722CF6">
        <w:rPr>
          <w:rFonts w:ascii="Arial" w:hAnsi="Arial" w:cs="Arial"/>
        </w:rPr>
        <w:t xml:space="preserve"> numbers may be used to preserve confidentiality. </w:t>
      </w:r>
    </w:p>
    <w:p w14:paraId="002782C6" w14:textId="77777777" w:rsidR="006E6E96" w:rsidRDefault="006E6E96" w:rsidP="000B1045">
      <w:pPr>
        <w:contextualSpacing/>
        <w:rPr>
          <w:rFonts w:ascii="Arial" w:hAnsi="Arial" w:cs="Arial"/>
        </w:rPr>
      </w:pPr>
    </w:p>
    <w:p w14:paraId="06D0A8FF" w14:textId="77777777" w:rsidR="006E6E96" w:rsidRPr="00662F47" w:rsidRDefault="006E6E96" w:rsidP="000B1045">
      <w:pPr>
        <w:contextualSpacing/>
        <w:rPr>
          <w:rFonts w:ascii="Arial" w:hAnsi="Arial" w:cs="Arial"/>
          <w:b/>
          <w:bCs/>
        </w:rPr>
      </w:pPr>
      <w:bookmarkStart w:id="0" w:name="_Hlk34043110"/>
      <w:r w:rsidRPr="00662F47">
        <w:rPr>
          <w:rFonts w:ascii="Arial" w:hAnsi="Arial" w:cs="Arial"/>
          <w:b/>
          <w:bCs/>
        </w:rPr>
        <w:t>Attach the Prevention/Re-Housing Documentation Checklist if rental or financial assistance was provided.</w:t>
      </w:r>
    </w:p>
    <w:bookmarkEnd w:id="0"/>
    <w:p w14:paraId="0DEFE18F" w14:textId="77777777" w:rsidR="00FC1111" w:rsidRPr="00FC1111" w:rsidRDefault="00FC1111" w:rsidP="0081477A">
      <w:pPr>
        <w:spacing w:line="240" w:lineRule="auto"/>
        <w:contextualSpacing/>
        <w:rPr>
          <w:rFonts w:ascii="Arial" w:hAnsi="Arial" w:cs="Arial"/>
          <w:b/>
          <w:sz w:val="16"/>
          <w:szCs w:val="16"/>
        </w:rPr>
      </w:pPr>
    </w:p>
    <w:p w14:paraId="46ACDF2A" w14:textId="44FFE644" w:rsidR="0081477A" w:rsidRDefault="0067037B" w:rsidP="0081477A">
      <w:pPr>
        <w:spacing w:line="240" w:lineRule="auto"/>
        <w:contextualSpacing/>
        <w:jc w:val="center"/>
        <w:rPr>
          <w:rFonts w:ascii="Arial" w:hAnsi="Arial" w:cs="Arial"/>
          <w:b/>
          <w:sz w:val="24"/>
          <w:szCs w:val="24"/>
        </w:rPr>
      </w:pPr>
      <w:r>
        <w:rPr>
          <w:rFonts w:ascii="Arial" w:hAnsi="Arial" w:cs="Arial"/>
          <w:b/>
          <w:sz w:val="24"/>
          <w:szCs w:val="24"/>
        </w:rPr>
        <w:t>RAPID RE-HOUSING</w:t>
      </w:r>
    </w:p>
    <w:p w14:paraId="70FA3000" w14:textId="77777777" w:rsidR="0081477A" w:rsidRDefault="0081477A" w:rsidP="0081477A">
      <w:pPr>
        <w:spacing w:line="240" w:lineRule="auto"/>
        <w:contextualSpacing/>
        <w:jc w:val="center"/>
        <w:rPr>
          <w:rFonts w:ascii="Arial" w:hAnsi="Arial" w:cs="Arial"/>
          <w:sz w:val="24"/>
          <w:szCs w:val="24"/>
        </w:rPr>
      </w:pPr>
    </w:p>
    <w:tbl>
      <w:tblPr>
        <w:tblStyle w:val="TableGrid"/>
        <w:tblW w:w="9247" w:type="dxa"/>
        <w:tblInd w:w="769" w:type="dxa"/>
        <w:tblLook w:val="04A0" w:firstRow="1" w:lastRow="0" w:firstColumn="1" w:lastColumn="0" w:noHBand="0" w:noVBand="1"/>
      </w:tblPr>
      <w:tblGrid>
        <w:gridCol w:w="6007"/>
        <w:gridCol w:w="3240"/>
      </w:tblGrid>
      <w:tr w:rsidR="007E0CF7" w14:paraId="43CCD76B" w14:textId="77777777" w:rsidTr="005527E3">
        <w:tc>
          <w:tcPr>
            <w:tcW w:w="6007" w:type="dxa"/>
          </w:tcPr>
          <w:p w14:paraId="49105B26" w14:textId="77777777" w:rsidR="007E0CF7" w:rsidRPr="00FC5229" w:rsidRDefault="007E0CF7" w:rsidP="0081477A">
            <w:pPr>
              <w:contextualSpacing/>
              <w:rPr>
                <w:rFonts w:ascii="Arial" w:hAnsi="Arial" w:cs="Arial"/>
                <w:b/>
                <w:sz w:val="24"/>
                <w:szCs w:val="24"/>
              </w:rPr>
            </w:pPr>
            <w:r w:rsidRPr="00FC5229">
              <w:rPr>
                <w:rFonts w:ascii="Arial" w:hAnsi="Arial" w:cs="Arial"/>
                <w:b/>
                <w:sz w:val="24"/>
                <w:szCs w:val="24"/>
              </w:rPr>
              <w:t>Activity</w:t>
            </w:r>
            <w:r>
              <w:rPr>
                <w:rFonts w:ascii="Arial" w:hAnsi="Arial" w:cs="Arial"/>
                <w:b/>
                <w:sz w:val="24"/>
                <w:szCs w:val="24"/>
              </w:rPr>
              <w:t xml:space="preserve"> Cost Type</w:t>
            </w:r>
          </w:p>
        </w:tc>
        <w:tc>
          <w:tcPr>
            <w:tcW w:w="3240" w:type="dxa"/>
          </w:tcPr>
          <w:p w14:paraId="1385910E" w14:textId="00B5F6D4" w:rsidR="007E0CF7" w:rsidRPr="00FC5229" w:rsidRDefault="007E0CF7" w:rsidP="0081477A">
            <w:pPr>
              <w:contextualSpacing/>
              <w:rPr>
                <w:rFonts w:ascii="Arial" w:hAnsi="Arial" w:cs="Arial"/>
                <w:b/>
                <w:sz w:val="24"/>
                <w:szCs w:val="24"/>
              </w:rPr>
            </w:pPr>
            <w:r w:rsidRPr="00FC5229">
              <w:rPr>
                <w:rFonts w:ascii="Arial" w:hAnsi="Arial" w:cs="Arial"/>
                <w:b/>
                <w:sz w:val="24"/>
                <w:szCs w:val="24"/>
              </w:rPr>
              <w:t>ESG</w:t>
            </w:r>
            <w:r>
              <w:rPr>
                <w:rFonts w:ascii="Arial" w:hAnsi="Arial" w:cs="Arial"/>
                <w:b/>
                <w:sz w:val="24"/>
                <w:szCs w:val="24"/>
              </w:rPr>
              <w:t>-CV Funds</w:t>
            </w:r>
            <w:r w:rsidR="001C02AC">
              <w:rPr>
                <w:rFonts w:ascii="Arial" w:hAnsi="Arial" w:cs="Arial"/>
                <w:b/>
                <w:sz w:val="24"/>
                <w:szCs w:val="24"/>
              </w:rPr>
              <w:t xml:space="preserve"> Requested</w:t>
            </w:r>
          </w:p>
        </w:tc>
      </w:tr>
      <w:tr w:rsidR="007E0CF7" w:rsidRPr="00621996" w14:paraId="664851C8" w14:textId="77777777" w:rsidTr="005527E3">
        <w:tc>
          <w:tcPr>
            <w:tcW w:w="6007" w:type="dxa"/>
          </w:tcPr>
          <w:p w14:paraId="24710EDF" w14:textId="6CCB004D" w:rsidR="007E0CF7" w:rsidRPr="00010BB8" w:rsidRDefault="007E0CF7" w:rsidP="0081477A">
            <w:pPr>
              <w:contextualSpacing/>
              <w:rPr>
                <w:rFonts w:ascii="Arial" w:hAnsi="Arial" w:cs="Arial"/>
                <w:b/>
              </w:rPr>
            </w:pPr>
            <w:r>
              <w:rPr>
                <w:rFonts w:ascii="Arial" w:hAnsi="Arial" w:cs="Arial"/>
                <w:b/>
              </w:rPr>
              <w:t xml:space="preserve">1. </w:t>
            </w:r>
            <w:r w:rsidRPr="00010BB8">
              <w:rPr>
                <w:rFonts w:ascii="Arial" w:hAnsi="Arial" w:cs="Arial"/>
                <w:b/>
              </w:rPr>
              <w:t xml:space="preserve">Rental </w:t>
            </w:r>
            <w:r w:rsidR="00662F47">
              <w:rPr>
                <w:rFonts w:ascii="Arial" w:hAnsi="Arial" w:cs="Arial"/>
                <w:b/>
              </w:rPr>
              <w:t>Housing</w:t>
            </w:r>
            <w:r w:rsidRPr="00010BB8">
              <w:rPr>
                <w:rFonts w:ascii="Arial" w:hAnsi="Arial" w:cs="Arial"/>
                <w:b/>
              </w:rPr>
              <w:t xml:space="preserve"> </w:t>
            </w:r>
          </w:p>
          <w:p w14:paraId="2054432D" w14:textId="77777777" w:rsidR="007E0CF7" w:rsidRPr="00621996" w:rsidRDefault="007E0CF7" w:rsidP="0081477A">
            <w:pPr>
              <w:contextualSpacing/>
              <w:rPr>
                <w:rFonts w:ascii="Arial" w:hAnsi="Arial" w:cs="Arial"/>
              </w:rPr>
            </w:pPr>
            <w:r>
              <w:rPr>
                <w:rFonts w:ascii="Arial" w:hAnsi="Arial" w:cs="Arial"/>
              </w:rPr>
              <w:t>(includes arrears)</w:t>
            </w:r>
          </w:p>
        </w:tc>
        <w:tc>
          <w:tcPr>
            <w:tcW w:w="3240" w:type="dxa"/>
          </w:tcPr>
          <w:p w14:paraId="5BA1D7BC" w14:textId="77777777" w:rsidR="007E0CF7" w:rsidRPr="00621996" w:rsidRDefault="007E0CF7" w:rsidP="0081477A">
            <w:pPr>
              <w:contextualSpacing/>
              <w:rPr>
                <w:rFonts w:ascii="Arial" w:hAnsi="Arial" w:cs="Arial"/>
              </w:rPr>
            </w:pPr>
          </w:p>
        </w:tc>
      </w:tr>
      <w:tr w:rsidR="007E0CF7" w:rsidRPr="00621996" w14:paraId="38913368" w14:textId="77777777" w:rsidTr="005527E3">
        <w:tc>
          <w:tcPr>
            <w:tcW w:w="6007" w:type="dxa"/>
          </w:tcPr>
          <w:p w14:paraId="7F765811" w14:textId="50F18172" w:rsidR="007E0CF7" w:rsidRPr="00010BB8" w:rsidRDefault="007E0CF7" w:rsidP="00010BB8">
            <w:pPr>
              <w:contextualSpacing/>
              <w:rPr>
                <w:rFonts w:ascii="Arial" w:hAnsi="Arial" w:cs="Arial"/>
                <w:b/>
              </w:rPr>
            </w:pPr>
            <w:r>
              <w:rPr>
                <w:rFonts w:ascii="Arial" w:hAnsi="Arial" w:cs="Arial"/>
                <w:b/>
              </w:rPr>
              <w:t xml:space="preserve">2.A. </w:t>
            </w:r>
            <w:r w:rsidRPr="00010BB8">
              <w:rPr>
                <w:rFonts w:ascii="Arial" w:hAnsi="Arial" w:cs="Arial"/>
                <w:b/>
              </w:rPr>
              <w:t>Housing Relocation and Stabilization Services – Financial Assistance</w:t>
            </w:r>
            <w:r>
              <w:rPr>
                <w:rFonts w:ascii="Arial" w:hAnsi="Arial" w:cs="Arial"/>
                <w:b/>
              </w:rPr>
              <w:t xml:space="preserve"> (list the total of </w:t>
            </w:r>
            <w:r w:rsidR="00CE1B02">
              <w:rPr>
                <w:rFonts w:ascii="Arial" w:hAnsi="Arial" w:cs="Arial"/>
                <w:b/>
              </w:rPr>
              <w:t>all 2.A. activities</w:t>
            </w:r>
            <w:r>
              <w:rPr>
                <w:rFonts w:ascii="Arial" w:hAnsi="Arial" w:cs="Arial"/>
                <w:b/>
              </w:rPr>
              <w:t>)</w:t>
            </w:r>
          </w:p>
        </w:tc>
        <w:tc>
          <w:tcPr>
            <w:tcW w:w="3240" w:type="dxa"/>
            <w:shd w:val="clear" w:color="auto" w:fill="auto"/>
          </w:tcPr>
          <w:p w14:paraId="7A1D9263" w14:textId="77777777" w:rsidR="007E0CF7" w:rsidRPr="00621996" w:rsidRDefault="007E0CF7" w:rsidP="0081477A">
            <w:pPr>
              <w:contextualSpacing/>
              <w:rPr>
                <w:rFonts w:ascii="Arial" w:hAnsi="Arial" w:cs="Arial"/>
              </w:rPr>
            </w:pPr>
          </w:p>
        </w:tc>
      </w:tr>
      <w:tr w:rsidR="007E0CF7" w:rsidRPr="00621996" w14:paraId="263E7FC9" w14:textId="77777777" w:rsidTr="005527E3">
        <w:tc>
          <w:tcPr>
            <w:tcW w:w="6007" w:type="dxa"/>
          </w:tcPr>
          <w:p w14:paraId="356DE311" w14:textId="6FDB6BAF" w:rsidR="007E0CF7" w:rsidRPr="004A27A3" w:rsidRDefault="007E0CF7" w:rsidP="004A27A3">
            <w:pPr>
              <w:rPr>
                <w:rFonts w:ascii="Arial" w:hAnsi="Arial" w:cs="Arial"/>
              </w:rPr>
            </w:pPr>
            <w:r w:rsidRPr="004A27A3">
              <w:rPr>
                <w:rFonts w:ascii="Arial" w:hAnsi="Arial" w:cs="Arial"/>
              </w:rPr>
              <w:t>Rental Application Fees</w:t>
            </w:r>
          </w:p>
        </w:tc>
        <w:tc>
          <w:tcPr>
            <w:tcW w:w="3240" w:type="dxa"/>
          </w:tcPr>
          <w:p w14:paraId="53ACC530" w14:textId="77777777" w:rsidR="007E0CF7" w:rsidRPr="00621996" w:rsidRDefault="007E0CF7" w:rsidP="0081477A">
            <w:pPr>
              <w:contextualSpacing/>
              <w:rPr>
                <w:rFonts w:ascii="Arial" w:hAnsi="Arial" w:cs="Arial"/>
              </w:rPr>
            </w:pPr>
          </w:p>
        </w:tc>
      </w:tr>
      <w:tr w:rsidR="007E0CF7" w:rsidRPr="00621996" w14:paraId="6A952C84" w14:textId="77777777" w:rsidTr="005527E3">
        <w:tc>
          <w:tcPr>
            <w:tcW w:w="6007" w:type="dxa"/>
          </w:tcPr>
          <w:p w14:paraId="46B90C33" w14:textId="0898FAD5" w:rsidR="007E0CF7" w:rsidRPr="004A27A3" w:rsidRDefault="007E0CF7" w:rsidP="004A27A3">
            <w:pPr>
              <w:rPr>
                <w:rFonts w:ascii="Arial" w:hAnsi="Arial" w:cs="Arial"/>
              </w:rPr>
            </w:pPr>
            <w:r w:rsidRPr="004A27A3">
              <w:rPr>
                <w:rFonts w:ascii="Arial" w:hAnsi="Arial" w:cs="Arial"/>
              </w:rPr>
              <w:t>Security Deposits</w:t>
            </w:r>
          </w:p>
        </w:tc>
        <w:tc>
          <w:tcPr>
            <w:tcW w:w="3240" w:type="dxa"/>
          </w:tcPr>
          <w:p w14:paraId="4415D39F" w14:textId="77777777" w:rsidR="007E0CF7" w:rsidRPr="00621996" w:rsidRDefault="007E0CF7" w:rsidP="0081477A">
            <w:pPr>
              <w:contextualSpacing/>
              <w:rPr>
                <w:rFonts w:ascii="Arial" w:hAnsi="Arial" w:cs="Arial"/>
              </w:rPr>
            </w:pPr>
          </w:p>
        </w:tc>
      </w:tr>
      <w:tr w:rsidR="007E0CF7" w:rsidRPr="00621996" w14:paraId="28EF0D79" w14:textId="77777777" w:rsidTr="005527E3">
        <w:tc>
          <w:tcPr>
            <w:tcW w:w="6007" w:type="dxa"/>
          </w:tcPr>
          <w:p w14:paraId="77D9BD2F" w14:textId="61FA8B68" w:rsidR="007E0CF7" w:rsidRPr="004A27A3" w:rsidRDefault="007E0CF7" w:rsidP="004A27A3">
            <w:pPr>
              <w:rPr>
                <w:rFonts w:ascii="Arial" w:hAnsi="Arial" w:cs="Arial"/>
              </w:rPr>
            </w:pPr>
            <w:r w:rsidRPr="004A27A3">
              <w:rPr>
                <w:rFonts w:ascii="Arial" w:hAnsi="Arial" w:cs="Arial"/>
              </w:rPr>
              <w:t>Last Month’s Rent</w:t>
            </w:r>
          </w:p>
        </w:tc>
        <w:tc>
          <w:tcPr>
            <w:tcW w:w="3240" w:type="dxa"/>
          </w:tcPr>
          <w:p w14:paraId="773BB03A" w14:textId="77777777" w:rsidR="007E0CF7" w:rsidRPr="00621996" w:rsidRDefault="007E0CF7" w:rsidP="0081477A">
            <w:pPr>
              <w:contextualSpacing/>
              <w:rPr>
                <w:rFonts w:ascii="Arial" w:hAnsi="Arial" w:cs="Arial"/>
              </w:rPr>
            </w:pPr>
          </w:p>
        </w:tc>
      </w:tr>
      <w:tr w:rsidR="007E0CF7" w:rsidRPr="00621996" w14:paraId="68ADC4FC" w14:textId="77777777" w:rsidTr="005527E3">
        <w:tc>
          <w:tcPr>
            <w:tcW w:w="6007" w:type="dxa"/>
          </w:tcPr>
          <w:p w14:paraId="75E497CC" w14:textId="7F59A822" w:rsidR="007E0CF7" w:rsidRPr="004A27A3" w:rsidRDefault="007E0CF7" w:rsidP="004A27A3">
            <w:pPr>
              <w:rPr>
                <w:rFonts w:ascii="Arial" w:hAnsi="Arial" w:cs="Arial"/>
              </w:rPr>
            </w:pPr>
            <w:r w:rsidRPr="004A27A3">
              <w:rPr>
                <w:rFonts w:ascii="Arial" w:hAnsi="Arial" w:cs="Arial"/>
              </w:rPr>
              <w:t>Utility Deposits</w:t>
            </w:r>
          </w:p>
        </w:tc>
        <w:tc>
          <w:tcPr>
            <w:tcW w:w="3240" w:type="dxa"/>
          </w:tcPr>
          <w:p w14:paraId="5DA059D4" w14:textId="77777777" w:rsidR="007E0CF7" w:rsidRPr="00621996" w:rsidRDefault="007E0CF7" w:rsidP="0081477A">
            <w:pPr>
              <w:contextualSpacing/>
              <w:rPr>
                <w:rFonts w:ascii="Arial" w:hAnsi="Arial" w:cs="Arial"/>
              </w:rPr>
            </w:pPr>
          </w:p>
        </w:tc>
      </w:tr>
      <w:tr w:rsidR="007E0CF7" w:rsidRPr="00621996" w14:paraId="01D02FF5" w14:textId="77777777" w:rsidTr="005527E3">
        <w:tc>
          <w:tcPr>
            <w:tcW w:w="6007" w:type="dxa"/>
          </w:tcPr>
          <w:p w14:paraId="6D6AD37B" w14:textId="781E82BB" w:rsidR="007E0CF7" w:rsidRPr="004A27A3" w:rsidRDefault="007E0CF7" w:rsidP="004A27A3">
            <w:pPr>
              <w:rPr>
                <w:rFonts w:ascii="Arial" w:hAnsi="Arial" w:cs="Arial"/>
              </w:rPr>
            </w:pPr>
            <w:r w:rsidRPr="004A27A3">
              <w:rPr>
                <w:rFonts w:ascii="Arial" w:hAnsi="Arial" w:cs="Arial"/>
              </w:rPr>
              <w:t>Utility Payments</w:t>
            </w:r>
          </w:p>
        </w:tc>
        <w:tc>
          <w:tcPr>
            <w:tcW w:w="3240" w:type="dxa"/>
          </w:tcPr>
          <w:p w14:paraId="36401104" w14:textId="77777777" w:rsidR="007E0CF7" w:rsidRPr="00621996" w:rsidRDefault="007E0CF7" w:rsidP="0081477A">
            <w:pPr>
              <w:contextualSpacing/>
              <w:rPr>
                <w:rFonts w:ascii="Arial" w:hAnsi="Arial" w:cs="Arial"/>
              </w:rPr>
            </w:pPr>
          </w:p>
        </w:tc>
      </w:tr>
      <w:tr w:rsidR="007E0CF7" w:rsidRPr="00621996" w14:paraId="20C6CF7D" w14:textId="77777777" w:rsidTr="005527E3">
        <w:tc>
          <w:tcPr>
            <w:tcW w:w="6007" w:type="dxa"/>
          </w:tcPr>
          <w:p w14:paraId="2ACC77A3" w14:textId="650D1782" w:rsidR="007E0CF7" w:rsidRPr="004A27A3" w:rsidRDefault="007E0CF7" w:rsidP="004A27A3">
            <w:pPr>
              <w:rPr>
                <w:rFonts w:ascii="Arial" w:hAnsi="Arial" w:cs="Arial"/>
              </w:rPr>
            </w:pPr>
            <w:r w:rsidRPr="004A27A3">
              <w:rPr>
                <w:rFonts w:ascii="Arial" w:hAnsi="Arial" w:cs="Arial"/>
              </w:rPr>
              <w:t>Moving Costs</w:t>
            </w:r>
          </w:p>
        </w:tc>
        <w:tc>
          <w:tcPr>
            <w:tcW w:w="3240" w:type="dxa"/>
          </w:tcPr>
          <w:p w14:paraId="01167373" w14:textId="77777777" w:rsidR="007E0CF7" w:rsidRPr="00621996" w:rsidRDefault="007E0CF7" w:rsidP="0081477A">
            <w:pPr>
              <w:contextualSpacing/>
              <w:rPr>
                <w:rFonts w:ascii="Arial" w:hAnsi="Arial" w:cs="Arial"/>
              </w:rPr>
            </w:pPr>
          </w:p>
        </w:tc>
      </w:tr>
      <w:tr w:rsidR="007E0CF7" w:rsidRPr="00621996" w14:paraId="5466E8CB" w14:textId="77777777" w:rsidTr="005527E3">
        <w:tc>
          <w:tcPr>
            <w:tcW w:w="6007" w:type="dxa"/>
          </w:tcPr>
          <w:p w14:paraId="0612A63C" w14:textId="64ACC57A" w:rsidR="007E0CF7" w:rsidRPr="0065369C" w:rsidRDefault="007E0CF7" w:rsidP="00B54A06">
            <w:pPr>
              <w:contextualSpacing/>
              <w:rPr>
                <w:rFonts w:ascii="Arial" w:hAnsi="Arial" w:cs="Arial"/>
                <w:b/>
              </w:rPr>
            </w:pPr>
            <w:r>
              <w:rPr>
                <w:rFonts w:ascii="Arial" w:hAnsi="Arial" w:cs="Arial"/>
                <w:b/>
              </w:rPr>
              <w:t xml:space="preserve">2.B. </w:t>
            </w:r>
            <w:r w:rsidRPr="0065369C">
              <w:rPr>
                <w:rFonts w:ascii="Arial" w:hAnsi="Arial" w:cs="Arial"/>
                <w:b/>
              </w:rPr>
              <w:t xml:space="preserve">Housing Relocation and Stabilization Services – Services </w:t>
            </w:r>
            <w:r>
              <w:rPr>
                <w:rFonts w:ascii="Arial" w:hAnsi="Arial" w:cs="Arial"/>
                <w:b/>
              </w:rPr>
              <w:t>(</w:t>
            </w:r>
            <w:r w:rsidR="00CE1B02">
              <w:rPr>
                <w:rFonts w:ascii="Arial" w:hAnsi="Arial" w:cs="Arial"/>
                <w:b/>
              </w:rPr>
              <w:t>list the total of all 2.B. activities</w:t>
            </w:r>
            <w:r>
              <w:rPr>
                <w:rFonts w:ascii="Arial" w:hAnsi="Arial" w:cs="Arial"/>
                <w:b/>
              </w:rPr>
              <w:t>)</w:t>
            </w:r>
          </w:p>
        </w:tc>
        <w:tc>
          <w:tcPr>
            <w:tcW w:w="3240" w:type="dxa"/>
            <w:shd w:val="clear" w:color="auto" w:fill="auto"/>
          </w:tcPr>
          <w:p w14:paraId="14800BA4" w14:textId="77777777" w:rsidR="007E0CF7" w:rsidRPr="00621996" w:rsidRDefault="007E0CF7" w:rsidP="0081477A">
            <w:pPr>
              <w:contextualSpacing/>
              <w:rPr>
                <w:rFonts w:ascii="Arial" w:hAnsi="Arial" w:cs="Arial"/>
              </w:rPr>
            </w:pPr>
          </w:p>
        </w:tc>
      </w:tr>
      <w:tr w:rsidR="007E0CF7" w:rsidRPr="00621996" w14:paraId="6779AF91" w14:textId="77777777" w:rsidTr="005527E3">
        <w:tc>
          <w:tcPr>
            <w:tcW w:w="6007" w:type="dxa"/>
          </w:tcPr>
          <w:p w14:paraId="0AFD996D" w14:textId="6BB6AF45" w:rsidR="007E0CF7" w:rsidRPr="00621996" w:rsidRDefault="007E0CF7" w:rsidP="00C016CE">
            <w:pPr>
              <w:contextualSpacing/>
              <w:rPr>
                <w:rFonts w:ascii="Arial" w:hAnsi="Arial" w:cs="Arial"/>
              </w:rPr>
            </w:pPr>
            <w:r w:rsidRPr="00621996">
              <w:rPr>
                <w:rFonts w:ascii="Arial" w:hAnsi="Arial" w:cs="Arial"/>
              </w:rPr>
              <w:t xml:space="preserve">Housing Search </w:t>
            </w:r>
            <w:r>
              <w:rPr>
                <w:rFonts w:ascii="Arial" w:hAnsi="Arial" w:cs="Arial"/>
              </w:rPr>
              <w:t>and</w:t>
            </w:r>
            <w:r w:rsidRPr="00621996">
              <w:rPr>
                <w:rFonts w:ascii="Arial" w:hAnsi="Arial" w:cs="Arial"/>
              </w:rPr>
              <w:t xml:space="preserve"> Placement</w:t>
            </w:r>
          </w:p>
        </w:tc>
        <w:tc>
          <w:tcPr>
            <w:tcW w:w="3240" w:type="dxa"/>
          </w:tcPr>
          <w:p w14:paraId="3DF3B0BB" w14:textId="77777777" w:rsidR="007E0CF7" w:rsidRPr="00621996" w:rsidRDefault="007E0CF7" w:rsidP="0081477A">
            <w:pPr>
              <w:contextualSpacing/>
              <w:rPr>
                <w:rFonts w:ascii="Arial" w:hAnsi="Arial" w:cs="Arial"/>
              </w:rPr>
            </w:pPr>
          </w:p>
        </w:tc>
      </w:tr>
      <w:tr w:rsidR="007E0CF7" w:rsidRPr="00621996" w14:paraId="241ACE90" w14:textId="77777777" w:rsidTr="005527E3">
        <w:tc>
          <w:tcPr>
            <w:tcW w:w="6007" w:type="dxa"/>
          </w:tcPr>
          <w:p w14:paraId="42512C76" w14:textId="44D440F1" w:rsidR="007E0CF7" w:rsidRPr="00621996" w:rsidRDefault="007E0CF7" w:rsidP="0081477A">
            <w:pPr>
              <w:contextualSpacing/>
              <w:rPr>
                <w:rFonts w:ascii="Arial" w:hAnsi="Arial" w:cs="Arial"/>
              </w:rPr>
            </w:pPr>
            <w:r w:rsidRPr="00621996">
              <w:rPr>
                <w:rFonts w:ascii="Arial" w:hAnsi="Arial" w:cs="Arial"/>
              </w:rPr>
              <w:t>Housing Stability Case Management</w:t>
            </w:r>
          </w:p>
        </w:tc>
        <w:tc>
          <w:tcPr>
            <w:tcW w:w="3240" w:type="dxa"/>
          </w:tcPr>
          <w:p w14:paraId="3F237C17" w14:textId="77777777" w:rsidR="007E0CF7" w:rsidRPr="00621996" w:rsidRDefault="007E0CF7" w:rsidP="0081477A">
            <w:pPr>
              <w:contextualSpacing/>
              <w:rPr>
                <w:rFonts w:ascii="Arial" w:hAnsi="Arial" w:cs="Arial"/>
              </w:rPr>
            </w:pPr>
          </w:p>
        </w:tc>
      </w:tr>
      <w:tr w:rsidR="007E0CF7" w:rsidRPr="00621996" w14:paraId="15D4BC29" w14:textId="77777777" w:rsidTr="005527E3">
        <w:tc>
          <w:tcPr>
            <w:tcW w:w="6007" w:type="dxa"/>
          </w:tcPr>
          <w:p w14:paraId="337333D1" w14:textId="148AAD4B" w:rsidR="007E0CF7" w:rsidRPr="00621996" w:rsidRDefault="007E0CF7" w:rsidP="0081477A">
            <w:pPr>
              <w:contextualSpacing/>
              <w:rPr>
                <w:rFonts w:ascii="Arial" w:hAnsi="Arial" w:cs="Arial"/>
              </w:rPr>
            </w:pPr>
            <w:r w:rsidRPr="00621996">
              <w:rPr>
                <w:rFonts w:ascii="Arial" w:hAnsi="Arial" w:cs="Arial"/>
              </w:rPr>
              <w:t>Mediation</w:t>
            </w:r>
          </w:p>
        </w:tc>
        <w:tc>
          <w:tcPr>
            <w:tcW w:w="3240" w:type="dxa"/>
          </w:tcPr>
          <w:p w14:paraId="6597BA08" w14:textId="77777777" w:rsidR="007E0CF7" w:rsidRPr="00621996" w:rsidRDefault="007E0CF7" w:rsidP="0081477A">
            <w:pPr>
              <w:contextualSpacing/>
              <w:rPr>
                <w:rFonts w:ascii="Arial" w:hAnsi="Arial" w:cs="Arial"/>
              </w:rPr>
            </w:pPr>
          </w:p>
        </w:tc>
      </w:tr>
      <w:tr w:rsidR="007E0CF7" w:rsidRPr="00621996" w14:paraId="0B938C5F" w14:textId="77777777" w:rsidTr="005527E3">
        <w:tc>
          <w:tcPr>
            <w:tcW w:w="6007" w:type="dxa"/>
          </w:tcPr>
          <w:p w14:paraId="1D433D19" w14:textId="2BF768EA" w:rsidR="007E0CF7" w:rsidRPr="00621996" w:rsidRDefault="007E0CF7" w:rsidP="0081477A">
            <w:pPr>
              <w:contextualSpacing/>
              <w:rPr>
                <w:rFonts w:ascii="Arial" w:hAnsi="Arial" w:cs="Arial"/>
              </w:rPr>
            </w:pPr>
            <w:r w:rsidRPr="00621996">
              <w:rPr>
                <w:rFonts w:ascii="Arial" w:hAnsi="Arial" w:cs="Arial"/>
              </w:rPr>
              <w:t>Legal Services</w:t>
            </w:r>
          </w:p>
        </w:tc>
        <w:tc>
          <w:tcPr>
            <w:tcW w:w="3240" w:type="dxa"/>
          </w:tcPr>
          <w:p w14:paraId="378BB782" w14:textId="77777777" w:rsidR="007E0CF7" w:rsidRPr="00621996" w:rsidRDefault="007E0CF7" w:rsidP="0081477A">
            <w:pPr>
              <w:contextualSpacing/>
              <w:rPr>
                <w:rFonts w:ascii="Arial" w:hAnsi="Arial" w:cs="Arial"/>
              </w:rPr>
            </w:pPr>
          </w:p>
        </w:tc>
      </w:tr>
      <w:tr w:rsidR="007E0CF7" w:rsidRPr="00621996" w14:paraId="216062E6" w14:textId="77777777" w:rsidTr="005527E3">
        <w:tc>
          <w:tcPr>
            <w:tcW w:w="6007" w:type="dxa"/>
          </w:tcPr>
          <w:p w14:paraId="367CD907" w14:textId="17F413AB" w:rsidR="007E0CF7" w:rsidRPr="00621996" w:rsidRDefault="007E0CF7" w:rsidP="0081477A">
            <w:pPr>
              <w:contextualSpacing/>
              <w:rPr>
                <w:rFonts w:ascii="Arial" w:hAnsi="Arial" w:cs="Arial"/>
              </w:rPr>
            </w:pPr>
            <w:r w:rsidRPr="00621996">
              <w:rPr>
                <w:rFonts w:ascii="Arial" w:hAnsi="Arial" w:cs="Arial"/>
              </w:rPr>
              <w:t>Credit Repair</w:t>
            </w:r>
          </w:p>
        </w:tc>
        <w:tc>
          <w:tcPr>
            <w:tcW w:w="3240" w:type="dxa"/>
          </w:tcPr>
          <w:p w14:paraId="6E9EA414" w14:textId="77777777" w:rsidR="007E0CF7" w:rsidRPr="00621996" w:rsidRDefault="007E0CF7" w:rsidP="0081477A">
            <w:pPr>
              <w:contextualSpacing/>
              <w:rPr>
                <w:rFonts w:ascii="Arial" w:hAnsi="Arial" w:cs="Arial"/>
              </w:rPr>
            </w:pPr>
          </w:p>
        </w:tc>
      </w:tr>
      <w:tr w:rsidR="007E0CF7" w:rsidRPr="00621996" w14:paraId="63E85C26" w14:textId="77777777" w:rsidTr="005527E3">
        <w:tc>
          <w:tcPr>
            <w:tcW w:w="6007" w:type="dxa"/>
          </w:tcPr>
          <w:p w14:paraId="09BEE554" w14:textId="3DBCE484" w:rsidR="007E0CF7" w:rsidRPr="00621996" w:rsidRDefault="007E0CF7" w:rsidP="0081477A">
            <w:pPr>
              <w:contextualSpacing/>
              <w:rPr>
                <w:rFonts w:ascii="Arial" w:hAnsi="Arial" w:cs="Arial"/>
              </w:rPr>
            </w:pPr>
            <w:r w:rsidRPr="00621996">
              <w:rPr>
                <w:rFonts w:ascii="Arial" w:hAnsi="Arial" w:cs="Arial"/>
              </w:rPr>
              <w:t>Other (please explain below)</w:t>
            </w:r>
          </w:p>
        </w:tc>
        <w:tc>
          <w:tcPr>
            <w:tcW w:w="3240" w:type="dxa"/>
          </w:tcPr>
          <w:p w14:paraId="7B707DD6" w14:textId="77777777" w:rsidR="007E0CF7" w:rsidRPr="00621996" w:rsidRDefault="007E0CF7" w:rsidP="0081477A">
            <w:pPr>
              <w:contextualSpacing/>
              <w:rPr>
                <w:rFonts w:ascii="Arial" w:hAnsi="Arial" w:cs="Arial"/>
              </w:rPr>
            </w:pPr>
          </w:p>
        </w:tc>
      </w:tr>
      <w:tr w:rsidR="007E0CF7" w:rsidRPr="00621996" w14:paraId="6F7A3A69" w14:textId="77777777" w:rsidTr="005527E3">
        <w:tc>
          <w:tcPr>
            <w:tcW w:w="6007" w:type="dxa"/>
          </w:tcPr>
          <w:p w14:paraId="1C781B0A" w14:textId="59070C1F" w:rsidR="007E0CF7" w:rsidRPr="00CE1B02" w:rsidRDefault="007E0CF7" w:rsidP="0081477A">
            <w:pPr>
              <w:contextualSpacing/>
              <w:rPr>
                <w:rFonts w:ascii="Arial" w:hAnsi="Arial" w:cs="Arial"/>
                <w:b/>
                <w:bCs/>
              </w:rPr>
            </w:pPr>
            <w:r w:rsidRPr="00CE1B02">
              <w:rPr>
                <w:rFonts w:ascii="Arial" w:hAnsi="Arial" w:cs="Arial"/>
                <w:b/>
                <w:bCs/>
              </w:rPr>
              <w:t>3. Hazard Pay</w:t>
            </w:r>
          </w:p>
        </w:tc>
        <w:tc>
          <w:tcPr>
            <w:tcW w:w="3240" w:type="dxa"/>
          </w:tcPr>
          <w:p w14:paraId="46B2101F" w14:textId="77777777" w:rsidR="007E0CF7" w:rsidRPr="00621996" w:rsidRDefault="007E0CF7" w:rsidP="0081477A">
            <w:pPr>
              <w:contextualSpacing/>
              <w:rPr>
                <w:rFonts w:ascii="Arial" w:hAnsi="Arial" w:cs="Arial"/>
              </w:rPr>
            </w:pPr>
          </w:p>
        </w:tc>
      </w:tr>
      <w:tr w:rsidR="007E0CF7" w:rsidRPr="00621996" w14:paraId="34BBE5FE" w14:textId="77777777" w:rsidTr="005527E3">
        <w:tc>
          <w:tcPr>
            <w:tcW w:w="6007" w:type="dxa"/>
          </w:tcPr>
          <w:p w14:paraId="73E6C3C0" w14:textId="3C35F60C" w:rsidR="007E0CF7" w:rsidRPr="00CE1B02" w:rsidRDefault="007E0CF7" w:rsidP="0081477A">
            <w:pPr>
              <w:contextualSpacing/>
              <w:rPr>
                <w:rFonts w:ascii="Arial" w:hAnsi="Arial" w:cs="Arial"/>
                <w:b/>
                <w:bCs/>
              </w:rPr>
            </w:pPr>
            <w:r w:rsidRPr="00CE1B02">
              <w:rPr>
                <w:rFonts w:ascii="Arial" w:hAnsi="Arial" w:cs="Arial"/>
                <w:b/>
                <w:bCs/>
              </w:rPr>
              <w:t>4. Landlord Incentives</w:t>
            </w:r>
          </w:p>
        </w:tc>
        <w:tc>
          <w:tcPr>
            <w:tcW w:w="3240" w:type="dxa"/>
          </w:tcPr>
          <w:p w14:paraId="76F09E99" w14:textId="77777777" w:rsidR="007E0CF7" w:rsidRPr="00621996" w:rsidRDefault="007E0CF7" w:rsidP="0081477A">
            <w:pPr>
              <w:contextualSpacing/>
              <w:rPr>
                <w:rFonts w:ascii="Arial" w:hAnsi="Arial" w:cs="Arial"/>
              </w:rPr>
            </w:pPr>
          </w:p>
        </w:tc>
      </w:tr>
      <w:tr w:rsidR="007E0CF7" w:rsidRPr="00621996" w14:paraId="6097FCFF" w14:textId="77777777" w:rsidTr="005527E3">
        <w:tc>
          <w:tcPr>
            <w:tcW w:w="6007" w:type="dxa"/>
          </w:tcPr>
          <w:p w14:paraId="266C39C0" w14:textId="265C6C28" w:rsidR="007E0CF7" w:rsidRPr="00CE1B02" w:rsidRDefault="007E0CF7" w:rsidP="0081477A">
            <w:pPr>
              <w:contextualSpacing/>
              <w:rPr>
                <w:rFonts w:ascii="Arial" w:hAnsi="Arial" w:cs="Arial"/>
                <w:b/>
                <w:bCs/>
              </w:rPr>
            </w:pPr>
            <w:r w:rsidRPr="00CE1B02">
              <w:rPr>
                <w:rFonts w:ascii="Arial" w:hAnsi="Arial" w:cs="Arial"/>
                <w:b/>
                <w:bCs/>
              </w:rPr>
              <w:t>5. Volunteer Incentives</w:t>
            </w:r>
          </w:p>
        </w:tc>
        <w:tc>
          <w:tcPr>
            <w:tcW w:w="3240" w:type="dxa"/>
          </w:tcPr>
          <w:p w14:paraId="20F038CB" w14:textId="77777777" w:rsidR="007E0CF7" w:rsidRPr="00621996" w:rsidRDefault="007E0CF7" w:rsidP="0081477A">
            <w:pPr>
              <w:contextualSpacing/>
              <w:rPr>
                <w:rFonts w:ascii="Arial" w:hAnsi="Arial" w:cs="Arial"/>
              </w:rPr>
            </w:pPr>
          </w:p>
        </w:tc>
      </w:tr>
      <w:tr w:rsidR="007E0CF7" w:rsidRPr="00621996" w14:paraId="30E4F608" w14:textId="77777777" w:rsidTr="005527E3">
        <w:tc>
          <w:tcPr>
            <w:tcW w:w="6007" w:type="dxa"/>
          </w:tcPr>
          <w:p w14:paraId="0F6681B1" w14:textId="70289359" w:rsidR="007E0CF7" w:rsidRPr="00CE1B02" w:rsidRDefault="007E0CF7" w:rsidP="0081477A">
            <w:pPr>
              <w:contextualSpacing/>
              <w:rPr>
                <w:rFonts w:ascii="Arial" w:hAnsi="Arial" w:cs="Arial"/>
                <w:b/>
                <w:bCs/>
              </w:rPr>
            </w:pPr>
            <w:r w:rsidRPr="00CE1B02">
              <w:rPr>
                <w:rFonts w:ascii="Arial" w:hAnsi="Arial" w:cs="Arial"/>
                <w:b/>
                <w:bCs/>
              </w:rPr>
              <w:t>6. Training</w:t>
            </w:r>
          </w:p>
        </w:tc>
        <w:tc>
          <w:tcPr>
            <w:tcW w:w="3240" w:type="dxa"/>
          </w:tcPr>
          <w:p w14:paraId="6A8A1C52" w14:textId="77777777" w:rsidR="007E0CF7" w:rsidRPr="00621996" w:rsidRDefault="007E0CF7" w:rsidP="0081477A">
            <w:pPr>
              <w:contextualSpacing/>
              <w:rPr>
                <w:rFonts w:ascii="Arial" w:hAnsi="Arial" w:cs="Arial"/>
              </w:rPr>
            </w:pPr>
          </w:p>
        </w:tc>
      </w:tr>
      <w:tr w:rsidR="007E0CF7" w:rsidRPr="00621996" w14:paraId="30C7F0EC" w14:textId="77777777" w:rsidTr="005527E3">
        <w:tc>
          <w:tcPr>
            <w:tcW w:w="6007" w:type="dxa"/>
          </w:tcPr>
          <w:p w14:paraId="6423FA44" w14:textId="1169E04E" w:rsidR="007E0CF7" w:rsidRPr="00621996" w:rsidRDefault="007E0CF7" w:rsidP="009438BF">
            <w:pPr>
              <w:contextualSpacing/>
              <w:rPr>
                <w:rFonts w:ascii="Arial" w:hAnsi="Arial" w:cs="Arial"/>
                <w:b/>
              </w:rPr>
            </w:pPr>
            <w:r w:rsidRPr="00621996">
              <w:rPr>
                <w:rFonts w:ascii="Arial" w:hAnsi="Arial" w:cs="Arial"/>
                <w:b/>
              </w:rPr>
              <w:t>Total</w:t>
            </w:r>
            <w:r>
              <w:rPr>
                <w:rFonts w:ascii="Arial" w:hAnsi="Arial" w:cs="Arial"/>
                <w:b/>
              </w:rPr>
              <w:t xml:space="preserve"> (1+2A+2B+3+4+5+6):</w:t>
            </w:r>
          </w:p>
        </w:tc>
        <w:tc>
          <w:tcPr>
            <w:tcW w:w="3240" w:type="dxa"/>
          </w:tcPr>
          <w:p w14:paraId="5344E216" w14:textId="77777777" w:rsidR="007E0CF7" w:rsidRPr="00621996" w:rsidRDefault="007E0CF7" w:rsidP="0081477A">
            <w:pPr>
              <w:contextualSpacing/>
              <w:rPr>
                <w:rFonts w:ascii="Arial" w:hAnsi="Arial" w:cs="Arial"/>
              </w:rPr>
            </w:pPr>
          </w:p>
        </w:tc>
      </w:tr>
    </w:tbl>
    <w:p w14:paraId="01725153" w14:textId="6C0D06A2" w:rsidR="0081477A" w:rsidRDefault="0081477A" w:rsidP="008B6C85">
      <w:pPr>
        <w:spacing w:line="240" w:lineRule="auto"/>
        <w:contextualSpacing/>
        <w:rPr>
          <w:rFonts w:ascii="Arial" w:hAnsi="Arial" w:cs="Arial"/>
        </w:rPr>
      </w:pPr>
    </w:p>
    <w:p w14:paraId="6DD6EB50" w14:textId="77777777" w:rsidR="008B6C85" w:rsidRPr="00A158E6" w:rsidRDefault="008B6C85" w:rsidP="008B6C85">
      <w:pPr>
        <w:spacing w:line="240" w:lineRule="auto"/>
        <w:contextualSpacing/>
        <w:rPr>
          <w:rFonts w:ascii="Arial" w:hAnsi="Arial" w:cs="Arial"/>
          <w:b/>
          <w:sz w:val="24"/>
          <w:szCs w:val="24"/>
        </w:rPr>
      </w:pPr>
      <w:r>
        <w:rPr>
          <w:rFonts w:ascii="Arial" w:hAnsi="Arial" w:cs="Arial"/>
          <w:b/>
          <w:sz w:val="24"/>
          <w:szCs w:val="24"/>
        </w:rPr>
        <w:t>Eligible Activities per Cost Type:</w:t>
      </w:r>
    </w:p>
    <w:p w14:paraId="1A3A9497" w14:textId="77777777" w:rsidR="008B6C85" w:rsidRDefault="008B6C85" w:rsidP="008B6C85">
      <w:pPr>
        <w:pStyle w:val="ListParagraph"/>
        <w:numPr>
          <w:ilvl w:val="0"/>
          <w:numId w:val="2"/>
        </w:numPr>
        <w:spacing w:line="240" w:lineRule="auto"/>
        <w:rPr>
          <w:rFonts w:ascii="Arial" w:hAnsi="Arial" w:cs="Arial"/>
          <w:sz w:val="20"/>
          <w:szCs w:val="20"/>
        </w:rPr>
      </w:pPr>
      <w:r>
        <w:rPr>
          <w:rFonts w:ascii="Arial" w:hAnsi="Arial" w:cs="Arial"/>
          <w:sz w:val="20"/>
          <w:szCs w:val="20"/>
        </w:rPr>
        <w:t>Hazard Pay costs include salaries to pay staff working directly in support of coronavirus response</w:t>
      </w:r>
    </w:p>
    <w:p w14:paraId="15C23C24" w14:textId="693523F0" w:rsidR="008B6C85" w:rsidRPr="008B6C85" w:rsidRDefault="008B6C85" w:rsidP="008B6C85">
      <w:pPr>
        <w:pStyle w:val="ListParagraph"/>
        <w:numPr>
          <w:ilvl w:val="0"/>
          <w:numId w:val="2"/>
        </w:numPr>
        <w:spacing w:line="240" w:lineRule="auto"/>
        <w:rPr>
          <w:rFonts w:ascii="Arial" w:hAnsi="Arial" w:cs="Arial"/>
          <w:sz w:val="20"/>
          <w:szCs w:val="20"/>
        </w:rPr>
      </w:pPr>
      <w:r w:rsidRPr="008B6C85">
        <w:rPr>
          <w:rFonts w:ascii="Arial" w:hAnsi="Arial" w:cs="Arial"/>
          <w:sz w:val="20"/>
          <w:szCs w:val="20"/>
        </w:rPr>
        <w:lastRenderedPageBreak/>
        <w:t xml:space="preserve">Landlord Incentives include signing bonuses equal to up to 2 months of rent; security deposits equal to up to 3 months of rent; paying the cost to repair damages incurred by the program participant not covered by the security deposit or that are incurred while the program participant is still residing in the unit; and paying the costs of extra cleaning or maintenance of a program participant’s unit or appliances. </w:t>
      </w:r>
      <w:r w:rsidRPr="008B6C85">
        <w:rPr>
          <w:rFonts w:ascii="Arial" w:hAnsi="Arial" w:cs="Arial"/>
          <w:b/>
          <w:bCs/>
          <w:color w:val="FF0000"/>
          <w:sz w:val="20"/>
          <w:szCs w:val="20"/>
        </w:rPr>
        <w:t>Any amount paid cannot exceed three times the rent charged for the unit.</w:t>
      </w:r>
    </w:p>
    <w:p w14:paraId="54632BF6" w14:textId="4BB5BA8B" w:rsidR="008B6C85" w:rsidRDefault="008B6C85" w:rsidP="008B6C85">
      <w:pPr>
        <w:pStyle w:val="ListParagraph"/>
        <w:numPr>
          <w:ilvl w:val="0"/>
          <w:numId w:val="2"/>
        </w:numPr>
        <w:spacing w:line="240" w:lineRule="auto"/>
        <w:rPr>
          <w:rFonts w:ascii="Arial" w:hAnsi="Arial" w:cs="Arial"/>
          <w:sz w:val="20"/>
          <w:szCs w:val="20"/>
        </w:rPr>
      </w:pPr>
      <w:r>
        <w:rPr>
          <w:rFonts w:ascii="Arial" w:hAnsi="Arial" w:cs="Arial"/>
          <w:sz w:val="20"/>
          <w:szCs w:val="20"/>
        </w:rPr>
        <w:t>Volunteer Incentives include costs of providing reasonable incentives to volunteers (cash or gift cards) who helped to provide necessary services during the coronavirus outbreak</w:t>
      </w:r>
    </w:p>
    <w:p w14:paraId="7B9A64AA" w14:textId="77777777" w:rsidR="008B6C85" w:rsidRPr="00D50169" w:rsidRDefault="008B6C85" w:rsidP="008B6C85">
      <w:pPr>
        <w:pStyle w:val="ListParagraph"/>
        <w:numPr>
          <w:ilvl w:val="0"/>
          <w:numId w:val="2"/>
        </w:numPr>
        <w:spacing w:line="240" w:lineRule="auto"/>
        <w:rPr>
          <w:rFonts w:ascii="Arial" w:hAnsi="Arial" w:cs="Arial"/>
          <w:sz w:val="20"/>
          <w:szCs w:val="20"/>
        </w:rPr>
      </w:pPr>
      <w:r>
        <w:rPr>
          <w:rFonts w:ascii="Arial" w:hAnsi="Arial" w:cs="Arial"/>
          <w:sz w:val="20"/>
          <w:szCs w:val="20"/>
        </w:rPr>
        <w:t>Training includes the cost of providing training on infectious disease prevention and mitigation for staff working directly to prevent, prepare for, and respond to the coronavirus</w:t>
      </w:r>
    </w:p>
    <w:p w14:paraId="35A1C620" w14:textId="77777777" w:rsidR="008B6C85" w:rsidRPr="00621996" w:rsidRDefault="008B6C85" w:rsidP="008B6C85">
      <w:pPr>
        <w:spacing w:line="240" w:lineRule="auto"/>
        <w:contextualSpacing/>
        <w:rPr>
          <w:rFonts w:ascii="Arial" w:hAnsi="Arial" w:cs="Arial"/>
        </w:rPr>
      </w:pPr>
    </w:p>
    <w:p w14:paraId="19A68A7D" w14:textId="77777777" w:rsidR="00FC5229" w:rsidRPr="000B1045" w:rsidRDefault="00FC5229" w:rsidP="00FC5229">
      <w:pPr>
        <w:spacing w:line="240" w:lineRule="auto"/>
        <w:contextualSpacing/>
        <w:rPr>
          <w:rFonts w:ascii="Arial" w:hAnsi="Arial" w:cs="Arial"/>
        </w:rPr>
      </w:pPr>
      <w:r w:rsidRPr="000B1045">
        <w:rPr>
          <w:rFonts w:ascii="Arial" w:hAnsi="Arial" w:cs="Arial"/>
        </w:rPr>
        <w:t>Remarks/Explanation:</w:t>
      </w:r>
    </w:p>
    <w:sectPr w:rsidR="00FC5229" w:rsidRPr="000B1045" w:rsidSect="0065369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48D8D" w14:textId="77777777" w:rsidR="00B44FDB" w:rsidRDefault="00B44FDB" w:rsidP="009078A6">
      <w:pPr>
        <w:spacing w:after="0" w:line="240" w:lineRule="auto"/>
      </w:pPr>
      <w:r>
        <w:separator/>
      </w:r>
    </w:p>
  </w:endnote>
  <w:endnote w:type="continuationSeparator" w:id="0">
    <w:p w14:paraId="2819F306" w14:textId="77777777" w:rsidR="00B44FDB" w:rsidRDefault="00B44FDB" w:rsidP="0090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FE429" w14:textId="77777777" w:rsidR="00B44FDB" w:rsidRDefault="00B44FDB" w:rsidP="009078A6">
      <w:pPr>
        <w:spacing w:after="0" w:line="240" w:lineRule="auto"/>
      </w:pPr>
      <w:r>
        <w:separator/>
      </w:r>
    </w:p>
  </w:footnote>
  <w:footnote w:type="continuationSeparator" w:id="0">
    <w:p w14:paraId="6CA463E7" w14:textId="77777777" w:rsidR="00B44FDB" w:rsidRDefault="00B44FDB" w:rsidP="00907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7ED6" w14:textId="4B9F2219" w:rsidR="000B1045" w:rsidRPr="008B6C85" w:rsidRDefault="004E05A9">
    <w:pPr>
      <w:pStyle w:val="Header"/>
      <w:jc w:val="center"/>
      <w:rPr>
        <w:sz w:val="20"/>
        <w:szCs w:val="20"/>
      </w:rPr>
    </w:pPr>
    <w:sdt>
      <w:sdtPr>
        <w:rPr>
          <w:rFonts w:ascii="Arial" w:hAnsi="Arial" w:cs="Arial"/>
          <w:caps/>
          <w:sz w:val="24"/>
          <w:szCs w:val="24"/>
        </w:rPr>
        <w:alias w:val="Title"/>
        <w:tag w:val=""/>
        <w:id w:val="-484788024"/>
        <w:placeholder>
          <w:docPart w:val="3A27422EEE6F4FDC85A17036E5C7AA8D"/>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0B1045" w:rsidRPr="008B6C85">
          <w:rPr>
            <w:rFonts w:ascii="Arial" w:hAnsi="Arial" w:cs="Arial"/>
            <w:caps/>
            <w:sz w:val="24"/>
            <w:szCs w:val="24"/>
          </w:rPr>
          <w:t>ADECA ESG</w:t>
        </w:r>
        <w:r w:rsidR="00113A45" w:rsidRPr="008B6C85">
          <w:rPr>
            <w:rFonts w:ascii="Arial" w:hAnsi="Arial" w:cs="Arial"/>
            <w:caps/>
            <w:sz w:val="24"/>
            <w:szCs w:val="24"/>
          </w:rPr>
          <w:t>-CV</w:t>
        </w:r>
        <w:r w:rsidR="000B1045" w:rsidRPr="008B6C85">
          <w:rPr>
            <w:rFonts w:ascii="Arial" w:hAnsi="Arial" w:cs="Arial"/>
            <w:caps/>
            <w:sz w:val="24"/>
            <w:szCs w:val="24"/>
          </w:rPr>
          <w:t xml:space="preserve"> INVOICE DOCUMENTATION COVER SHEET </w:t>
        </w:r>
        <w:r w:rsidR="0067037B">
          <w:rPr>
            <w:rFonts w:ascii="Arial" w:hAnsi="Arial" w:cs="Arial"/>
            <w:caps/>
            <w:sz w:val="24"/>
            <w:szCs w:val="24"/>
          </w:rPr>
          <w:t>–</w:t>
        </w:r>
        <w:r w:rsidR="000B1045" w:rsidRPr="008B6C85">
          <w:rPr>
            <w:rFonts w:ascii="Arial" w:hAnsi="Arial" w:cs="Arial"/>
            <w:caps/>
            <w:sz w:val="24"/>
            <w:szCs w:val="24"/>
          </w:rPr>
          <w:t xml:space="preserve"> </w:t>
        </w:r>
        <w:r w:rsidR="0067037B">
          <w:rPr>
            <w:rFonts w:ascii="Arial" w:hAnsi="Arial" w:cs="Arial"/>
            <w:caps/>
            <w:sz w:val="24"/>
            <w:szCs w:val="24"/>
          </w:rPr>
          <w:t>RAPID RE-HOUSING</w:t>
        </w:r>
      </w:sdtContent>
    </w:sdt>
  </w:p>
  <w:p w14:paraId="37B1B999" w14:textId="77777777" w:rsidR="009078A6" w:rsidRDefault="00907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1FFD"/>
    <w:multiLevelType w:val="hybridMultilevel"/>
    <w:tmpl w:val="E4FC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C1744"/>
    <w:multiLevelType w:val="hybridMultilevel"/>
    <w:tmpl w:val="8B9A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7A"/>
    <w:rsid w:val="00010BB8"/>
    <w:rsid w:val="00021484"/>
    <w:rsid w:val="00075189"/>
    <w:rsid w:val="00093E18"/>
    <w:rsid w:val="000A263D"/>
    <w:rsid w:val="000B1045"/>
    <w:rsid w:val="000D02E1"/>
    <w:rsid w:val="000D2976"/>
    <w:rsid w:val="00113A45"/>
    <w:rsid w:val="00152AE0"/>
    <w:rsid w:val="001724EB"/>
    <w:rsid w:val="001773C6"/>
    <w:rsid w:val="0019786B"/>
    <w:rsid w:val="001B7C95"/>
    <w:rsid w:val="001C02AC"/>
    <w:rsid w:val="002025C3"/>
    <w:rsid w:val="002258CD"/>
    <w:rsid w:val="0023032A"/>
    <w:rsid w:val="00250BE4"/>
    <w:rsid w:val="00253FE6"/>
    <w:rsid w:val="00265B02"/>
    <w:rsid w:val="00271F5D"/>
    <w:rsid w:val="0027397C"/>
    <w:rsid w:val="00284FCA"/>
    <w:rsid w:val="002947B3"/>
    <w:rsid w:val="002B31EB"/>
    <w:rsid w:val="002B3B85"/>
    <w:rsid w:val="00336970"/>
    <w:rsid w:val="00352C08"/>
    <w:rsid w:val="003C0682"/>
    <w:rsid w:val="003D37FE"/>
    <w:rsid w:val="003D688F"/>
    <w:rsid w:val="00406F05"/>
    <w:rsid w:val="0043666D"/>
    <w:rsid w:val="00464E3A"/>
    <w:rsid w:val="00495FE7"/>
    <w:rsid w:val="004A27A3"/>
    <w:rsid w:val="004C31F8"/>
    <w:rsid w:val="004E05A9"/>
    <w:rsid w:val="00500F92"/>
    <w:rsid w:val="00506358"/>
    <w:rsid w:val="00534ACB"/>
    <w:rsid w:val="005527E3"/>
    <w:rsid w:val="005676C2"/>
    <w:rsid w:val="005A326F"/>
    <w:rsid w:val="005E68EA"/>
    <w:rsid w:val="00621996"/>
    <w:rsid w:val="006455EF"/>
    <w:rsid w:val="0065096E"/>
    <w:rsid w:val="0065369C"/>
    <w:rsid w:val="00662F47"/>
    <w:rsid w:val="0067037B"/>
    <w:rsid w:val="006708E3"/>
    <w:rsid w:val="006A0556"/>
    <w:rsid w:val="006C67AA"/>
    <w:rsid w:val="006D694E"/>
    <w:rsid w:val="006E6E96"/>
    <w:rsid w:val="006F06B2"/>
    <w:rsid w:val="00737DA4"/>
    <w:rsid w:val="007A2C8D"/>
    <w:rsid w:val="007C4367"/>
    <w:rsid w:val="007D1CD8"/>
    <w:rsid w:val="007E0CF7"/>
    <w:rsid w:val="007E322D"/>
    <w:rsid w:val="0081477A"/>
    <w:rsid w:val="00865629"/>
    <w:rsid w:val="008B6C85"/>
    <w:rsid w:val="008F6B1F"/>
    <w:rsid w:val="00902A1E"/>
    <w:rsid w:val="009031F9"/>
    <w:rsid w:val="009078A6"/>
    <w:rsid w:val="0096458B"/>
    <w:rsid w:val="00983ABD"/>
    <w:rsid w:val="009929D3"/>
    <w:rsid w:val="009A2D12"/>
    <w:rsid w:val="009F1335"/>
    <w:rsid w:val="00A00145"/>
    <w:rsid w:val="00A03E7B"/>
    <w:rsid w:val="00A47A18"/>
    <w:rsid w:val="00A51DF0"/>
    <w:rsid w:val="00A855DF"/>
    <w:rsid w:val="00AE4A30"/>
    <w:rsid w:val="00B11BA8"/>
    <w:rsid w:val="00B1667A"/>
    <w:rsid w:val="00B421D3"/>
    <w:rsid w:val="00B44FDB"/>
    <w:rsid w:val="00B52224"/>
    <w:rsid w:val="00B54A06"/>
    <w:rsid w:val="00B5561E"/>
    <w:rsid w:val="00B71092"/>
    <w:rsid w:val="00BA4A46"/>
    <w:rsid w:val="00BD585F"/>
    <w:rsid w:val="00BE1AF7"/>
    <w:rsid w:val="00C016CE"/>
    <w:rsid w:val="00C0353D"/>
    <w:rsid w:val="00C12145"/>
    <w:rsid w:val="00C47D8E"/>
    <w:rsid w:val="00C76999"/>
    <w:rsid w:val="00C8352B"/>
    <w:rsid w:val="00C85E9B"/>
    <w:rsid w:val="00C938C1"/>
    <w:rsid w:val="00CA1FEB"/>
    <w:rsid w:val="00CA65EF"/>
    <w:rsid w:val="00CB412E"/>
    <w:rsid w:val="00CC6402"/>
    <w:rsid w:val="00CE1B02"/>
    <w:rsid w:val="00DA3261"/>
    <w:rsid w:val="00DD5086"/>
    <w:rsid w:val="00DE4F8D"/>
    <w:rsid w:val="00DF74C8"/>
    <w:rsid w:val="00E413F6"/>
    <w:rsid w:val="00E775E4"/>
    <w:rsid w:val="00E857EA"/>
    <w:rsid w:val="00E91310"/>
    <w:rsid w:val="00EB43D5"/>
    <w:rsid w:val="00EC2191"/>
    <w:rsid w:val="00ED76B4"/>
    <w:rsid w:val="00F14C97"/>
    <w:rsid w:val="00F6799B"/>
    <w:rsid w:val="00FB5F01"/>
    <w:rsid w:val="00FC1111"/>
    <w:rsid w:val="00FC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BE13B"/>
  <w15:docId w15:val="{F52FE73F-E894-4329-8F05-9AB7A823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8A6"/>
  </w:style>
  <w:style w:type="paragraph" w:styleId="Footer">
    <w:name w:val="footer"/>
    <w:basedOn w:val="Normal"/>
    <w:link w:val="FooterChar"/>
    <w:uiPriority w:val="99"/>
    <w:unhideWhenUsed/>
    <w:rsid w:val="00907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A6"/>
  </w:style>
  <w:style w:type="paragraph" w:customStyle="1" w:styleId="3A5B8D0E64CA4985BBFCEFDF165F36CC">
    <w:name w:val="3A5B8D0E64CA4985BBFCEFDF165F36CC"/>
    <w:rsid w:val="009078A6"/>
    <w:rPr>
      <w:rFonts w:eastAsiaTheme="minorEastAsia"/>
    </w:rPr>
  </w:style>
  <w:style w:type="paragraph" w:styleId="BalloonText">
    <w:name w:val="Balloon Text"/>
    <w:basedOn w:val="Normal"/>
    <w:link w:val="BalloonTextChar"/>
    <w:uiPriority w:val="99"/>
    <w:semiHidden/>
    <w:unhideWhenUsed/>
    <w:rsid w:val="00907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8A6"/>
    <w:rPr>
      <w:rFonts w:ascii="Tahoma" w:hAnsi="Tahoma" w:cs="Tahoma"/>
      <w:sz w:val="16"/>
      <w:szCs w:val="16"/>
    </w:rPr>
  </w:style>
  <w:style w:type="paragraph" w:styleId="NoSpacing">
    <w:name w:val="No Spacing"/>
    <w:link w:val="NoSpacingChar"/>
    <w:uiPriority w:val="1"/>
    <w:qFormat/>
    <w:rsid w:val="009078A6"/>
    <w:pPr>
      <w:spacing w:after="0" w:line="240" w:lineRule="auto"/>
    </w:pPr>
    <w:rPr>
      <w:rFonts w:eastAsiaTheme="minorEastAsia"/>
    </w:rPr>
  </w:style>
  <w:style w:type="character" w:customStyle="1" w:styleId="NoSpacingChar">
    <w:name w:val="No Spacing Char"/>
    <w:basedOn w:val="DefaultParagraphFont"/>
    <w:link w:val="NoSpacing"/>
    <w:uiPriority w:val="1"/>
    <w:rsid w:val="009078A6"/>
    <w:rPr>
      <w:rFonts w:eastAsiaTheme="minorEastAsia"/>
    </w:rPr>
  </w:style>
  <w:style w:type="paragraph" w:styleId="ListParagraph">
    <w:name w:val="List Paragraph"/>
    <w:basedOn w:val="Normal"/>
    <w:uiPriority w:val="34"/>
    <w:qFormat/>
    <w:rsid w:val="004A27A3"/>
    <w:pPr>
      <w:ind w:left="720"/>
      <w:contextualSpacing/>
    </w:pPr>
  </w:style>
  <w:style w:type="character" w:styleId="PlaceholderText">
    <w:name w:val="Placeholder Text"/>
    <w:basedOn w:val="DefaultParagraphFont"/>
    <w:uiPriority w:val="99"/>
    <w:semiHidden/>
    <w:rsid w:val="000B10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27422EEE6F4FDC85A17036E5C7AA8D"/>
        <w:category>
          <w:name w:val="General"/>
          <w:gallery w:val="placeholder"/>
        </w:category>
        <w:types>
          <w:type w:val="bbPlcHdr"/>
        </w:types>
        <w:behaviors>
          <w:behavior w:val="content"/>
        </w:behaviors>
        <w:guid w:val="{19B9E628-0750-4311-9D41-4D348936F825}"/>
      </w:docPartPr>
      <w:docPartBody>
        <w:p w:rsidR="002B7A9B" w:rsidRDefault="00754C23" w:rsidP="00754C23">
          <w:pPr>
            <w:pStyle w:val="3A27422EEE6F4FDC85A17036E5C7AA8D"/>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7D71"/>
    <w:rsid w:val="002B7A9B"/>
    <w:rsid w:val="00754C23"/>
    <w:rsid w:val="00763A50"/>
    <w:rsid w:val="00881ECC"/>
    <w:rsid w:val="008C68AB"/>
    <w:rsid w:val="00905A96"/>
    <w:rsid w:val="00BA36C3"/>
    <w:rsid w:val="00EF1000"/>
    <w:rsid w:val="00F07D26"/>
    <w:rsid w:val="00FC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B52A97BA64D1EAA8ADC24642A8B59">
    <w:name w:val="A4EB52A97BA64D1EAA8ADC24642A8B59"/>
    <w:rsid w:val="00FC7D71"/>
  </w:style>
  <w:style w:type="paragraph" w:customStyle="1" w:styleId="A23F87E2A4764471808FED7E3B0A0B09">
    <w:name w:val="A23F87E2A4764471808FED7E3B0A0B09"/>
    <w:rsid w:val="00FC7D71"/>
  </w:style>
  <w:style w:type="paragraph" w:customStyle="1" w:styleId="9B7A4061CB5745178A74EEDFA345A30E">
    <w:name w:val="9B7A4061CB5745178A74EEDFA345A30E"/>
    <w:rsid w:val="00FC7D71"/>
  </w:style>
  <w:style w:type="paragraph" w:customStyle="1" w:styleId="0B40ED7301754BC68E451ABF662B81BF">
    <w:name w:val="0B40ED7301754BC68E451ABF662B81BF"/>
    <w:rsid w:val="00FC7D71"/>
  </w:style>
  <w:style w:type="paragraph" w:customStyle="1" w:styleId="43396B6C128F493C8DA401C9088BA5A0">
    <w:name w:val="43396B6C128F493C8DA401C9088BA5A0"/>
    <w:rsid w:val="00FC7D71"/>
  </w:style>
  <w:style w:type="character" w:styleId="PlaceholderText">
    <w:name w:val="Placeholder Text"/>
    <w:basedOn w:val="DefaultParagraphFont"/>
    <w:uiPriority w:val="99"/>
    <w:semiHidden/>
    <w:rsid w:val="00754C23"/>
    <w:rPr>
      <w:color w:val="808080"/>
    </w:rPr>
  </w:style>
  <w:style w:type="paragraph" w:customStyle="1" w:styleId="09231EC663FC4ED28F6112D0B74C8378">
    <w:name w:val="09231EC663FC4ED28F6112D0B74C8378"/>
    <w:rsid w:val="00754C23"/>
    <w:pPr>
      <w:spacing w:after="160" w:line="259" w:lineRule="auto"/>
    </w:pPr>
  </w:style>
  <w:style w:type="paragraph" w:customStyle="1" w:styleId="DD5E3AD67D3440988750086A6D8C8082">
    <w:name w:val="DD5E3AD67D3440988750086A6D8C8082"/>
    <w:rsid w:val="00754C23"/>
    <w:pPr>
      <w:spacing w:after="160" w:line="259" w:lineRule="auto"/>
    </w:pPr>
  </w:style>
  <w:style w:type="paragraph" w:customStyle="1" w:styleId="3A27422EEE6F4FDC85A17036E5C7AA8D">
    <w:name w:val="3A27422EEE6F4FDC85A17036E5C7AA8D"/>
    <w:rsid w:val="00754C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5d6ed51fb0f753effaa1ddb3b0228f19">
  <xsd:schema xmlns:xsd="http://www.w3.org/2001/XMLSchema" xmlns:xs="http://www.w3.org/2001/XMLSchema" xmlns:p="http://schemas.microsoft.com/office/2006/metadata/properties" xmlns:ns3="421b5dec-8cd7-4fdb-a529-4a82f33c0af1" xmlns:ns4="c564f204-83dd-477d-ba8c-66b0f8895676" targetNamespace="http://schemas.microsoft.com/office/2006/metadata/properties" ma:root="true" ma:fieldsID="336b62653ce88e94e78a2bf0b0d20fbb" ns3:_="" ns4:_="">
    <xsd:import namespace="421b5dec-8cd7-4fdb-a529-4a82f33c0af1"/>
    <xsd:import namespace="c564f204-83dd-477d-ba8c-66b0f88956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8ADB00-43FE-4010-80FA-BC2DEB01BE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417F04-DCBA-4CC1-9AF7-D0959BD554B9}">
  <ds:schemaRefs>
    <ds:schemaRef ds:uri="http://schemas.microsoft.com/sharepoint/v3/contenttype/forms"/>
  </ds:schemaRefs>
</ds:datastoreItem>
</file>

<file path=customXml/itemProps4.xml><?xml version="1.0" encoding="utf-8"?>
<ds:datastoreItem xmlns:ds="http://schemas.openxmlformats.org/officeDocument/2006/customXml" ds:itemID="{8E775B8A-30B6-4E4D-A150-5F13FC9623FB}">
  <ds:schemaRefs>
    <ds:schemaRef ds:uri="http://schemas.openxmlformats.org/officeDocument/2006/bibliography"/>
  </ds:schemaRefs>
</ds:datastoreItem>
</file>

<file path=customXml/itemProps5.xml><?xml version="1.0" encoding="utf-8"?>
<ds:datastoreItem xmlns:ds="http://schemas.openxmlformats.org/officeDocument/2006/customXml" ds:itemID="{00526882-FB1E-4B2A-84C7-CE433BAD5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b5dec-8cd7-4fdb-a529-4a82f33c0af1"/>
    <ds:schemaRef ds:uri="c564f204-83dd-477d-ba8c-66b0f8895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ADECA ESG-CV INVOICE DOCUMENTATION COVER SHEET - PREVENTION</vt:lpstr>
    </vt:vector>
  </TitlesOfParts>
  <Company>ADECA</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ADECA ESG-CV INVOICE DOCUMENTATION COVER SHEET – RAPID RE-HOUSING</dc:title>
  <dc:creator>ADECA User;Shonda Gray</dc:creator>
  <cp:lastModifiedBy>Gray, Shonda</cp:lastModifiedBy>
  <cp:revision>5</cp:revision>
  <cp:lastPrinted>2019-05-23T17:34:00Z</cp:lastPrinted>
  <dcterms:created xsi:type="dcterms:W3CDTF">2021-06-17T17:36:00Z</dcterms:created>
  <dcterms:modified xsi:type="dcterms:W3CDTF">2021-06-22T14:51:00Z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