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8AFD" w14:textId="77777777" w:rsidR="00C3102D" w:rsidRPr="000769FB" w:rsidRDefault="00C3102D" w:rsidP="00C3102D">
      <w:pPr>
        <w:spacing w:after="0" w:line="240" w:lineRule="auto"/>
        <w:ind w:left="720"/>
        <w:jc w:val="center"/>
        <w:textAlignment w:val="baseline"/>
        <w:rPr>
          <w:rFonts w:eastAsia="Times New Roman" w:cstheme="minorHAnsi"/>
          <w:b/>
          <w:bCs/>
        </w:rPr>
      </w:pPr>
      <w:r w:rsidRPr="001052E0">
        <w:rPr>
          <w:rFonts w:eastAsia="Times New Roman" w:cstheme="minorHAnsi"/>
          <w:b/>
          <w:bCs/>
        </w:rPr>
        <w:t>Request for Applications</w:t>
      </w:r>
    </w:p>
    <w:p w14:paraId="68B6C800" w14:textId="77777777" w:rsidR="00C3102D" w:rsidRDefault="00C3102D" w:rsidP="00C3102D">
      <w:pPr>
        <w:spacing w:after="0" w:line="240" w:lineRule="auto"/>
        <w:ind w:left="720"/>
        <w:jc w:val="center"/>
        <w:textAlignment w:val="baseline"/>
        <w:rPr>
          <w:rFonts w:eastAsia="Times New Roman" w:cstheme="minorHAnsi"/>
        </w:rPr>
      </w:pPr>
      <w:r w:rsidRPr="000769FB">
        <w:rPr>
          <w:rFonts w:eastAsia="Times New Roman" w:cstheme="minorHAnsi"/>
        </w:rPr>
        <w:t>ALABAMA DEPARTMENT OF ECONOMIC AND COMMUNITY AFFAIRS </w:t>
      </w:r>
    </w:p>
    <w:p w14:paraId="47239BC4" w14:textId="77777777" w:rsidR="00C3102D" w:rsidRPr="000769FB" w:rsidRDefault="00C3102D" w:rsidP="00C3102D">
      <w:pPr>
        <w:spacing w:after="0" w:line="240" w:lineRule="auto"/>
        <w:ind w:left="720"/>
        <w:jc w:val="center"/>
        <w:textAlignment w:val="baseline"/>
        <w:rPr>
          <w:rFonts w:eastAsia="Times New Roman" w:cstheme="minorHAnsi"/>
        </w:rPr>
      </w:pPr>
    </w:p>
    <w:p w14:paraId="3C1B7A08" w14:textId="77777777" w:rsidR="00C3102D" w:rsidRPr="000769FB" w:rsidRDefault="00C3102D" w:rsidP="00C3102D">
      <w:pPr>
        <w:spacing w:after="0" w:line="240" w:lineRule="auto"/>
        <w:ind w:left="720"/>
        <w:textAlignment w:val="baseline"/>
        <w:rPr>
          <w:rFonts w:eastAsia="Times New Roman" w:cstheme="minorHAnsi"/>
        </w:rPr>
      </w:pPr>
      <w:r w:rsidRPr="000769FB">
        <w:rPr>
          <w:rFonts w:eastAsia="Times New Roman" w:cstheme="minorHAnsi"/>
        </w:rPr>
        <w:t> </w:t>
      </w:r>
    </w:p>
    <w:p w14:paraId="052557DB" w14:textId="77777777" w:rsidR="00C3102D" w:rsidRPr="000769FB" w:rsidRDefault="00C3102D" w:rsidP="00C3102D">
      <w:pPr>
        <w:spacing w:after="0" w:line="240" w:lineRule="auto"/>
        <w:ind w:left="720"/>
        <w:textAlignment w:val="baseline"/>
        <w:rPr>
          <w:rFonts w:eastAsia="Times New Roman" w:cstheme="minorHAnsi"/>
        </w:rPr>
      </w:pPr>
      <w:r w:rsidRPr="000769FB">
        <w:rPr>
          <w:rFonts w:eastAsia="Times New Roman" w:cstheme="minorHAnsi"/>
        </w:rPr>
        <w:t>Issue Date</w:t>
      </w:r>
      <w:r w:rsidRPr="001052E0">
        <w:rPr>
          <w:rFonts w:eastAsia="Times New Roman" w:cstheme="minorHAnsi"/>
        </w:rPr>
        <w:t>:  July 26,</w:t>
      </w:r>
      <w:r w:rsidRPr="000769FB">
        <w:rPr>
          <w:rFonts w:eastAsia="Times New Roman" w:cstheme="minorHAnsi"/>
        </w:rPr>
        <w:t xml:space="preserve"> 2021</w:t>
      </w:r>
    </w:p>
    <w:p w14:paraId="04A822F6" w14:textId="77777777" w:rsidR="00C3102D" w:rsidRPr="000769FB" w:rsidRDefault="00C3102D" w:rsidP="00C3102D">
      <w:pPr>
        <w:spacing w:after="0" w:line="240" w:lineRule="auto"/>
        <w:ind w:left="720"/>
        <w:textAlignment w:val="baseline"/>
        <w:rPr>
          <w:rFonts w:eastAsia="Times New Roman" w:cstheme="minorHAnsi"/>
          <w:b/>
          <w:bCs/>
        </w:rPr>
      </w:pPr>
      <w:r w:rsidRPr="000769FB">
        <w:rPr>
          <w:rFonts w:eastAsia="Times New Roman" w:cstheme="minorHAnsi"/>
          <w:b/>
          <w:bCs/>
        </w:rPr>
        <w:t xml:space="preserve">Response Due Date: 4 </w:t>
      </w:r>
      <w:r w:rsidRPr="001052E0">
        <w:rPr>
          <w:rFonts w:eastAsia="Times New Roman" w:cstheme="minorHAnsi"/>
          <w:b/>
          <w:bCs/>
        </w:rPr>
        <w:t>pm CDT July 30, 2021</w:t>
      </w:r>
      <w:r w:rsidRPr="000769FB">
        <w:rPr>
          <w:rFonts w:eastAsia="Times New Roman" w:cstheme="minorHAnsi"/>
          <w:b/>
          <w:bCs/>
        </w:rPr>
        <w:t> </w:t>
      </w:r>
    </w:p>
    <w:p w14:paraId="4151E5E6" w14:textId="77777777" w:rsidR="00C3102D" w:rsidRPr="000769FB" w:rsidRDefault="00C3102D" w:rsidP="00C3102D">
      <w:pPr>
        <w:spacing w:after="0" w:line="240" w:lineRule="auto"/>
        <w:ind w:left="720"/>
        <w:textAlignment w:val="baseline"/>
        <w:rPr>
          <w:rFonts w:eastAsia="Times New Roman" w:cstheme="minorHAnsi"/>
        </w:rPr>
      </w:pPr>
      <w:r w:rsidRPr="000769FB">
        <w:rPr>
          <w:rFonts w:eastAsia="Times New Roman" w:cstheme="minorHAnsi"/>
        </w:rPr>
        <w:t> </w:t>
      </w:r>
    </w:p>
    <w:p w14:paraId="7DED7AAC" w14:textId="77777777" w:rsidR="00C3102D" w:rsidRPr="000769FB" w:rsidRDefault="00C3102D" w:rsidP="00C3102D">
      <w:pPr>
        <w:spacing w:after="0" w:line="240" w:lineRule="auto"/>
        <w:jc w:val="both"/>
        <w:textAlignment w:val="baseline"/>
        <w:rPr>
          <w:rFonts w:eastAsia="Times New Roman" w:cstheme="minorHAnsi"/>
        </w:rPr>
      </w:pPr>
      <w:r w:rsidRPr="000769FB">
        <w:rPr>
          <w:rFonts w:eastAsia="Times New Roman" w:cstheme="minorHAnsi"/>
          <w:b/>
          <w:bCs/>
        </w:rPr>
        <w:t>Background and purpose</w:t>
      </w:r>
      <w:r w:rsidRPr="000769FB">
        <w:rPr>
          <w:rFonts w:eastAsia="Times New Roman" w:cstheme="minorHAnsi"/>
        </w:rPr>
        <w:t> </w:t>
      </w:r>
    </w:p>
    <w:p w14:paraId="1A881BB0" w14:textId="77777777" w:rsidR="00C3102D" w:rsidRDefault="00C3102D" w:rsidP="00C3102D">
      <w:pPr>
        <w:spacing w:after="0" w:line="240" w:lineRule="auto"/>
        <w:jc w:val="both"/>
        <w:textAlignment w:val="baseline"/>
        <w:rPr>
          <w:rFonts w:eastAsia="Times New Roman" w:cstheme="minorHAnsi"/>
        </w:rPr>
      </w:pPr>
      <w:r w:rsidRPr="000769FB">
        <w:rPr>
          <w:rFonts w:eastAsia="Times New Roman" w:cstheme="minorHAnsi"/>
        </w:rPr>
        <w:t xml:space="preserve">The Alabama Department of Economic and Community Affairs (ADECA) is seeking </w:t>
      </w:r>
      <w:r>
        <w:rPr>
          <w:rFonts w:eastAsia="Times New Roman" w:cstheme="minorHAnsi"/>
        </w:rPr>
        <w:t xml:space="preserve">grant </w:t>
      </w:r>
      <w:r w:rsidRPr="000769FB">
        <w:rPr>
          <w:rFonts w:eastAsia="Times New Roman" w:cstheme="minorHAnsi"/>
        </w:rPr>
        <w:t>proposals f</w:t>
      </w:r>
      <w:r>
        <w:rPr>
          <w:rFonts w:eastAsia="Times New Roman" w:cstheme="minorHAnsi"/>
        </w:rPr>
        <w:t xml:space="preserve">rom </w:t>
      </w:r>
      <w:r w:rsidRPr="000769FB">
        <w:rPr>
          <w:rFonts w:eastAsia="Times New Roman" w:cstheme="minorHAnsi"/>
        </w:rPr>
        <w:t xml:space="preserve">private </w:t>
      </w:r>
      <w:r>
        <w:rPr>
          <w:rFonts w:eastAsia="Times New Roman" w:cstheme="minorHAnsi"/>
        </w:rPr>
        <w:t>providers</w:t>
      </w:r>
      <w:r w:rsidRPr="000769FB">
        <w:rPr>
          <w:rFonts w:eastAsia="Times New Roman" w:cstheme="minorHAnsi"/>
        </w:rPr>
        <w:t xml:space="preserve"> </w:t>
      </w:r>
      <w:r>
        <w:rPr>
          <w:rFonts w:eastAsia="Times New Roman" w:cstheme="minorHAnsi"/>
        </w:rPr>
        <w:t xml:space="preserve">interested in participating in a ‘covered partnership’ with ADECA </w:t>
      </w:r>
      <w:r w:rsidRPr="000769FB">
        <w:rPr>
          <w:rFonts w:eastAsia="Times New Roman" w:cstheme="minorHAnsi"/>
        </w:rPr>
        <w:t xml:space="preserve">for the National Telecommunications and Information Administration’s (NTIA) Broadband Infrastructure Program (BIP). Through BIP, </w:t>
      </w:r>
      <w:r w:rsidRPr="00422CCB">
        <w:rPr>
          <w:rFonts w:eastAsia="Times New Roman" w:cstheme="minorHAnsi"/>
          <w:u w:val="single"/>
        </w:rPr>
        <w:t>ADECA seeks to extend broadband deployment to areas of the state that are currently unserved by sustainable 25/3 Mbps broadband coverage.</w:t>
      </w:r>
      <w:r w:rsidRPr="000769FB">
        <w:rPr>
          <w:rFonts w:eastAsia="Times New Roman" w:cstheme="minorHAnsi"/>
        </w:rPr>
        <w:t xml:space="preserve"> </w:t>
      </w:r>
      <w:r>
        <w:rPr>
          <w:rFonts w:eastAsia="Times New Roman" w:cstheme="minorHAnsi"/>
        </w:rPr>
        <w:t xml:space="preserve">ADECA anticipates selecting one applicant with a track record of providing high quality services and that has the capabilities to implement the proposed project in the required timeline. </w:t>
      </w:r>
      <w:r w:rsidRPr="000769FB">
        <w:rPr>
          <w:rFonts w:eastAsia="Times New Roman" w:cstheme="minorHAnsi"/>
        </w:rPr>
        <w:t xml:space="preserve">To this end, ADECA has consulted with CTC Technology &amp; Energy—an engineer consulting company—to facilitate </w:t>
      </w:r>
      <w:r>
        <w:rPr>
          <w:rFonts w:eastAsia="Times New Roman" w:cstheme="minorHAnsi"/>
        </w:rPr>
        <w:t>creation of materials for the application on behalf of the State</w:t>
      </w:r>
      <w:r w:rsidRPr="000769FB">
        <w:rPr>
          <w:rFonts w:eastAsia="Times New Roman" w:cstheme="minorHAnsi"/>
        </w:rPr>
        <w:t xml:space="preserve"> to NTIA’s BIP.</w:t>
      </w:r>
    </w:p>
    <w:p w14:paraId="729AE482" w14:textId="77777777" w:rsidR="00C3102D" w:rsidRDefault="00C3102D" w:rsidP="00C3102D">
      <w:pPr>
        <w:spacing w:after="0" w:line="240" w:lineRule="auto"/>
        <w:jc w:val="both"/>
        <w:textAlignment w:val="baseline"/>
        <w:rPr>
          <w:rFonts w:eastAsia="Times New Roman" w:cstheme="minorHAnsi"/>
        </w:rPr>
      </w:pPr>
    </w:p>
    <w:p w14:paraId="3B3D4A8F" w14:textId="77777777" w:rsidR="00C3102D" w:rsidRDefault="00C3102D" w:rsidP="00C3102D">
      <w:pPr>
        <w:spacing w:after="0" w:line="240" w:lineRule="auto"/>
        <w:jc w:val="both"/>
        <w:textAlignment w:val="baseline"/>
        <w:rPr>
          <w:rFonts w:eastAsia="Times New Roman" w:cstheme="minorHAnsi"/>
        </w:rPr>
      </w:pPr>
      <w:r>
        <w:rPr>
          <w:rFonts w:eastAsia="Times New Roman" w:cstheme="minorHAnsi"/>
        </w:rPr>
        <w:t xml:space="preserve">ADECA will host an informational webinar review of this RFA and to answer questions potential applicants may have on July 26, 2021 at 4 p.m. Central Standard Time.  </w:t>
      </w:r>
    </w:p>
    <w:p w14:paraId="39622931" w14:textId="77777777" w:rsidR="00C3102D" w:rsidRDefault="00C3102D" w:rsidP="00C3102D">
      <w:pPr>
        <w:spacing w:after="0" w:line="240" w:lineRule="auto"/>
        <w:jc w:val="both"/>
        <w:textAlignment w:val="baseline"/>
        <w:rPr>
          <w:rFonts w:eastAsia="Times New Roman" w:cstheme="minorHAnsi"/>
        </w:rPr>
      </w:pPr>
    </w:p>
    <w:p w14:paraId="05D2FD18" w14:textId="77777777" w:rsidR="00C3102D" w:rsidRDefault="00C3102D" w:rsidP="00C3102D">
      <w:pPr>
        <w:spacing w:after="0" w:line="240" w:lineRule="auto"/>
        <w:jc w:val="both"/>
        <w:textAlignment w:val="baseline"/>
        <w:rPr>
          <w:rFonts w:eastAsia="Times New Roman" w:cstheme="minorHAnsi"/>
        </w:rPr>
      </w:pPr>
      <w:r>
        <w:rPr>
          <w:rFonts w:eastAsia="Times New Roman" w:cstheme="minorHAnsi"/>
        </w:rPr>
        <w:t xml:space="preserve">Webinar Details: </w:t>
      </w:r>
    </w:p>
    <w:p w14:paraId="0A442F5B" w14:textId="77777777" w:rsidR="00C3102D" w:rsidRDefault="00C3102D" w:rsidP="00C3102D">
      <w:pPr>
        <w:spacing w:after="0" w:line="240" w:lineRule="auto"/>
        <w:ind w:left="720"/>
        <w:jc w:val="both"/>
        <w:textAlignment w:val="baseline"/>
        <w:rPr>
          <w:rFonts w:eastAsia="Times New Roman" w:cstheme="minorHAnsi"/>
        </w:rPr>
      </w:pPr>
    </w:p>
    <w:p w14:paraId="74D95AEC" w14:textId="77777777" w:rsidR="00C3102D" w:rsidRPr="00A77BE3" w:rsidRDefault="00C3102D" w:rsidP="00C3102D">
      <w:pPr>
        <w:spacing w:after="0" w:line="240" w:lineRule="auto"/>
        <w:ind w:left="720"/>
        <w:rPr>
          <w:rFonts w:ascii="Segoe UI" w:eastAsia="Times New Roman" w:hAnsi="Segoe UI" w:cs="Segoe UI"/>
          <w:sz w:val="21"/>
          <w:szCs w:val="21"/>
        </w:rPr>
      </w:pPr>
      <w:hyperlink r:id="rId5" w:history="1">
        <w:r w:rsidRPr="00A77BE3">
          <w:rPr>
            <w:rStyle w:val="Hyperlink"/>
            <w:rFonts w:ascii="Segoe UI" w:eastAsia="Times New Roman" w:hAnsi="Segoe UI" w:cs="Segoe UI"/>
            <w:sz w:val="21"/>
            <w:szCs w:val="21"/>
          </w:rPr>
          <w:t>https://zoom.us/j/91038427792?pwd=MlN4c05wTFVFR1RiNk5jN3ZlT2htQT09</w:t>
        </w:r>
      </w:hyperlink>
      <w:r>
        <w:rPr>
          <w:rFonts w:ascii="Segoe UI" w:eastAsia="Times New Roman" w:hAnsi="Segoe UI" w:cs="Segoe UI"/>
          <w:sz w:val="21"/>
          <w:szCs w:val="21"/>
        </w:rPr>
        <w:t xml:space="preserve"> </w:t>
      </w:r>
    </w:p>
    <w:p w14:paraId="5181F7A9" w14:textId="77777777" w:rsidR="00C3102D" w:rsidRDefault="00C3102D" w:rsidP="00C3102D">
      <w:pPr>
        <w:spacing w:after="0" w:line="240" w:lineRule="auto"/>
        <w:ind w:left="720"/>
        <w:rPr>
          <w:rFonts w:ascii="Segoe UI" w:eastAsia="Times New Roman" w:hAnsi="Segoe UI" w:cs="Segoe UI"/>
          <w:sz w:val="21"/>
          <w:szCs w:val="21"/>
        </w:rPr>
      </w:pPr>
      <w:r w:rsidRPr="00A77BE3">
        <w:rPr>
          <w:rFonts w:ascii="Segoe UI" w:eastAsia="Times New Roman" w:hAnsi="Segoe UI" w:cs="Segoe UI"/>
          <w:sz w:val="21"/>
          <w:szCs w:val="21"/>
        </w:rPr>
        <w:t>Meeting ID: 910 3842 7792</w:t>
      </w:r>
      <w:r w:rsidRPr="00A77BE3">
        <w:rPr>
          <w:rFonts w:ascii="Segoe UI" w:eastAsia="Times New Roman" w:hAnsi="Segoe UI" w:cs="Segoe UI"/>
          <w:sz w:val="21"/>
          <w:szCs w:val="21"/>
        </w:rPr>
        <w:br/>
        <w:t>Passcode: 502334</w:t>
      </w:r>
      <w:r w:rsidRPr="00A77BE3">
        <w:rPr>
          <w:rFonts w:ascii="Segoe UI" w:eastAsia="Times New Roman" w:hAnsi="Segoe UI" w:cs="Segoe UI"/>
          <w:sz w:val="21"/>
          <w:szCs w:val="21"/>
        </w:rPr>
        <w:br/>
      </w:r>
    </w:p>
    <w:p w14:paraId="0206E5D7" w14:textId="77777777" w:rsidR="00C3102D" w:rsidRPr="00A77BE3" w:rsidRDefault="00C3102D" w:rsidP="00C3102D">
      <w:pPr>
        <w:spacing w:after="0" w:line="240" w:lineRule="auto"/>
        <w:ind w:left="720"/>
        <w:rPr>
          <w:rFonts w:ascii="Segoe UI" w:eastAsia="Times New Roman" w:hAnsi="Segoe UI" w:cs="Segoe UI"/>
          <w:sz w:val="21"/>
          <w:szCs w:val="21"/>
        </w:rPr>
      </w:pPr>
      <w:r w:rsidRPr="00A77BE3">
        <w:rPr>
          <w:rFonts w:ascii="Segoe UI" w:eastAsia="Times New Roman" w:hAnsi="Segoe UI" w:cs="Segoe UI"/>
          <w:sz w:val="21"/>
          <w:szCs w:val="21"/>
        </w:rPr>
        <w:t>One tap mobile</w:t>
      </w:r>
      <w:r w:rsidRPr="00A77BE3">
        <w:rPr>
          <w:rFonts w:ascii="Segoe UI" w:eastAsia="Times New Roman" w:hAnsi="Segoe UI" w:cs="Segoe UI"/>
          <w:sz w:val="21"/>
          <w:szCs w:val="21"/>
        </w:rPr>
        <w:br/>
        <w:t>+</w:t>
      </w:r>
      <w:proofErr w:type="gramStart"/>
      <w:r w:rsidRPr="00A77BE3">
        <w:rPr>
          <w:rFonts w:ascii="Segoe UI" w:eastAsia="Times New Roman" w:hAnsi="Segoe UI" w:cs="Segoe UI"/>
          <w:sz w:val="21"/>
          <w:szCs w:val="21"/>
        </w:rPr>
        <w:t>13017158592,,</w:t>
      </w:r>
      <w:proofErr w:type="gramEnd"/>
      <w:r w:rsidRPr="00A77BE3">
        <w:rPr>
          <w:rFonts w:ascii="Segoe UI" w:eastAsia="Times New Roman" w:hAnsi="Segoe UI" w:cs="Segoe UI"/>
          <w:sz w:val="21"/>
          <w:szCs w:val="21"/>
        </w:rPr>
        <w:t>91038427792#,,,,*502334# US (Washington DC)</w:t>
      </w:r>
      <w:r w:rsidRPr="00A77BE3">
        <w:rPr>
          <w:rFonts w:ascii="Segoe UI" w:eastAsia="Times New Roman" w:hAnsi="Segoe UI" w:cs="Segoe UI"/>
          <w:sz w:val="21"/>
          <w:szCs w:val="21"/>
        </w:rPr>
        <w:br/>
        <w:t>+13126266799,,91038427792#,,,,*502334# US (Chicago)</w:t>
      </w:r>
    </w:p>
    <w:p w14:paraId="5DAC1B9B" w14:textId="77777777" w:rsidR="00C3102D" w:rsidRDefault="00C3102D" w:rsidP="00C3102D">
      <w:pPr>
        <w:spacing w:after="0" w:line="240" w:lineRule="auto"/>
        <w:ind w:left="720"/>
        <w:rPr>
          <w:rFonts w:ascii="Segoe UI" w:eastAsia="Times New Roman" w:hAnsi="Segoe UI" w:cs="Segoe UI"/>
          <w:sz w:val="21"/>
          <w:szCs w:val="21"/>
        </w:rPr>
      </w:pPr>
    </w:p>
    <w:p w14:paraId="2EABF37C" w14:textId="77777777" w:rsidR="00C3102D" w:rsidRPr="0008011B" w:rsidRDefault="00C3102D" w:rsidP="00C3102D">
      <w:pPr>
        <w:spacing w:after="0" w:line="240" w:lineRule="auto"/>
        <w:ind w:left="720"/>
        <w:rPr>
          <w:rFonts w:ascii="Segoe UI" w:eastAsia="Times New Roman" w:hAnsi="Segoe UI" w:cs="Segoe UI"/>
          <w:sz w:val="21"/>
          <w:szCs w:val="21"/>
        </w:rPr>
      </w:pPr>
      <w:r w:rsidRPr="00A77BE3">
        <w:rPr>
          <w:rFonts w:ascii="Segoe UI" w:eastAsia="Times New Roman" w:hAnsi="Segoe UI" w:cs="Segoe UI"/>
          <w:sz w:val="21"/>
          <w:szCs w:val="21"/>
        </w:rPr>
        <w:t>Dial by your location</w:t>
      </w:r>
      <w:r w:rsidRPr="00A77BE3">
        <w:rPr>
          <w:rFonts w:ascii="Segoe UI" w:eastAsia="Times New Roman" w:hAnsi="Segoe UI" w:cs="Segoe UI"/>
          <w:sz w:val="21"/>
          <w:szCs w:val="21"/>
        </w:rPr>
        <w:br/>
        <w:t>+1 301 715 8592 US (Washington DC)</w:t>
      </w:r>
      <w:r w:rsidRPr="00A77BE3">
        <w:rPr>
          <w:rFonts w:ascii="Segoe UI" w:eastAsia="Times New Roman" w:hAnsi="Segoe UI" w:cs="Segoe UI"/>
          <w:sz w:val="21"/>
          <w:szCs w:val="21"/>
        </w:rPr>
        <w:br/>
        <w:t>+1 312 626 6799 US (Chicago)</w:t>
      </w:r>
      <w:r w:rsidRPr="00A77BE3">
        <w:rPr>
          <w:rFonts w:ascii="Segoe UI" w:eastAsia="Times New Roman" w:hAnsi="Segoe UI" w:cs="Segoe UI"/>
          <w:sz w:val="21"/>
          <w:szCs w:val="21"/>
        </w:rPr>
        <w:br/>
        <w:t>+1 646 558 8656 US (New York)</w:t>
      </w:r>
      <w:r w:rsidRPr="00A77BE3">
        <w:rPr>
          <w:rFonts w:ascii="Segoe UI" w:eastAsia="Times New Roman" w:hAnsi="Segoe UI" w:cs="Segoe UI"/>
          <w:sz w:val="21"/>
          <w:szCs w:val="21"/>
        </w:rPr>
        <w:br/>
        <w:t>+1 669 900 9128 US (San Jose)</w:t>
      </w:r>
      <w:r w:rsidRPr="00A77BE3">
        <w:rPr>
          <w:rFonts w:ascii="Segoe UI" w:eastAsia="Times New Roman" w:hAnsi="Segoe UI" w:cs="Segoe UI"/>
          <w:sz w:val="21"/>
          <w:szCs w:val="21"/>
        </w:rPr>
        <w:br/>
        <w:t>+1 253 215 8782 US (Tacoma)</w:t>
      </w:r>
      <w:r w:rsidRPr="00A77BE3">
        <w:rPr>
          <w:rFonts w:ascii="Segoe UI" w:eastAsia="Times New Roman" w:hAnsi="Segoe UI" w:cs="Segoe UI"/>
          <w:sz w:val="21"/>
          <w:szCs w:val="21"/>
        </w:rPr>
        <w:br/>
        <w:t>+1 346 248 7799 US (Houston)</w:t>
      </w:r>
      <w:r w:rsidRPr="00A77BE3">
        <w:rPr>
          <w:rFonts w:ascii="Segoe UI" w:eastAsia="Times New Roman" w:hAnsi="Segoe UI" w:cs="Segoe UI"/>
          <w:sz w:val="21"/>
          <w:szCs w:val="21"/>
        </w:rPr>
        <w:br/>
      </w:r>
      <w:r w:rsidRPr="00A77BE3">
        <w:rPr>
          <w:rFonts w:ascii="Segoe UI" w:eastAsia="Times New Roman" w:hAnsi="Segoe UI" w:cs="Segoe UI"/>
          <w:sz w:val="21"/>
          <w:szCs w:val="21"/>
        </w:rPr>
        <w:br/>
        <w:t xml:space="preserve">Find your local number: </w:t>
      </w:r>
      <w:hyperlink r:id="rId6" w:history="1">
        <w:r w:rsidRPr="00A77BE3">
          <w:rPr>
            <w:rStyle w:val="Hyperlink"/>
            <w:rFonts w:ascii="Segoe UI" w:eastAsia="Times New Roman" w:hAnsi="Segoe UI" w:cs="Segoe UI"/>
            <w:sz w:val="21"/>
            <w:szCs w:val="21"/>
          </w:rPr>
          <w:t>https://zoom.us/u/adEQmEWX4s</w:t>
        </w:r>
      </w:hyperlink>
      <w:r>
        <w:rPr>
          <w:rFonts w:ascii="Segoe UI" w:eastAsia="Times New Roman" w:hAnsi="Segoe UI" w:cs="Segoe UI"/>
          <w:sz w:val="21"/>
          <w:szCs w:val="21"/>
        </w:rPr>
        <w:t xml:space="preserve"> </w:t>
      </w:r>
    </w:p>
    <w:p w14:paraId="15A8B54A" w14:textId="77777777" w:rsidR="00C3102D" w:rsidRDefault="00C3102D" w:rsidP="00C3102D">
      <w:pPr>
        <w:spacing w:after="0" w:line="240" w:lineRule="auto"/>
        <w:jc w:val="both"/>
        <w:textAlignment w:val="baseline"/>
        <w:rPr>
          <w:rFonts w:eastAsia="Times New Roman" w:cstheme="minorHAnsi"/>
          <w:b/>
          <w:bCs/>
        </w:rPr>
      </w:pPr>
    </w:p>
    <w:p w14:paraId="043F982D" w14:textId="77777777" w:rsidR="00C3102D" w:rsidRPr="000769FB" w:rsidRDefault="00C3102D" w:rsidP="00C3102D">
      <w:pPr>
        <w:spacing w:after="0" w:line="240" w:lineRule="auto"/>
        <w:jc w:val="both"/>
        <w:textAlignment w:val="baseline"/>
        <w:rPr>
          <w:rFonts w:eastAsia="Times New Roman" w:cstheme="minorHAnsi"/>
        </w:rPr>
      </w:pPr>
      <w:r w:rsidRPr="000769FB">
        <w:rPr>
          <w:rFonts w:eastAsia="Times New Roman" w:cstheme="minorHAnsi"/>
          <w:b/>
          <w:bCs/>
        </w:rPr>
        <w:t xml:space="preserve">Anticipated </w:t>
      </w:r>
      <w:r>
        <w:rPr>
          <w:rFonts w:eastAsia="Times New Roman" w:cstheme="minorHAnsi"/>
          <w:b/>
          <w:bCs/>
        </w:rPr>
        <w:t>Scope of Work:</w:t>
      </w:r>
      <w:r w:rsidRPr="000769FB">
        <w:rPr>
          <w:rFonts w:eastAsia="Times New Roman" w:cstheme="minorHAnsi"/>
        </w:rPr>
        <w:t> </w:t>
      </w:r>
    </w:p>
    <w:p w14:paraId="16BDA3FB" w14:textId="77777777" w:rsidR="00C3102D" w:rsidRDefault="00C3102D" w:rsidP="00C3102D">
      <w:pPr>
        <w:spacing w:after="0" w:line="240" w:lineRule="auto"/>
        <w:jc w:val="both"/>
        <w:textAlignment w:val="baseline"/>
        <w:rPr>
          <w:rFonts w:eastAsia="Times New Roman" w:cstheme="minorHAnsi"/>
        </w:rPr>
      </w:pPr>
    </w:p>
    <w:p w14:paraId="04489F6A" w14:textId="77777777" w:rsidR="00C3102D" w:rsidRDefault="00C3102D" w:rsidP="00C3102D">
      <w:pPr>
        <w:spacing w:after="0" w:line="240" w:lineRule="auto"/>
        <w:jc w:val="both"/>
        <w:textAlignment w:val="baseline"/>
        <w:rPr>
          <w:rFonts w:eastAsia="Times New Roman" w:cstheme="minorHAnsi"/>
        </w:rPr>
      </w:pPr>
      <w:r>
        <w:rPr>
          <w:rFonts w:eastAsia="Times New Roman" w:cstheme="minorHAnsi"/>
        </w:rPr>
        <w:t xml:space="preserve">Applicants should review all details of the NTIA BIP program to ensure they understand and can comply with program rules and requirements.  Information about the opportunity can be found online: </w:t>
      </w:r>
    </w:p>
    <w:p w14:paraId="71186711" w14:textId="77777777" w:rsidR="00C3102D" w:rsidRDefault="00C3102D" w:rsidP="00C3102D">
      <w:pPr>
        <w:spacing w:after="0" w:line="240" w:lineRule="auto"/>
        <w:ind w:left="720"/>
        <w:jc w:val="both"/>
        <w:textAlignment w:val="baseline"/>
        <w:rPr>
          <w:rFonts w:eastAsia="Times New Roman" w:cstheme="minorHAnsi"/>
        </w:rPr>
      </w:pPr>
      <w:hyperlink r:id="rId7" w:history="1">
        <w:r w:rsidRPr="006378D6">
          <w:rPr>
            <w:rStyle w:val="Hyperlink"/>
            <w:rFonts w:eastAsia="Times New Roman" w:cstheme="minorHAnsi"/>
          </w:rPr>
          <w:t>https://broadbandusa.ntia.doc.gov/resources/grant-programs/broadband-infrastructure-program</w:t>
        </w:r>
      </w:hyperlink>
      <w:r>
        <w:rPr>
          <w:rFonts w:eastAsia="Times New Roman" w:cstheme="minorHAnsi"/>
        </w:rPr>
        <w:t xml:space="preserve"> </w:t>
      </w:r>
    </w:p>
    <w:p w14:paraId="5036F4E8" w14:textId="77777777" w:rsidR="00C3102D" w:rsidRDefault="00C3102D" w:rsidP="00C3102D">
      <w:pPr>
        <w:spacing w:after="0" w:line="240" w:lineRule="auto"/>
        <w:jc w:val="both"/>
        <w:textAlignment w:val="baseline"/>
        <w:rPr>
          <w:rFonts w:eastAsia="Times New Roman" w:cstheme="minorHAnsi"/>
        </w:rPr>
      </w:pPr>
    </w:p>
    <w:p w14:paraId="675E3A53" w14:textId="77777777" w:rsidR="00C3102D" w:rsidRPr="000769FB" w:rsidRDefault="00C3102D" w:rsidP="00C3102D">
      <w:pPr>
        <w:spacing w:after="0" w:line="240" w:lineRule="auto"/>
        <w:jc w:val="both"/>
        <w:textAlignment w:val="baseline"/>
        <w:rPr>
          <w:rFonts w:eastAsia="Times New Roman" w:cstheme="minorHAnsi"/>
        </w:rPr>
      </w:pPr>
      <w:r>
        <w:rPr>
          <w:rFonts w:eastAsia="Times New Roman" w:cstheme="minorHAnsi"/>
        </w:rPr>
        <w:t>Applicants are</w:t>
      </w:r>
      <w:r w:rsidRPr="000769FB">
        <w:rPr>
          <w:rFonts w:eastAsia="Times New Roman" w:cstheme="minorHAnsi"/>
        </w:rPr>
        <w:t xml:space="preserve"> required to provide the following information </w:t>
      </w:r>
      <w:r>
        <w:rPr>
          <w:rFonts w:eastAsia="Times New Roman" w:cstheme="minorHAnsi"/>
        </w:rPr>
        <w:t>(all formatting should be in Word unless otherwise indicated) regarding their proposed project</w:t>
      </w:r>
      <w:r w:rsidRPr="000769FB">
        <w:rPr>
          <w:rFonts w:eastAsia="Times New Roman" w:cstheme="minorHAnsi"/>
        </w:rPr>
        <w:t>: </w:t>
      </w:r>
    </w:p>
    <w:p w14:paraId="24F07E63" w14:textId="77777777" w:rsidR="00C3102D" w:rsidRPr="000769FB" w:rsidRDefault="00C3102D" w:rsidP="00C3102D">
      <w:pPr>
        <w:spacing w:after="0" w:line="240" w:lineRule="auto"/>
        <w:jc w:val="both"/>
        <w:textAlignment w:val="baseline"/>
        <w:rPr>
          <w:rFonts w:eastAsia="Times New Roman" w:cstheme="minorHAnsi"/>
        </w:rPr>
      </w:pPr>
    </w:p>
    <w:p w14:paraId="392D5596"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eastAsia="Times New Roman" w:cstheme="minorHAnsi"/>
        </w:rPr>
        <w:t>Administrative information</w:t>
      </w:r>
      <w:r>
        <w:rPr>
          <w:rFonts w:eastAsia="Times New Roman" w:cstheme="minorHAnsi"/>
        </w:rPr>
        <w:t xml:space="preserve"> </w:t>
      </w:r>
    </w:p>
    <w:p w14:paraId="1B39291F"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SAM registration status</w:t>
      </w:r>
      <w:r>
        <w:rPr>
          <w:rFonts w:eastAsia="Times New Roman" w:cstheme="minorHAnsi"/>
        </w:rPr>
        <w:t xml:space="preserve"> and CAGE Code</w:t>
      </w:r>
    </w:p>
    <w:p w14:paraId="7AEB44A1" w14:textId="77777777" w:rsidR="00C3102D" w:rsidRPr="00A850D6" w:rsidRDefault="00C3102D" w:rsidP="00C3102D">
      <w:pPr>
        <w:numPr>
          <w:ilvl w:val="1"/>
          <w:numId w:val="1"/>
        </w:numPr>
        <w:spacing w:after="0" w:line="240" w:lineRule="auto"/>
        <w:jc w:val="both"/>
        <w:textAlignment w:val="baseline"/>
        <w:rPr>
          <w:rFonts w:eastAsia="Times New Roman" w:cstheme="minorHAnsi"/>
        </w:rPr>
      </w:pPr>
      <w:r w:rsidRPr="00A850D6">
        <w:rPr>
          <w:rFonts w:eastAsia="Times New Roman" w:cstheme="minorHAnsi"/>
        </w:rPr>
        <w:t>DUNS number/Unique entity identifier number</w:t>
      </w:r>
    </w:p>
    <w:p w14:paraId="2EB4C16F"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eastAsia="Times New Roman" w:cstheme="minorHAnsi"/>
        </w:rPr>
        <w:t xml:space="preserve">Description of the </w:t>
      </w:r>
      <w:r>
        <w:rPr>
          <w:rFonts w:eastAsia="Times New Roman" w:cstheme="minorHAnsi"/>
        </w:rPr>
        <w:t>proposed</w:t>
      </w:r>
      <w:r w:rsidRPr="000769FB">
        <w:rPr>
          <w:rFonts w:eastAsia="Times New Roman" w:cstheme="minorHAnsi"/>
        </w:rPr>
        <w:t xml:space="preserve"> partnership</w:t>
      </w:r>
      <w:r>
        <w:rPr>
          <w:rFonts w:eastAsia="Times New Roman" w:cstheme="minorHAnsi"/>
        </w:rPr>
        <w:t xml:space="preserve"> (Narrative)</w:t>
      </w:r>
    </w:p>
    <w:p w14:paraId="676D9D5B"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 xml:space="preserve">List of </w:t>
      </w:r>
      <w:r>
        <w:rPr>
          <w:rFonts w:eastAsia="Times New Roman" w:cstheme="minorHAnsi"/>
        </w:rPr>
        <w:t>proposed partners and project collaborators</w:t>
      </w:r>
      <w:r w:rsidRPr="000769FB">
        <w:rPr>
          <w:rFonts w:eastAsia="Times New Roman" w:cstheme="minorHAnsi"/>
        </w:rPr>
        <w:t xml:space="preserve"> and their scope of work</w:t>
      </w:r>
    </w:p>
    <w:p w14:paraId="733AAAAF"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 xml:space="preserve">One-page resumes of five key </w:t>
      </w:r>
      <w:r>
        <w:rPr>
          <w:rFonts w:eastAsia="Times New Roman" w:cstheme="minorHAnsi"/>
        </w:rPr>
        <w:t xml:space="preserve">proposed project </w:t>
      </w:r>
      <w:r w:rsidRPr="000769FB">
        <w:rPr>
          <w:rFonts w:eastAsia="Times New Roman" w:cstheme="minorHAnsi"/>
        </w:rPr>
        <w:t>personnel</w:t>
      </w:r>
    </w:p>
    <w:p w14:paraId="2CB2FABB"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eastAsia="Times New Roman" w:cstheme="minorHAnsi"/>
        </w:rPr>
        <w:t>Information on the finished broadband project</w:t>
      </w:r>
      <w:r>
        <w:rPr>
          <w:rFonts w:eastAsia="Times New Roman" w:cstheme="minorHAnsi"/>
        </w:rPr>
        <w:t xml:space="preserve"> (Narrative and Data)</w:t>
      </w:r>
    </w:p>
    <w:p w14:paraId="694994D9"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Network and system designs with technical specifications and route miles</w:t>
      </w:r>
    </w:p>
    <w:p w14:paraId="46E03C85"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Network diagrams</w:t>
      </w:r>
    </w:p>
    <w:p w14:paraId="237EA58A" w14:textId="77777777" w:rsidR="00C3102D"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Speeds or tiers of speeds</w:t>
      </w:r>
      <w:r>
        <w:rPr>
          <w:rFonts w:eastAsia="Times New Roman" w:cstheme="minorHAnsi"/>
        </w:rPr>
        <w:t xml:space="preserve"> and associated pricing</w:t>
      </w:r>
    </w:p>
    <w:p w14:paraId="4CA17633" w14:textId="77777777" w:rsidR="00C3102D" w:rsidRPr="00E27700" w:rsidRDefault="00C3102D" w:rsidP="00C3102D">
      <w:pPr>
        <w:numPr>
          <w:ilvl w:val="1"/>
          <w:numId w:val="1"/>
        </w:numPr>
        <w:spacing w:after="0" w:line="240" w:lineRule="auto"/>
        <w:jc w:val="both"/>
        <w:textAlignment w:val="baseline"/>
        <w:rPr>
          <w:rFonts w:eastAsia="Times New Roman" w:cstheme="minorHAnsi"/>
        </w:rPr>
      </w:pPr>
      <w:r w:rsidRPr="000769FB">
        <w:rPr>
          <w:rFonts w:cstheme="minorHAnsi"/>
        </w:rPr>
        <w:t>Method of construction</w:t>
      </w:r>
    </w:p>
    <w:p w14:paraId="69405EE9"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eastAsia="Times New Roman" w:cstheme="minorHAnsi"/>
        </w:rPr>
        <w:t>Information on the proposed service area</w:t>
      </w:r>
      <w:r>
        <w:rPr>
          <w:rFonts w:eastAsia="Times New Roman" w:cstheme="minorHAnsi"/>
        </w:rPr>
        <w:t xml:space="preserve"> (Narrative and Data)</w:t>
      </w:r>
    </w:p>
    <w:p w14:paraId="65860F6C"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Project routes in shapefile</w:t>
      </w:r>
      <w:r>
        <w:rPr>
          <w:rFonts w:eastAsia="Times New Roman" w:cstheme="minorHAnsi"/>
        </w:rPr>
        <w:t>,</w:t>
      </w:r>
      <w:r w:rsidRPr="000769FB">
        <w:rPr>
          <w:rFonts w:eastAsia="Times New Roman" w:cstheme="minorHAnsi"/>
        </w:rPr>
        <w:t xml:space="preserve"> </w:t>
      </w:r>
      <w:r>
        <w:rPr>
          <w:rFonts w:eastAsia="Times New Roman" w:cstheme="minorHAnsi"/>
        </w:rPr>
        <w:t>.</w:t>
      </w:r>
      <w:proofErr w:type="spellStart"/>
      <w:r w:rsidRPr="000769FB">
        <w:rPr>
          <w:rFonts w:eastAsia="Times New Roman" w:cstheme="minorHAnsi"/>
        </w:rPr>
        <w:t>kmz</w:t>
      </w:r>
      <w:proofErr w:type="spellEnd"/>
      <w:r>
        <w:rPr>
          <w:rFonts w:eastAsia="Times New Roman" w:cstheme="minorHAnsi"/>
        </w:rPr>
        <w:t>,</w:t>
      </w:r>
      <w:r w:rsidRPr="000769FB">
        <w:rPr>
          <w:rFonts w:eastAsia="Times New Roman" w:cstheme="minorHAnsi"/>
        </w:rPr>
        <w:t xml:space="preserve"> and .pdf format</w:t>
      </w:r>
    </w:p>
    <w:p w14:paraId="630A88F6"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Site and aerial photographs of the project area</w:t>
      </w:r>
      <w:r>
        <w:rPr>
          <w:rFonts w:eastAsia="Times New Roman" w:cstheme="minorHAnsi"/>
        </w:rPr>
        <w:t xml:space="preserve"> (google earth is acceptable)</w:t>
      </w:r>
    </w:p>
    <w:p w14:paraId="26352055"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A copy of any environmental or historic preservation review documentation that has been prepared in connection with obtaining permits or approval</w:t>
      </w:r>
      <w:r>
        <w:rPr>
          <w:rFonts w:eastAsia="Times New Roman" w:cstheme="minorHAnsi"/>
        </w:rPr>
        <w:t xml:space="preserve"> (optional)</w:t>
      </w:r>
    </w:p>
    <w:p w14:paraId="5F2623FC"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cstheme="minorHAnsi"/>
        </w:rPr>
        <w:t>Information on how the project will comply with environmental and historic preservation requirements</w:t>
      </w:r>
    </w:p>
    <w:p w14:paraId="553F62D9"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List of census blocks (or portions of census blocks) to be served</w:t>
      </w:r>
    </w:p>
    <w:p w14:paraId="7BBFF2AC"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 xml:space="preserve">Percentage of total unserved population </w:t>
      </w:r>
      <w:r>
        <w:rPr>
          <w:rFonts w:eastAsia="Times New Roman" w:cstheme="minorHAnsi"/>
        </w:rPr>
        <w:t xml:space="preserve">by census block </w:t>
      </w:r>
      <w:r w:rsidRPr="000769FB">
        <w:rPr>
          <w:rFonts w:eastAsia="Times New Roman" w:cstheme="minorHAnsi"/>
        </w:rPr>
        <w:t>to be served by the project</w:t>
      </w:r>
    </w:p>
    <w:p w14:paraId="0DCDBA81"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 xml:space="preserve">Number of unserved households, businesses, and community anchor institutions </w:t>
      </w:r>
      <w:r>
        <w:rPr>
          <w:rFonts w:eastAsia="Times New Roman" w:cstheme="minorHAnsi"/>
        </w:rPr>
        <w:t xml:space="preserve">by census block </w:t>
      </w:r>
      <w:r w:rsidRPr="000769FB">
        <w:rPr>
          <w:rFonts w:eastAsia="Times New Roman" w:cstheme="minorHAnsi"/>
        </w:rPr>
        <w:t>to be served by the project</w:t>
      </w:r>
    </w:p>
    <w:p w14:paraId="2878B0D2"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cstheme="minorHAnsi"/>
        </w:rPr>
        <w:t>Project plan</w:t>
      </w:r>
      <w:r>
        <w:rPr>
          <w:rFonts w:cstheme="minorHAnsi"/>
        </w:rPr>
        <w:t xml:space="preserve"> (Narrative)</w:t>
      </w:r>
    </w:p>
    <w:p w14:paraId="3924267B"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cstheme="minorHAnsi"/>
        </w:rPr>
        <w:t>Major project activities</w:t>
      </w:r>
    </w:p>
    <w:p w14:paraId="3AE50D62" w14:textId="77777777" w:rsidR="00C3102D" w:rsidRPr="00E27700" w:rsidRDefault="00C3102D" w:rsidP="00C3102D">
      <w:pPr>
        <w:numPr>
          <w:ilvl w:val="1"/>
          <w:numId w:val="1"/>
        </w:numPr>
        <w:spacing w:after="0" w:line="240" w:lineRule="auto"/>
        <w:jc w:val="both"/>
        <w:textAlignment w:val="baseline"/>
        <w:rPr>
          <w:rFonts w:eastAsia="Times New Roman" w:cstheme="minorHAnsi"/>
        </w:rPr>
      </w:pPr>
      <w:r w:rsidRPr="000769FB">
        <w:rPr>
          <w:rFonts w:cstheme="minorHAnsi"/>
        </w:rPr>
        <w:t>Timelines for implementation including key development milestones</w:t>
      </w:r>
    </w:p>
    <w:p w14:paraId="003F3422"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Pr>
          <w:rFonts w:cstheme="minorHAnsi"/>
        </w:rPr>
        <w:t>Gantt chart of proposed timeline with milestones</w:t>
      </w:r>
    </w:p>
    <w:p w14:paraId="13BFB36D" w14:textId="77777777" w:rsidR="00C3102D" w:rsidRPr="00E27700" w:rsidRDefault="00C3102D" w:rsidP="00C3102D">
      <w:pPr>
        <w:numPr>
          <w:ilvl w:val="1"/>
          <w:numId w:val="1"/>
        </w:numPr>
        <w:spacing w:after="0" w:line="240" w:lineRule="auto"/>
        <w:jc w:val="both"/>
        <w:textAlignment w:val="baseline"/>
        <w:rPr>
          <w:rFonts w:eastAsia="Times New Roman" w:cstheme="minorHAnsi"/>
        </w:rPr>
      </w:pPr>
      <w:r w:rsidRPr="000769FB">
        <w:rPr>
          <w:rFonts w:cstheme="minorHAnsi"/>
        </w:rPr>
        <w:t>An inventory of current build materials, including orders placed or anticipated</w:t>
      </w:r>
    </w:p>
    <w:p w14:paraId="3C53237B"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cstheme="minorHAnsi"/>
        </w:rPr>
        <w:t>Project costs</w:t>
      </w:r>
      <w:r>
        <w:rPr>
          <w:rFonts w:cstheme="minorHAnsi"/>
        </w:rPr>
        <w:t xml:space="preserve"> (Narrative and Data)</w:t>
      </w:r>
    </w:p>
    <w:p w14:paraId="5C850772"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cstheme="minorHAnsi"/>
        </w:rPr>
        <w:t>Itemized costs, including materials</w:t>
      </w:r>
    </w:p>
    <w:p w14:paraId="767B83B1"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cstheme="minorHAnsi"/>
        </w:rPr>
        <w:t>Financial background information</w:t>
      </w:r>
      <w:r>
        <w:rPr>
          <w:rFonts w:cstheme="minorHAnsi"/>
        </w:rPr>
        <w:t xml:space="preserve"> (Most recent)</w:t>
      </w:r>
    </w:p>
    <w:p w14:paraId="7B7810FD"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cstheme="minorHAnsi"/>
        </w:rPr>
        <w:t>Balance sheets</w:t>
      </w:r>
    </w:p>
    <w:p w14:paraId="4830A522"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cstheme="minorHAnsi"/>
        </w:rPr>
        <w:t>Income statements</w:t>
      </w:r>
    </w:p>
    <w:p w14:paraId="0D3BE07F"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cstheme="minorHAnsi"/>
        </w:rPr>
        <w:t>Statements of cash flows</w:t>
      </w:r>
    </w:p>
    <w:p w14:paraId="4D202521"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eastAsia="Times New Roman" w:cstheme="minorHAnsi"/>
        </w:rPr>
        <w:t>Project sustainability</w:t>
      </w:r>
      <w:r>
        <w:rPr>
          <w:rFonts w:eastAsia="Times New Roman" w:cstheme="minorHAnsi"/>
        </w:rPr>
        <w:t xml:space="preserve"> (Narrative and Data)</w:t>
      </w:r>
    </w:p>
    <w:p w14:paraId="653D3748" w14:textId="77777777" w:rsidR="00C3102D" w:rsidRDefault="00C3102D" w:rsidP="00C3102D">
      <w:pPr>
        <w:numPr>
          <w:ilvl w:val="1"/>
          <w:numId w:val="1"/>
        </w:numPr>
        <w:spacing w:after="0" w:line="240" w:lineRule="auto"/>
        <w:jc w:val="both"/>
        <w:textAlignment w:val="baseline"/>
        <w:rPr>
          <w:rFonts w:eastAsia="Times New Roman" w:cstheme="minorHAnsi"/>
        </w:rPr>
      </w:pPr>
      <w:r>
        <w:rPr>
          <w:rFonts w:eastAsia="Times New Roman" w:cstheme="minorHAnsi"/>
        </w:rPr>
        <w:t>Proformas through one year period of performance, including:</w:t>
      </w:r>
    </w:p>
    <w:p w14:paraId="787EAC41" w14:textId="77777777" w:rsidR="00C3102D" w:rsidRPr="000769FB" w:rsidRDefault="00C3102D" w:rsidP="00C3102D">
      <w:pPr>
        <w:numPr>
          <w:ilvl w:val="2"/>
          <w:numId w:val="1"/>
        </w:numPr>
        <w:spacing w:after="0" w:line="240" w:lineRule="auto"/>
        <w:jc w:val="both"/>
        <w:textAlignment w:val="baseline"/>
        <w:rPr>
          <w:rFonts w:eastAsia="Times New Roman" w:cstheme="minorHAnsi"/>
        </w:rPr>
      </w:pPr>
      <w:r w:rsidRPr="000769FB">
        <w:rPr>
          <w:rFonts w:eastAsia="Times New Roman" w:cstheme="minorHAnsi"/>
        </w:rPr>
        <w:t>Revenue projections</w:t>
      </w:r>
    </w:p>
    <w:p w14:paraId="2EA3376B" w14:textId="77777777" w:rsidR="00C3102D" w:rsidRPr="000769FB" w:rsidRDefault="00C3102D" w:rsidP="00C3102D">
      <w:pPr>
        <w:numPr>
          <w:ilvl w:val="2"/>
          <w:numId w:val="1"/>
        </w:numPr>
        <w:spacing w:after="0" w:line="240" w:lineRule="auto"/>
        <w:jc w:val="both"/>
        <w:textAlignment w:val="baseline"/>
        <w:rPr>
          <w:rFonts w:eastAsia="Times New Roman" w:cstheme="minorHAnsi"/>
        </w:rPr>
      </w:pPr>
      <w:r w:rsidRPr="000769FB">
        <w:rPr>
          <w:rFonts w:eastAsia="Times New Roman" w:cstheme="minorHAnsi"/>
        </w:rPr>
        <w:t>Expense projections</w:t>
      </w:r>
    </w:p>
    <w:p w14:paraId="4691DCD0" w14:textId="77777777" w:rsidR="00C3102D" w:rsidRPr="000769FB" w:rsidRDefault="00C3102D" w:rsidP="00C3102D">
      <w:pPr>
        <w:numPr>
          <w:ilvl w:val="2"/>
          <w:numId w:val="1"/>
        </w:numPr>
        <w:spacing w:after="0" w:line="240" w:lineRule="auto"/>
        <w:jc w:val="both"/>
        <w:textAlignment w:val="baseline"/>
        <w:rPr>
          <w:rFonts w:eastAsia="Times New Roman" w:cstheme="minorHAnsi"/>
        </w:rPr>
      </w:pPr>
      <w:r w:rsidRPr="000769FB">
        <w:rPr>
          <w:rFonts w:eastAsia="Times New Roman" w:cstheme="minorHAnsi"/>
        </w:rPr>
        <w:t>Business plans</w:t>
      </w:r>
    </w:p>
    <w:p w14:paraId="64D0E257" w14:textId="77777777" w:rsidR="00C3102D" w:rsidRPr="000769FB" w:rsidRDefault="00C3102D" w:rsidP="00C3102D">
      <w:pPr>
        <w:numPr>
          <w:ilvl w:val="2"/>
          <w:numId w:val="1"/>
        </w:numPr>
        <w:spacing w:after="0" w:line="240" w:lineRule="auto"/>
        <w:jc w:val="both"/>
        <w:textAlignment w:val="baseline"/>
        <w:rPr>
          <w:rFonts w:eastAsia="Times New Roman" w:cstheme="minorHAnsi"/>
        </w:rPr>
      </w:pPr>
      <w:r w:rsidRPr="000769FB">
        <w:rPr>
          <w:rFonts w:eastAsia="Times New Roman" w:cstheme="minorHAnsi"/>
        </w:rPr>
        <w:t>Market projections, including take rate over the coming years and how that estimate was reached</w:t>
      </w:r>
    </w:p>
    <w:p w14:paraId="3C880816"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Pr>
          <w:rFonts w:eastAsia="Times New Roman" w:cstheme="minorHAnsi"/>
        </w:rPr>
        <w:t>Documentation of t</w:t>
      </w:r>
      <w:r w:rsidRPr="000769FB">
        <w:rPr>
          <w:rFonts w:eastAsia="Times New Roman" w:cstheme="minorHAnsi"/>
        </w:rPr>
        <w:t>hird-party funding commitments</w:t>
      </w:r>
      <w:r>
        <w:rPr>
          <w:rFonts w:eastAsia="Times New Roman" w:cstheme="minorHAnsi"/>
        </w:rPr>
        <w:t xml:space="preserve"> for the proposed </w:t>
      </w:r>
      <w:proofErr w:type="gramStart"/>
      <w:r>
        <w:rPr>
          <w:rFonts w:eastAsia="Times New Roman" w:cstheme="minorHAnsi"/>
        </w:rPr>
        <w:t>project</w:t>
      </w:r>
      <w:r w:rsidRPr="000769FB">
        <w:rPr>
          <w:rFonts w:eastAsia="Times New Roman" w:cstheme="minorHAnsi"/>
        </w:rPr>
        <w:t>, if</w:t>
      </w:r>
      <w:proofErr w:type="gramEnd"/>
      <w:r w:rsidRPr="000769FB">
        <w:rPr>
          <w:rFonts w:eastAsia="Times New Roman" w:cstheme="minorHAnsi"/>
        </w:rPr>
        <w:t xml:space="preserve"> any</w:t>
      </w:r>
    </w:p>
    <w:p w14:paraId="49AAFDB9"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Scalability and future capacity to integrate next generation technology</w:t>
      </w:r>
    </w:p>
    <w:p w14:paraId="3FD471DB"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 xml:space="preserve">Other data demonstrating </w:t>
      </w:r>
      <w:r>
        <w:rPr>
          <w:rFonts w:eastAsia="Times New Roman" w:cstheme="minorHAnsi"/>
        </w:rPr>
        <w:t xml:space="preserve">how </w:t>
      </w:r>
      <w:r w:rsidRPr="000769FB">
        <w:rPr>
          <w:rFonts w:eastAsia="Times New Roman" w:cstheme="minorHAnsi"/>
        </w:rPr>
        <w:t>the project will be sustained beyond award period</w:t>
      </w:r>
    </w:p>
    <w:p w14:paraId="5420BB9E"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eastAsia="Times New Roman" w:cstheme="minorHAnsi"/>
        </w:rPr>
        <w:t>Previous aid</w:t>
      </w:r>
      <w:r>
        <w:rPr>
          <w:rFonts w:eastAsia="Times New Roman" w:cstheme="minorHAnsi"/>
        </w:rPr>
        <w:t xml:space="preserve"> (Table format)</w:t>
      </w:r>
    </w:p>
    <w:p w14:paraId="06CA8D2B"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lastRenderedPageBreak/>
        <w:t xml:space="preserve">Information on previous grants, loans, or loan </w:t>
      </w:r>
      <w:proofErr w:type="gramStart"/>
      <w:r w:rsidRPr="000769FB">
        <w:rPr>
          <w:rFonts w:eastAsia="Times New Roman" w:cstheme="minorHAnsi"/>
        </w:rPr>
        <w:t>guarantees, if</w:t>
      </w:r>
      <w:proofErr w:type="gramEnd"/>
      <w:r w:rsidRPr="000769FB">
        <w:rPr>
          <w:rFonts w:eastAsia="Times New Roman" w:cstheme="minorHAnsi"/>
        </w:rPr>
        <w:t xml:space="preserve"> any</w:t>
      </w:r>
    </w:p>
    <w:p w14:paraId="23966C43"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eastAsia="Times New Roman" w:cstheme="minorHAnsi"/>
        </w:rPr>
        <w:t>Description of labor standards, as applicable</w:t>
      </w:r>
      <w:r>
        <w:rPr>
          <w:rFonts w:eastAsia="Times New Roman" w:cstheme="minorHAnsi"/>
        </w:rPr>
        <w:t xml:space="preserve"> (Narrative)</w:t>
      </w:r>
    </w:p>
    <w:p w14:paraId="5CC3FE4F"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Labor standards</w:t>
      </w:r>
    </w:p>
    <w:p w14:paraId="660010D6"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Project labor agreements</w:t>
      </w:r>
    </w:p>
    <w:p w14:paraId="2B92D06A"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Community benefit agreements</w:t>
      </w:r>
    </w:p>
    <w:p w14:paraId="3A5230D9"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Local hire provisions</w:t>
      </w:r>
    </w:p>
    <w:p w14:paraId="7E28D377"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r w:rsidRPr="000769FB">
        <w:rPr>
          <w:rFonts w:eastAsia="Times New Roman" w:cstheme="minorHAnsi"/>
        </w:rPr>
        <w:t>Workforce plans and practices</w:t>
      </w:r>
    </w:p>
    <w:p w14:paraId="7F4565E0" w14:textId="77777777" w:rsidR="00C3102D" w:rsidRPr="000769FB" w:rsidRDefault="00C3102D" w:rsidP="00C3102D">
      <w:pPr>
        <w:numPr>
          <w:ilvl w:val="0"/>
          <w:numId w:val="1"/>
        </w:numPr>
        <w:spacing w:after="0" w:line="240" w:lineRule="auto"/>
        <w:jc w:val="both"/>
        <w:textAlignment w:val="baseline"/>
        <w:rPr>
          <w:rFonts w:eastAsia="Times New Roman" w:cstheme="minorHAnsi"/>
        </w:rPr>
      </w:pPr>
      <w:r w:rsidRPr="000769FB">
        <w:rPr>
          <w:rFonts w:eastAsia="Times New Roman" w:cstheme="minorHAnsi"/>
        </w:rPr>
        <w:t>Letter of commitment</w:t>
      </w:r>
    </w:p>
    <w:p w14:paraId="24624713" w14:textId="77777777" w:rsidR="00C3102D" w:rsidRPr="000769FB" w:rsidRDefault="00C3102D" w:rsidP="00C3102D">
      <w:pPr>
        <w:numPr>
          <w:ilvl w:val="1"/>
          <w:numId w:val="1"/>
        </w:numPr>
        <w:spacing w:after="0" w:line="240" w:lineRule="auto"/>
        <w:jc w:val="both"/>
        <w:textAlignment w:val="baseline"/>
        <w:rPr>
          <w:rFonts w:eastAsia="Times New Roman" w:cstheme="minorHAnsi"/>
        </w:rPr>
      </w:pPr>
      <w:bookmarkStart w:id="0" w:name="_Hlk74216669"/>
      <w:r w:rsidRPr="000769FB">
        <w:rPr>
          <w:rFonts w:cstheme="minorHAnsi"/>
        </w:rPr>
        <w:t xml:space="preserve">Letter of commitment from an authorized representative </w:t>
      </w:r>
      <w:r>
        <w:rPr>
          <w:rFonts w:cstheme="minorHAnsi"/>
        </w:rPr>
        <w:t>to ADECA</w:t>
      </w:r>
      <w:r w:rsidRPr="000769FB">
        <w:rPr>
          <w:rFonts w:cstheme="minorHAnsi"/>
        </w:rPr>
        <w:t>, including the scope of work</w:t>
      </w:r>
      <w:r>
        <w:rPr>
          <w:rFonts w:cstheme="minorHAnsi"/>
        </w:rPr>
        <w:t xml:space="preserve"> to be undertaken</w:t>
      </w:r>
      <w:r w:rsidRPr="000769FB">
        <w:rPr>
          <w:rFonts w:cstheme="minorHAnsi"/>
        </w:rPr>
        <w:t xml:space="preserve"> and </w:t>
      </w:r>
      <w:r>
        <w:rPr>
          <w:rFonts w:cstheme="minorHAnsi"/>
        </w:rPr>
        <w:t xml:space="preserve">its </w:t>
      </w:r>
      <w:r w:rsidRPr="000769FB">
        <w:rPr>
          <w:rFonts w:cstheme="minorHAnsi"/>
        </w:rPr>
        <w:t>relevance to the project</w:t>
      </w:r>
      <w:bookmarkEnd w:id="0"/>
      <w:r>
        <w:rPr>
          <w:rFonts w:cstheme="minorHAnsi"/>
        </w:rPr>
        <w:t xml:space="preserve"> and its obligations and responsibilities to the proposed project and required compliance in the ‘covered partnership’</w:t>
      </w:r>
    </w:p>
    <w:p w14:paraId="694D71C0" w14:textId="77777777" w:rsidR="00C3102D" w:rsidRDefault="00C3102D" w:rsidP="00C3102D">
      <w:pPr>
        <w:spacing w:after="0" w:line="240" w:lineRule="auto"/>
        <w:jc w:val="both"/>
        <w:textAlignment w:val="baseline"/>
        <w:rPr>
          <w:rFonts w:eastAsia="Times New Roman" w:cstheme="minorHAnsi"/>
        </w:rPr>
      </w:pPr>
    </w:p>
    <w:p w14:paraId="5B11C863" w14:textId="77777777" w:rsidR="00C3102D" w:rsidRDefault="00C3102D" w:rsidP="00C3102D">
      <w:pPr>
        <w:spacing w:after="0" w:line="240" w:lineRule="auto"/>
        <w:jc w:val="both"/>
        <w:textAlignment w:val="baseline"/>
        <w:rPr>
          <w:rFonts w:eastAsia="Times New Roman" w:cstheme="minorHAnsi"/>
        </w:rPr>
      </w:pPr>
      <w:r>
        <w:rPr>
          <w:rFonts w:eastAsia="Times New Roman" w:cstheme="minorHAnsi"/>
        </w:rPr>
        <w:t xml:space="preserve">Additionally, applicants should review and state agreement to all Federal Award Administration Information contained in Section VI of the NOFO (See page 36).  The NOFO is available at: </w:t>
      </w:r>
    </w:p>
    <w:p w14:paraId="54415E8C" w14:textId="77777777" w:rsidR="00C3102D" w:rsidRDefault="00C3102D" w:rsidP="00C3102D">
      <w:pPr>
        <w:spacing w:after="0" w:line="240" w:lineRule="auto"/>
        <w:jc w:val="both"/>
        <w:textAlignment w:val="baseline"/>
        <w:rPr>
          <w:rFonts w:eastAsia="Times New Roman" w:cstheme="minorHAnsi"/>
        </w:rPr>
      </w:pPr>
    </w:p>
    <w:p w14:paraId="6AD4FFDE" w14:textId="77777777" w:rsidR="00C3102D" w:rsidRDefault="00C3102D" w:rsidP="00C3102D">
      <w:pPr>
        <w:spacing w:after="0" w:line="240" w:lineRule="auto"/>
        <w:ind w:left="720"/>
        <w:jc w:val="both"/>
        <w:textAlignment w:val="baseline"/>
        <w:rPr>
          <w:rFonts w:eastAsia="Times New Roman" w:cstheme="minorHAnsi"/>
        </w:rPr>
      </w:pPr>
      <w:hyperlink r:id="rId8" w:history="1">
        <w:r w:rsidRPr="006378D6">
          <w:rPr>
            <w:rStyle w:val="Hyperlink"/>
            <w:rFonts w:eastAsia="Times New Roman" w:cstheme="minorHAnsi"/>
          </w:rPr>
          <w:t>https://broadbandusa.ntia.doc.gov/sites/default/files/2021-05/NTIA%20Broadband%20Infrastructure%20Grant%20Program%20NOFO.Final_.pdf</w:t>
        </w:r>
      </w:hyperlink>
      <w:r>
        <w:rPr>
          <w:rFonts w:eastAsia="Times New Roman" w:cstheme="minorHAnsi"/>
        </w:rPr>
        <w:t xml:space="preserve"> </w:t>
      </w:r>
    </w:p>
    <w:p w14:paraId="0868CDC8" w14:textId="77777777" w:rsidR="00C3102D" w:rsidRDefault="00C3102D" w:rsidP="00C3102D">
      <w:pPr>
        <w:spacing w:after="0" w:line="240" w:lineRule="auto"/>
        <w:jc w:val="both"/>
        <w:textAlignment w:val="baseline"/>
        <w:rPr>
          <w:rFonts w:eastAsia="Times New Roman" w:cstheme="minorHAnsi"/>
        </w:rPr>
      </w:pPr>
    </w:p>
    <w:p w14:paraId="37AB14F3" w14:textId="77777777" w:rsidR="00C3102D" w:rsidRPr="00422CCB" w:rsidRDefault="00C3102D" w:rsidP="00C3102D">
      <w:pPr>
        <w:spacing w:after="0" w:line="240" w:lineRule="auto"/>
        <w:jc w:val="both"/>
        <w:textAlignment w:val="baseline"/>
        <w:rPr>
          <w:rFonts w:eastAsia="Times New Roman" w:cstheme="minorHAnsi"/>
          <w:b/>
          <w:bCs/>
        </w:rPr>
      </w:pPr>
      <w:r>
        <w:rPr>
          <w:rFonts w:eastAsia="Times New Roman" w:cstheme="minorHAnsi"/>
          <w:b/>
          <w:bCs/>
        </w:rPr>
        <w:t xml:space="preserve">Table 1:  </w:t>
      </w:r>
      <w:r w:rsidRPr="00422CCB">
        <w:rPr>
          <w:rFonts w:eastAsia="Times New Roman" w:cstheme="minorHAnsi"/>
          <w:b/>
          <w:bCs/>
        </w:rPr>
        <w:t>Technical Requirements:</w:t>
      </w:r>
    </w:p>
    <w:tbl>
      <w:tblPr>
        <w:tblStyle w:val="PlainTable1"/>
        <w:tblW w:w="0" w:type="auto"/>
        <w:tblLook w:val="04A0" w:firstRow="1" w:lastRow="0" w:firstColumn="1" w:lastColumn="0" w:noHBand="0" w:noVBand="1"/>
      </w:tblPr>
      <w:tblGrid>
        <w:gridCol w:w="2695"/>
        <w:gridCol w:w="6655"/>
      </w:tblGrid>
      <w:tr w:rsidR="00C3102D" w14:paraId="0C29D978" w14:textId="77777777" w:rsidTr="00D41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E2EFD9" w:themeFill="accent6" w:themeFillTint="33"/>
            <w:vAlign w:val="center"/>
          </w:tcPr>
          <w:p w14:paraId="394F76F5" w14:textId="77777777" w:rsidR="00C3102D" w:rsidRDefault="00C3102D" w:rsidP="00D41C41">
            <w:pPr>
              <w:jc w:val="both"/>
              <w:textAlignment w:val="baseline"/>
              <w:rPr>
                <w:rFonts w:eastAsia="Times New Roman" w:cstheme="minorHAnsi"/>
              </w:rPr>
            </w:pPr>
            <w:r>
              <w:rPr>
                <w:rFonts w:eastAsia="Times New Roman" w:cstheme="minorHAnsi"/>
              </w:rPr>
              <w:t>Capacity</w:t>
            </w:r>
          </w:p>
        </w:tc>
        <w:tc>
          <w:tcPr>
            <w:tcW w:w="6655" w:type="dxa"/>
          </w:tcPr>
          <w:p w14:paraId="38937630" w14:textId="77777777" w:rsidR="00C3102D" w:rsidRPr="00736B30" w:rsidRDefault="00C3102D" w:rsidP="00D41C41">
            <w:pPr>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Pr>
                <w:rFonts w:eastAsia="Times New Roman" w:cstheme="minorHAnsi"/>
                <w:b w:val="0"/>
                <w:bCs w:val="0"/>
              </w:rPr>
              <w:t>Minimum 25/3 Mbps simultaneously to every household in the eligible service area; preference for 100/20 Mbps or better</w:t>
            </w:r>
          </w:p>
        </w:tc>
      </w:tr>
      <w:tr w:rsidR="00C3102D" w14:paraId="32DD2734" w14:textId="77777777" w:rsidTr="00D41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E2EFD9" w:themeFill="accent6" w:themeFillTint="33"/>
            <w:vAlign w:val="center"/>
          </w:tcPr>
          <w:p w14:paraId="3C8895C1" w14:textId="77777777" w:rsidR="00C3102D" w:rsidRDefault="00C3102D" w:rsidP="00D41C41">
            <w:pPr>
              <w:jc w:val="both"/>
              <w:textAlignment w:val="baseline"/>
              <w:rPr>
                <w:rFonts w:eastAsia="Times New Roman" w:cstheme="minorHAnsi"/>
              </w:rPr>
            </w:pPr>
            <w:r>
              <w:rPr>
                <w:rFonts w:eastAsia="Times New Roman" w:cstheme="minorHAnsi"/>
              </w:rPr>
              <w:t>Type of Service</w:t>
            </w:r>
          </w:p>
        </w:tc>
        <w:tc>
          <w:tcPr>
            <w:tcW w:w="6655" w:type="dxa"/>
          </w:tcPr>
          <w:p w14:paraId="5EE5D9B0" w14:textId="77777777" w:rsidR="00C3102D" w:rsidRPr="00736B30" w:rsidRDefault="00C3102D" w:rsidP="00D41C41">
            <w:p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Fiber to the premises</w:t>
            </w:r>
          </w:p>
        </w:tc>
      </w:tr>
      <w:tr w:rsidR="00C3102D" w14:paraId="3D3D1F97" w14:textId="77777777" w:rsidTr="00D41C41">
        <w:tc>
          <w:tcPr>
            <w:cnfStyle w:val="001000000000" w:firstRow="0" w:lastRow="0" w:firstColumn="1" w:lastColumn="0" w:oddVBand="0" w:evenVBand="0" w:oddHBand="0" w:evenHBand="0" w:firstRowFirstColumn="0" w:firstRowLastColumn="0" w:lastRowFirstColumn="0" w:lastRowLastColumn="0"/>
            <w:tcW w:w="2695" w:type="dxa"/>
            <w:shd w:val="clear" w:color="auto" w:fill="E2EFD9" w:themeFill="accent6" w:themeFillTint="33"/>
            <w:vAlign w:val="center"/>
          </w:tcPr>
          <w:p w14:paraId="6935CFCD" w14:textId="77777777" w:rsidR="00C3102D" w:rsidRDefault="00C3102D" w:rsidP="00D41C41">
            <w:pPr>
              <w:jc w:val="both"/>
              <w:textAlignment w:val="baseline"/>
              <w:rPr>
                <w:rFonts w:eastAsia="Times New Roman" w:cstheme="minorHAnsi"/>
              </w:rPr>
            </w:pPr>
            <w:r>
              <w:rPr>
                <w:rFonts w:eastAsia="Times New Roman" w:cstheme="minorHAnsi"/>
              </w:rPr>
              <w:t>Latency</w:t>
            </w:r>
          </w:p>
        </w:tc>
        <w:tc>
          <w:tcPr>
            <w:tcW w:w="6655" w:type="dxa"/>
          </w:tcPr>
          <w:p w14:paraId="5071EA7A" w14:textId="77777777" w:rsidR="00C3102D" w:rsidRDefault="00C3102D" w:rsidP="00D41C41">
            <w:pPr>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95 percent or more of all peak period measurement of network round trip latency are at or below 100 milliseconds</w:t>
            </w:r>
          </w:p>
        </w:tc>
      </w:tr>
      <w:tr w:rsidR="00C3102D" w14:paraId="3D3ADC08" w14:textId="77777777" w:rsidTr="00D41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E2EFD9" w:themeFill="accent6" w:themeFillTint="33"/>
            <w:vAlign w:val="center"/>
          </w:tcPr>
          <w:p w14:paraId="6CF1B274" w14:textId="77777777" w:rsidR="00C3102D" w:rsidRDefault="00C3102D" w:rsidP="00D41C41">
            <w:pPr>
              <w:jc w:val="both"/>
              <w:textAlignment w:val="baseline"/>
              <w:rPr>
                <w:rFonts w:eastAsia="Times New Roman" w:cstheme="minorHAnsi"/>
              </w:rPr>
            </w:pPr>
            <w:r>
              <w:rPr>
                <w:rFonts w:eastAsia="Times New Roman" w:cstheme="minorHAnsi"/>
              </w:rPr>
              <w:t>Data Caps and Restrictions</w:t>
            </w:r>
          </w:p>
        </w:tc>
        <w:tc>
          <w:tcPr>
            <w:tcW w:w="6655" w:type="dxa"/>
          </w:tcPr>
          <w:p w14:paraId="0F57FABD" w14:textId="77777777" w:rsidR="00C3102D" w:rsidRDefault="00C3102D" w:rsidP="00D41C41">
            <w:p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No limitations on time of day; unlimited data</w:t>
            </w:r>
          </w:p>
        </w:tc>
      </w:tr>
      <w:tr w:rsidR="00C3102D" w14:paraId="758816D3" w14:textId="77777777" w:rsidTr="00D41C41">
        <w:tc>
          <w:tcPr>
            <w:cnfStyle w:val="001000000000" w:firstRow="0" w:lastRow="0" w:firstColumn="1" w:lastColumn="0" w:oddVBand="0" w:evenVBand="0" w:oddHBand="0" w:evenHBand="0" w:firstRowFirstColumn="0" w:firstRowLastColumn="0" w:lastRowFirstColumn="0" w:lastRowLastColumn="0"/>
            <w:tcW w:w="2695" w:type="dxa"/>
            <w:shd w:val="clear" w:color="auto" w:fill="E2EFD9" w:themeFill="accent6" w:themeFillTint="33"/>
            <w:vAlign w:val="center"/>
          </w:tcPr>
          <w:p w14:paraId="161801AA" w14:textId="77777777" w:rsidR="00C3102D" w:rsidRDefault="00C3102D" w:rsidP="00D41C41">
            <w:pPr>
              <w:jc w:val="both"/>
              <w:textAlignment w:val="baseline"/>
              <w:rPr>
                <w:rFonts w:eastAsia="Times New Roman" w:cstheme="minorHAnsi"/>
              </w:rPr>
            </w:pPr>
            <w:r>
              <w:rPr>
                <w:rFonts w:eastAsia="Times New Roman" w:cstheme="minorHAnsi"/>
              </w:rPr>
              <w:t>Customer Service</w:t>
            </w:r>
          </w:p>
        </w:tc>
        <w:tc>
          <w:tcPr>
            <w:tcW w:w="6655" w:type="dxa"/>
          </w:tcPr>
          <w:p w14:paraId="320499AC" w14:textId="77777777" w:rsidR="00C3102D" w:rsidRDefault="00C3102D" w:rsidP="00D41C41">
            <w:pPr>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Available 8 a.m. to 5 p.m. Central time, seven days a week</w:t>
            </w:r>
          </w:p>
        </w:tc>
      </w:tr>
    </w:tbl>
    <w:p w14:paraId="00E09777" w14:textId="77777777" w:rsidR="00C3102D" w:rsidRDefault="00C3102D" w:rsidP="00C3102D">
      <w:pPr>
        <w:spacing w:after="0" w:line="240" w:lineRule="auto"/>
        <w:jc w:val="both"/>
        <w:textAlignment w:val="baseline"/>
        <w:rPr>
          <w:rFonts w:eastAsia="Times New Roman" w:cstheme="minorHAnsi"/>
        </w:rPr>
      </w:pPr>
    </w:p>
    <w:p w14:paraId="431F589E" w14:textId="77777777" w:rsidR="00C3102D" w:rsidRPr="000769FB" w:rsidRDefault="00C3102D" w:rsidP="00C3102D">
      <w:pPr>
        <w:spacing w:after="0" w:line="240" w:lineRule="auto"/>
        <w:jc w:val="both"/>
        <w:textAlignment w:val="baseline"/>
        <w:rPr>
          <w:rFonts w:eastAsia="Times New Roman" w:cstheme="minorHAnsi"/>
        </w:rPr>
      </w:pPr>
    </w:p>
    <w:p w14:paraId="24977B92" w14:textId="77777777" w:rsidR="00C3102D" w:rsidRPr="000769FB" w:rsidRDefault="00C3102D" w:rsidP="00C3102D">
      <w:pPr>
        <w:spacing w:after="0" w:line="240" w:lineRule="auto"/>
        <w:jc w:val="both"/>
        <w:textAlignment w:val="baseline"/>
        <w:rPr>
          <w:rFonts w:eastAsia="Times New Roman" w:cstheme="minorHAnsi"/>
        </w:rPr>
      </w:pPr>
      <w:r w:rsidRPr="000769FB">
        <w:rPr>
          <w:rFonts w:eastAsia="Times New Roman" w:cstheme="minorHAnsi"/>
          <w:b/>
          <w:bCs/>
        </w:rPr>
        <w:t>Evaluation of proposals</w:t>
      </w:r>
      <w:r>
        <w:rPr>
          <w:rFonts w:eastAsia="Times New Roman" w:cstheme="minorHAnsi"/>
          <w:b/>
          <w:bCs/>
        </w:rPr>
        <w:t>:</w:t>
      </w:r>
    </w:p>
    <w:p w14:paraId="626C4AA2" w14:textId="77777777" w:rsidR="00C3102D" w:rsidRPr="00422CCB" w:rsidRDefault="00C3102D" w:rsidP="00C3102D">
      <w:pPr>
        <w:spacing w:after="0" w:line="240" w:lineRule="auto"/>
        <w:jc w:val="both"/>
        <w:textAlignment w:val="baseline"/>
        <w:rPr>
          <w:rFonts w:eastAsia="Times New Roman" w:cstheme="minorHAnsi"/>
        </w:rPr>
      </w:pPr>
      <w:r w:rsidRPr="000769FB">
        <w:rPr>
          <w:rFonts w:eastAsia="Times New Roman" w:cstheme="minorHAnsi"/>
        </w:rPr>
        <w:t>Responses will be evaluated based on</w:t>
      </w:r>
      <w:r>
        <w:rPr>
          <w:rFonts w:eastAsia="Times New Roman" w:cstheme="minorHAnsi"/>
        </w:rPr>
        <w:t xml:space="preserve"> the following criteria:</w:t>
      </w:r>
    </w:p>
    <w:p w14:paraId="6F780456" w14:textId="77777777" w:rsidR="00C3102D" w:rsidRDefault="00C3102D" w:rsidP="00C3102D">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rPr>
        <w:t>W</w:t>
      </w:r>
      <w:r w:rsidRPr="0008011B">
        <w:rPr>
          <w:rFonts w:eastAsia="Times New Roman" w:cstheme="minorHAnsi"/>
        </w:rPr>
        <w:t>hether requested information was provided and the quality of that information</w:t>
      </w:r>
    </w:p>
    <w:p w14:paraId="6A4B4F20" w14:textId="77777777" w:rsidR="00C3102D" w:rsidRDefault="00C3102D" w:rsidP="00C3102D">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rPr>
        <w:t xml:space="preserve">Ability to implement project in 1 year timeline </w:t>
      </w:r>
    </w:p>
    <w:p w14:paraId="66277070" w14:textId="77777777" w:rsidR="00C3102D" w:rsidRDefault="00C3102D" w:rsidP="00C3102D">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rPr>
        <w:t>Affordability of service offerings</w:t>
      </w:r>
    </w:p>
    <w:p w14:paraId="12117585" w14:textId="77777777" w:rsidR="00C3102D" w:rsidRDefault="00C3102D" w:rsidP="00C3102D">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rPr>
        <w:t>Technical capabilities</w:t>
      </w:r>
      <w:r w:rsidRPr="0008011B">
        <w:rPr>
          <w:rFonts w:eastAsia="Times New Roman" w:cstheme="minorHAnsi"/>
        </w:rPr>
        <w:t xml:space="preserve"> </w:t>
      </w:r>
      <w:r>
        <w:rPr>
          <w:rFonts w:eastAsia="Times New Roman" w:cstheme="minorHAnsi"/>
        </w:rPr>
        <w:t>as defined in Technical Requirements</w:t>
      </w:r>
    </w:p>
    <w:p w14:paraId="42D63A52" w14:textId="77777777" w:rsidR="00C3102D" w:rsidRDefault="00C3102D" w:rsidP="00C3102D">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rPr>
        <w:t xml:space="preserve">Cost </w:t>
      </w:r>
    </w:p>
    <w:p w14:paraId="2F882ED0" w14:textId="77777777" w:rsidR="00C3102D" w:rsidRDefault="00C3102D" w:rsidP="00C3102D">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rPr>
        <w:t>Data caps or related technical parameters</w:t>
      </w:r>
    </w:p>
    <w:p w14:paraId="16789EEE" w14:textId="77777777" w:rsidR="00C3102D" w:rsidRPr="0008011B" w:rsidRDefault="00C3102D" w:rsidP="00C3102D">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rPr>
        <w:t>Qualifications and track record</w:t>
      </w:r>
    </w:p>
    <w:p w14:paraId="2C75E13C" w14:textId="77777777" w:rsidR="00C3102D" w:rsidRPr="000769FB" w:rsidRDefault="00C3102D" w:rsidP="00C3102D">
      <w:pPr>
        <w:spacing w:after="0" w:line="240" w:lineRule="auto"/>
        <w:jc w:val="both"/>
        <w:textAlignment w:val="baseline"/>
        <w:rPr>
          <w:rFonts w:eastAsia="Times New Roman" w:cstheme="minorHAnsi"/>
          <w:b/>
          <w:bCs/>
        </w:rPr>
      </w:pPr>
    </w:p>
    <w:p w14:paraId="414E8D4B" w14:textId="77777777" w:rsidR="00C3102D" w:rsidRPr="000769FB" w:rsidRDefault="00C3102D" w:rsidP="00C3102D">
      <w:pPr>
        <w:spacing w:after="0" w:line="240" w:lineRule="auto"/>
        <w:jc w:val="both"/>
        <w:textAlignment w:val="baseline"/>
        <w:rPr>
          <w:rFonts w:eastAsia="Times New Roman" w:cstheme="minorHAnsi"/>
        </w:rPr>
      </w:pPr>
      <w:r w:rsidRPr="000769FB">
        <w:rPr>
          <w:rFonts w:eastAsia="Times New Roman" w:cstheme="minorHAnsi"/>
          <w:b/>
          <w:bCs/>
        </w:rPr>
        <w:t>Process and schedule</w:t>
      </w:r>
      <w:r>
        <w:rPr>
          <w:rFonts w:eastAsia="Times New Roman" w:cstheme="minorHAnsi"/>
          <w:b/>
          <w:bCs/>
        </w:rPr>
        <w:t>:</w:t>
      </w:r>
      <w:r w:rsidRPr="000769FB">
        <w:rPr>
          <w:rFonts w:eastAsia="Times New Roman" w:cstheme="minorHAnsi"/>
        </w:rPr>
        <w:t> </w:t>
      </w:r>
    </w:p>
    <w:p w14:paraId="7D8F4F8F" w14:textId="77777777" w:rsidR="00C3102D" w:rsidRPr="000769FB" w:rsidRDefault="00C3102D" w:rsidP="00C3102D">
      <w:pPr>
        <w:pStyle w:val="ListParagraph"/>
        <w:numPr>
          <w:ilvl w:val="0"/>
          <w:numId w:val="2"/>
        </w:numPr>
        <w:spacing w:after="0" w:line="240" w:lineRule="auto"/>
        <w:jc w:val="both"/>
        <w:textAlignment w:val="baseline"/>
        <w:rPr>
          <w:rFonts w:eastAsia="Times New Roman" w:cstheme="minorHAnsi"/>
        </w:rPr>
      </w:pPr>
      <w:r w:rsidRPr="000769FB">
        <w:rPr>
          <w:rFonts w:eastAsia="Times New Roman" w:cstheme="minorHAnsi"/>
        </w:rPr>
        <w:t xml:space="preserve">Issue Request for Proposals: July </w:t>
      </w:r>
      <w:r w:rsidRPr="006147B1">
        <w:rPr>
          <w:rFonts w:eastAsia="Times New Roman" w:cstheme="minorHAnsi"/>
        </w:rPr>
        <w:t>26</w:t>
      </w:r>
      <w:r w:rsidRPr="000769FB">
        <w:rPr>
          <w:rFonts w:eastAsia="Times New Roman" w:cstheme="minorHAnsi"/>
        </w:rPr>
        <w:t>, 2021</w:t>
      </w:r>
    </w:p>
    <w:p w14:paraId="7DEC0E91" w14:textId="77777777" w:rsidR="00C3102D" w:rsidRPr="000769FB" w:rsidRDefault="00C3102D" w:rsidP="00C3102D">
      <w:pPr>
        <w:pStyle w:val="ListParagraph"/>
        <w:numPr>
          <w:ilvl w:val="0"/>
          <w:numId w:val="2"/>
        </w:numPr>
        <w:spacing w:after="0" w:line="240" w:lineRule="auto"/>
        <w:jc w:val="both"/>
        <w:textAlignment w:val="baseline"/>
        <w:rPr>
          <w:rFonts w:eastAsia="Times New Roman" w:cstheme="minorHAnsi"/>
        </w:rPr>
      </w:pPr>
      <w:r w:rsidRPr="000769FB">
        <w:rPr>
          <w:rFonts w:eastAsia="Times New Roman" w:cstheme="minorHAnsi"/>
        </w:rPr>
        <w:t xml:space="preserve">Responses due: July </w:t>
      </w:r>
      <w:r w:rsidRPr="006147B1">
        <w:rPr>
          <w:rFonts w:eastAsia="Times New Roman" w:cstheme="minorHAnsi"/>
        </w:rPr>
        <w:t>30</w:t>
      </w:r>
      <w:r w:rsidRPr="000769FB">
        <w:rPr>
          <w:rFonts w:eastAsia="Times New Roman" w:cstheme="minorHAnsi"/>
        </w:rPr>
        <w:t>, 2021 by 4 p.m. CDT </w:t>
      </w:r>
    </w:p>
    <w:p w14:paraId="63F7C6FC" w14:textId="77777777" w:rsidR="00C3102D" w:rsidRPr="000769FB" w:rsidRDefault="00C3102D" w:rsidP="00C3102D">
      <w:pPr>
        <w:pStyle w:val="ListParagraph"/>
        <w:numPr>
          <w:ilvl w:val="0"/>
          <w:numId w:val="2"/>
        </w:numPr>
        <w:spacing w:after="0" w:line="240" w:lineRule="auto"/>
        <w:jc w:val="both"/>
        <w:textAlignment w:val="baseline"/>
        <w:rPr>
          <w:rFonts w:eastAsia="Times New Roman" w:cstheme="minorHAnsi"/>
        </w:rPr>
      </w:pPr>
      <w:r w:rsidRPr="000769FB">
        <w:rPr>
          <w:rFonts w:eastAsia="Times New Roman" w:cstheme="minorHAnsi"/>
        </w:rPr>
        <w:t xml:space="preserve">Selection and notification of provider(s): August </w:t>
      </w:r>
      <w:r w:rsidRPr="006147B1">
        <w:rPr>
          <w:rFonts w:eastAsia="Times New Roman" w:cstheme="minorHAnsi"/>
        </w:rPr>
        <w:t>2</w:t>
      </w:r>
      <w:r w:rsidRPr="000769FB">
        <w:rPr>
          <w:rFonts w:eastAsia="Times New Roman" w:cstheme="minorHAnsi"/>
        </w:rPr>
        <w:t>, 2021</w:t>
      </w:r>
    </w:p>
    <w:p w14:paraId="3399AA8F" w14:textId="77777777" w:rsidR="00C3102D" w:rsidRPr="000769FB" w:rsidRDefault="00C3102D" w:rsidP="00C3102D">
      <w:pPr>
        <w:pStyle w:val="ListParagraph"/>
        <w:spacing w:after="0" w:line="240" w:lineRule="auto"/>
        <w:jc w:val="both"/>
        <w:textAlignment w:val="baseline"/>
        <w:rPr>
          <w:rFonts w:eastAsia="Times New Roman" w:cstheme="minorHAnsi"/>
        </w:rPr>
      </w:pPr>
    </w:p>
    <w:p w14:paraId="2930F0D7" w14:textId="77777777" w:rsidR="00C3102D" w:rsidRPr="000769FB" w:rsidRDefault="00C3102D" w:rsidP="00C3102D">
      <w:pPr>
        <w:shd w:val="clear" w:color="auto" w:fill="FFFFFF"/>
        <w:spacing w:after="0" w:line="240" w:lineRule="auto"/>
        <w:jc w:val="both"/>
        <w:textAlignment w:val="baseline"/>
        <w:rPr>
          <w:rFonts w:eastAsia="Times New Roman" w:cstheme="minorHAnsi"/>
        </w:rPr>
      </w:pPr>
      <w:r w:rsidRPr="000769FB">
        <w:rPr>
          <w:rFonts w:eastAsia="Times New Roman" w:cstheme="minorHAnsi"/>
        </w:rPr>
        <w:t xml:space="preserve">Responses should be submitted, via email, to </w:t>
      </w:r>
      <w:hyperlink r:id="rId9" w:history="1">
        <w:r w:rsidRPr="006378D6">
          <w:rPr>
            <w:rStyle w:val="Hyperlink"/>
            <w:rFonts w:eastAsia="Times New Roman" w:cstheme="minorHAnsi"/>
          </w:rPr>
          <w:t>hmills@ctcnet.us</w:t>
        </w:r>
      </w:hyperlink>
      <w:r>
        <w:rPr>
          <w:rFonts w:eastAsia="Times New Roman" w:cstheme="minorHAnsi"/>
        </w:rPr>
        <w:t xml:space="preserve"> </w:t>
      </w:r>
      <w:r w:rsidRPr="000769FB">
        <w:rPr>
          <w:rFonts w:eastAsia="Times New Roman" w:cstheme="minorHAnsi"/>
        </w:rPr>
        <w:t xml:space="preserve">by 4 p.m. CDT on July 30, 2021. Questions regarding this Request for Proposals can be directed to </w:t>
      </w:r>
      <w:hyperlink r:id="rId10" w:history="1">
        <w:r w:rsidRPr="006378D6">
          <w:rPr>
            <w:rStyle w:val="Hyperlink"/>
            <w:rFonts w:cstheme="minorHAnsi"/>
          </w:rPr>
          <w:t>hmills@ctcnet.us</w:t>
        </w:r>
      </w:hyperlink>
      <w:r>
        <w:rPr>
          <w:rFonts w:cstheme="minorHAnsi"/>
        </w:rPr>
        <w:t xml:space="preserve">.  </w:t>
      </w:r>
    </w:p>
    <w:p w14:paraId="5594271F" w14:textId="77777777" w:rsidR="00C3102D" w:rsidRDefault="00C3102D" w:rsidP="00C3102D">
      <w:pPr>
        <w:spacing w:after="0" w:line="240" w:lineRule="auto"/>
        <w:rPr>
          <w:rFonts w:eastAsia="Times New Roman" w:cstheme="minorHAnsi"/>
        </w:rPr>
      </w:pPr>
    </w:p>
    <w:p w14:paraId="2FADA0E3" w14:textId="77777777" w:rsidR="00C3102D" w:rsidRDefault="00C3102D" w:rsidP="00C3102D">
      <w:pPr>
        <w:pStyle w:val="Default"/>
      </w:pPr>
    </w:p>
    <w:p w14:paraId="3301E906" w14:textId="77777777" w:rsidR="00C3102D" w:rsidRDefault="00C3102D" w:rsidP="00C3102D">
      <w:pPr>
        <w:pStyle w:val="Default"/>
        <w:rPr>
          <w:b/>
          <w:bCs/>
          <w:sz w:val="23"/>
          <w:szCs w:val="23"/>
        </w:rPr>
      </w:pPr>
      <w:r w:rsidRPr="001052E0">
        <w:rPr>
          <w:b/>
          <w:bCs/>
          <w:sz w:val="23"/>
          <w:szCs w:val="23"/>
        </w:rPr>
        <w:t>General Terms</w:t>
      </w:r>
      <w:r>
        <w:rPr>
          <w:b/>
          <w:bCs/>
          <w:sz w:val="23"/>
          <w:szCs w:val="23"/>
        </w:rPr>
        <w:t>:</w:t>
      </w:r>
    </w:p>
    <w:p w14:paraId="6B556CBC" w14:textId="77777777" w:rsidR="00C3102D" w:rsidRDefault="00C3102D" w:rsidP="00C3102D">
      <w:pPr>
        <w:pStyle w:val="Default"/>
        <w:numPr>
          <w:ilvl w:val="0"/>
          <w:numId w:val="3"/>
        </w:numPr>
        <w:jc w:val="both"/>
        <w:rPr>
          <w:sz w:val="23"/>
          <w:szCs w:val="23"/>
        </w:rPr>
      </w:pPr>
      <w:r>
        <w:rPr>
          <w:sz w:val="23"/>
          <w:szCs w:val="23"/>
        </w:rPr>
        <w:t xml:space="preserve">Nonresponsive Responses. Any response that does not satisfy requirements of this Request for Applications may be deemed non-responsive and may be disregarded without evaluation. Clarification or supplemental information may be required from any Respondent. </w:t>
      </w:r>
    </w:p>
    <w:p w14:paraId="4739552B" w14:textId="77777777" w:rsidR="00C3102D" w:rsidRDefault="00C3102D" w:rsidP="00C3102D">
      <w:pPr>
        <w:pStyle w:val="Default"/>
        <w:jc w:val="both"/>
        <w:rPr>
          <w:sz w:val="23"/>
          <w:szCs w:val="23"/>
        </w:rPr>
      </w:pPr>
    </w:p>
    <w:p w14:paraId="7D85299C" w14:textId="77777777" w:rsidR="00C3102D" w:rsidRDefault="00C3102D" w:rsidP="00C3102D">
      <w:pPr>
        <w:pStyle w:val="Default"/>
        <w:numPr>
          <w:ilvl w:val="0"/>
          <w:numId w:val="3"/>
        </w:numPr>
        <w:jc w:val="both"/>
        <w:rPr>
          <w:sz w:val="23"/>
          <w:szCs w:val="23"/>
        </w:rPr>
      </w:pPr>
      <w:r>
        <w:rPr>
          <w:sz w:val="23"/>
          <w:szCs w:val="23"/>
        </w:rPr>
        <w:t xml:space="preserve">Rejection of Responses. ADECA reserves the right to reject </w:t>
      </w:r>
      <w:proofErr w:type="gramStart"/>
      <w:r>
        <w:rPr>
          <w:sz w:val="23"/>
          <w:szCs w:val="23"/>
        </w:rPr>
        <w:t>any and all</w:t>
      </w:r>
      <w:proofErr w:type="gramEnd"/>
      <w:r>
        <w:rPr>
          <w:sz w:val="23"/>
          <w:szCs w:val="23"/>
        </w:rPr>
        <w:t xml:space="preserve"> responses and cancel this Request if, in the exercise its sole discretion, it deems such action to be in its best interest. </w:t>
      </w:r>
    </w:p>
    <w:p w14:paraId="789A4173" w14:textId="77777777" w:rsidR="00C3102D" w:rsidRDefault="00C3102D" w:rsidP="00C3102D">
      <w:pPr>
        <w:pStyle w:val="Default"/>
        <w:jc w:val="both"/>
        <w:rPr>
          <w:sz w:val="23"/>
          <w:szCs w:val="23"/>
        </w:rPr>
      </w:pPr>
    </w:p>
    <w:p w14:paraId="50CDDBAD" w14:textId="77777777" w:rsidR="00C3102D" w:rsidRDefault="00C3102D" w:rsidP="00C3102D">
      <w:pPr>
        <w:pStyle w:val="Default"/>
        <w:numPr>
          <w:ilvl w:val="0"/>
          <w:numId w:val="3"/>
        </w:numPr>
        <w:jc w:val="both"/>
        <w:rPr>
          <w:sz w:val="23"/>
          <w:szCs w:val="23"/>
        </w:rPr>
      </w:pPr>
      <w:r>
        <w:rPr>
          <w:sz w:val="23"/>
          <w:szCs w:val="23"/>
        </w:rPr>
        <w:t xml:space="preserve">Expenses of Response. ADECA will not compensate a Proposer for any expenses incurred in the preparation of a Response. </w:t>
      </w:r>
    </w:p>
    <w:p w14:paraId="04716247" w14:textId="77777777" w:rsidR="00C3102D" w:rsidRPr="001052E0" w:rsidRDefault="00C3102D" w:rsidP="00C3102D">
      <w:pPr>
        <w:pStyle w:val="Default"/>
        <w:jc w:val="both"/>
        <w:rPr>
          <w:b/>
          <w:bCs/>
          <w:sz w:val="23"/>
          <w:szCs w:val="23"/>
        </w:rPr>
      </w:pPr>
    </w:p>
    <w:p w14:paraId="0CD3FCE3" w14:textId="4AC2CE4D" w:rsidR="00C3102D" w:rsidRDefault="00C3102D" w:rsidP="00C3102D">
      <w:pPr>
        <w:pStyle w:val="Default"/>
        <w:numPr>
          <w:ilvl w:val="0"/>
          <w:numId w:val="3"/>
        </w:numPr>
        <w:jc w:val="both"/>
        <w:rPr>
          <w:sz w:val="23"/>
          <w:szCs w:val="23"/>
        </w:rPr>
      </w:pPr>
      <w:r>
        <w:rPr>
          <w:sz w:val="23"/>
          <w:szCs w:val="23"/>
        </w:rPr>
        <w:t xml:space="preserve">A response must include one original Disclosure Statement as required by Code Section 41-16-82, et seq., Code of Alabama 1975. Copies of the Disclosure Statement, and information, may be downloaded from the State of Alabama Attorney General’s web site at </w:t>
      </w:r>
      <w:hyperlink r:id="rId11" w:history="1">
        <w:r w:rsidRPr="006378D6">
          <w:rPr>
            <w:rStyle w:val="Hyperlink"/>
            <w:sz w:val="23"/>
            <w:szCs w:val="23"/>
          </w:rPr>
          <w:t>http://ago.alabama.gov/Page-Vendor-Disclosure-StatementInformation-and-Instructions</w:t>
        </w:r>
      </w:hyperlink>
      <w:r>
        <w:rPr>
          <w:sz w:val="23"/>
          <w:szCs w:val="23"/>
        </w:rPr>
        <w:t xml:space="preserve">. </w:t>
      </w:r>
    </w:p>
    <w:p w14:paraId="4795DFD0" w14:textId="77777777" w:rsidR="00C3102D" w:rsidRDefault="00C3102D" w:rsidP="00C3102D">
      <w:pPr>
        <w:pStyle w:val="ListParagraph"/>
        <w:rPr>
          <w:sz w:val="23"/>
          <w:szCs w:val="23"/>
        </w:rPr>
      </w:pPr>
    </w:p>
    <w:p w14:paraId="2E7131F2" w14:textId="1CC71B3E" w:rsidR="00C3102D" w:rsidRDefault="00C3102D" w:rsidP="00C3102D">
      <w:pPr>
        <w:pStyle w:val="Default"/>
        <w:numPr>
          <w:ilvl w:val="0"/>
          <w:numId w:val="3"/>
        </w:numPr>
        <w:jc w:val="both"/>
        <w:rPr>
          <w:sz w:val="23"/>
          <w:szCs w:val="23"/>
        </w:rPr>
      </w:pPr>
      <w:r>
        <w:rPr>
          <w:sz w:val="23"/>
          <w:szCs w:val="23"/>
        </w:rPr>
        <w:t>The Final Terms of the Application/grant. Issuance of this Request for Applications in no way constitutes a commitment by ADECA to award a grant. The final terms of the application/grant for the service provider will be set out in a grant agreement which will be effective upon its acceptance by ADECA as evidenced by the signature thereon of its authorized representative. Provisions of this Request for Applications and the accepted Response may be incorporated into the terms of the grant should ADECA so dictate. Notice is hereby given that there are certain terms standard to commercial contracts in private sector use which the State is prevented by law or policy from accepting, including but not limited to indemnification and holding harmless a party to a contract or third parties, consent to choice of law and venue other than State of Alabama, methods of dispute resolution, waivers of subrogation and other rights against third parties, agreements to pa</w:t>
      </w:r>
      <w:r w:rsidR="00A70FBC">
        <w:rPr>
          <w:sz w:val="23"/>
          <w:szCs w:val="23"/>
        </w:rPr>
        <w:t>y</w:t>
      </w:r>
      <w:r>
        <w:rPr>
          <w:sz w:val="23"/>
          <w:szCs w:val="23"/>
        </w:rPr>
        <w:t xml:space="preserve"> attorney’s fees and expenses of litigation, and some provision</w:t>
      </w:r>
      <w:r w:rsidR="00A70FBC">
        <w:rPr>
          <w:sz w:val="23"/>
          <w:szCs w:val="23"/>
        </w:rPr>
        <w:t>s</w:t>
      </w:r>
      <w:r>
        <w:rPr>
          <w:sz w:val="23"/>
          <w:szCs w:val="23"/>
        </w:rPr>
        <w:t xml:space="preserve"> limiting damages payable by a vendor. </w:t>
      </w:r>
    </w:p>
    <w:p w14:paraId="71B3AE29" w14:textId="77777777" w:rsidR="00A70FBC" w:rsidRDefault="00A70FBC" w:rsidP="00A70FBC">
      <w:pPr>
        <w:pStyle w:val="ListParagraph"/>
        <w:rPr>
          <w:sz w:val="23"/>
          <w:szCs w:val="23"/>
        </w:rPr>
      </w:pPr>
    </w:p>
    <w:p w14:paraId="59B1B47A" w14:textId="77777777" w:rsidR="00A70FBC" w:rsidRDefault="00A70FBC" w:rsidP="00A70FBC">
      <w:pPr>
        <w:pStyle w:val="Default"/>
        <w:numPr>
          <w:ilvl w:val="0"/>
          <w:numId w:val="3"/>
        </w:numPr>
        <w:jc w:val="both"/>
        <w:rPr>
          <w:sz w:val="23"/>
          <w:szCs w:val="23"/>
        </w:rPr>
      </w:pPr>
      <w:r w:rsidRPr="004E3364">
        <w:rPr>
          <w:sz w:val="23"/>
          <w:szCs w:val="23"/>
        </w:rPr>
        <w:t>Beason-</w:t>
      </w:r>
      <w:proofErr w:type="spellStart"/>
      <w:r w:rsidRPr="004E3364">
        <w:rPr>
          <w:sz w:val="23"/>
          <w:szCs w:val="23"/>
        </w:rPr>
        <w:t>Hammon</w:t>
      </w:r>
      <w:proofErr w:type="spellEnd"/>
      <w:r w:rsidRPr="004E3364">
        <w:rPr>
          <w:sz w:val="23"/>
          <w:szCs w:val="23"/>
        </w:rPr>
        <w:t xml:space="preserve"> Act Compliance.</w:t>
      </w:r>
      <w:r>
        <w:rPr>
          <w:sz w:val="23"/>
          <w:szCs w:val="23"/>
        </w:rPr>
        <w:t xml:space="preserve"> A grant resulting from this Request for </w:t>
      </w:r>
      <w:proofErr w:type="spellStart"/>
      <w:r>
        <w:rPr>
          <w:sz w:val="23"/>
          <w:szCs w:val="23"/>
        </w:rPr>
        <w:t>Applicaions</w:t>
      </w:r>
      <w:proofErr w:type="spellEnd"/>
      <w:r>
        <w:rPr>
          <w:sz w:val="23"/>
          <w:szCs w:val="23"/>
        </w:rPr>
        <w:t xml:space="preserve"> will include provisions for compliance with certain requirements of the Beason-</w:t>
      </w:r>
      <w:proofErr w:type="spellStart"/>
      <w:r>
        <w:rPr>
          <w:sz w:val="23"/>
          <w:szCs w:val="23"/>
        </w:rPr>
        <w:t>Hammon</w:t>
      </w:r>
      <w:proofErr w:type="spellEnd"/>
      <w:r>
        <w:rPr>
          <w:sz w:val="23"/>
          <w:szCs w:val="23"/>
        </w:rPr>
        <w:t xml:space="preserve"> Alabama taxpayer and Citizen Protection Act (Act 2011-535, as amended by Act 2012-491 and codified as Sections 31-13-1 through 35, Code of Alabama, 1975, as amended), as follows: </w:t>
      </w:r>
    </w:p>
    <w:p w14:paraId="11658351" w14:textId="77777777" w:rsidR="00A70FBC" w:rsidRDefault="00A70FBC" w:rsidP="00A70FBC">
      <w:pPr>
        <w:pStyle w:val="Default"/>
        <w:jc w:val="both"/>
        <w:rPr>
          <w:sz w:val="23"/>
          <w:szCs w:val="23"/>
        </w:rPr>
      </w:pPr>
    </w:p>
    <w:p w14:paraId="7E6B697A" w14:textId="77777777" w:rsidR="00A70FBC" w:rsidRDefault="00A70FBC" w:rsidP="00A70FBC">
      <w:pPr>
        <w:pStyle w:val="Default"/>
        <w:ind w:left="1080"/>
        <w:jc w:val="both"/>
        <w:rPr>
          <w:sz w:val="23"/>
          <w:szCs w:val="23"/>
        </w:rPr>
      </w:pPr>
      <w:r>
        <w:rPr>
          <w:sz w:val="23"/>
          <w:szCs w:val="23"/>
        </w:rPr>
        <w:t>E-Verify Enrollment Documentation and Participation. As required by Section 31-13 -9(b), Code of Alabama, 1975, as amended, Contractor that is a “business entity” or “employer” as defined in Code Section 31-13-3, will enroll in the E-Verify Program administered by the United States Department of Homeland Security, will provide a copy of its Memorandum of Agreement with the United States Department of Homeland Security that program and will use that program for the duration of this contract.</w:t>
      </w:r>
    </w:p>
    <w:p w14:paraId="79BA7038" w14:textId="77777777" w:rsidR="00A70FBC" w:rsidRDefault="00A70FBC" w:rsidP="00A70FBC">
      <w:pPr>
        <w:pStyle w:val="Default"/>
        <w:ind w:left="720"/>
        <w:jc w:val="both"/>
        <w:rPr>
          <w:sz w:val="23"/>
          <w:szCs w:val="23"/>
        </w:rPr>
      </w:pPr>
    </w:p>
    <w:p w14:paraId="006FFAC6" w14:textId="77777777" w:rsidR="00A70FBC" w:rsidRDefault="00A70FBC" w:rsidP="00A70FBC">
      <w:pPr>
        <w:pStyle w:val="Default"/>
        <w:ind w:left="1080"/>
        <w:jc w:val="both"/>
        <w:rPr>
          <w:sz w:val="23"/>
          <w:szCs w:val="23"/>
        </w:rPr>
      </w:pPr>
      <w:r>
        <w:rPr>
          <w:sz w:val="23"/>
          <w:szCs w:val="23"/>
        </w:rPr>
        <w:t xml:space="preserve">Contract Provision Mandated by Section 31-13-9(k). By signing this contract, the contracting parties affirm, for the duration of the agreement, that they will not violate </w:t>
      </w:r>
      <w:r>
        <w:rPr>
          <w:sz w:val="23"/>
          <w:szCs w:val="23"/>
        </w:rPr>
        <w:lastRenderedPageBreak/>
        <w:t>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62F43D18" w14:textId="77777777" w:rsidR="00A70FBC" w:rsidRDefault="00A70FBC" w:rsidP="00A70FBC">
      <w:pPr>
        <w:pStyle w:val="Default"/>
        <w:jc w:val="both"/>
        <w:rPr>
          <w:sz w:val="23"/>
          <w:szCs w:val="23"/>
        </w:rPr>
      </w:pPr>
    </w:p>
    <w:p w14:paraId="4ED8A047" w14:textId="77777777" w:rsidR="00A70FBC" w:rsidRDefault="00A70FBC" w:rsidP="00A70FBC">
      <w:pPr>
        <w:pStyle w:val="Default"/>
        <w:numPr>
          <w:ilvl w:val="0"/>
          <w:numId w:val="3"/>
        </w:numPr>
        <w:jc w:val="both"/>
        <w:rPr>
          <w:sz w:val="23"/>
          <w:szCs w:val="23"/>
        </w:rPr>
      </w:pPr>
      <w:r>
        <w:rPr>
          <w:sz w:val="23"/>
          <w:szCs w:val="23"/>
        </w:rPr>
        <w:t xml:space="preserve">The Respondent must be registered to do business with the State of Alabama through the STAARS Vendor Self-Service (“VSS”), if selected. For more information, visit VSS at </w:t>
      </w:r>
      <w:hyperlink r:id="rId12" w:history="1">
        <w:r w:rsidRPr="006378D6">
          <w:rPr>
            <w:rStyle w:val="Hyperlink"/>
            <w:sz w:val="23"/>
            <w:szCs w:val="23"/>
          </w:rPr>
          <w:t>http://procurement.staars.alabama.gov</w:t>
        </w:r>
      </w:hyperlink>
      <w:r>
        <w:rPr>
          <w:sz w:val="23"/>
          <w:szCs w:val="23"/>
        </w:rPr>
        <w:t xml:space="preserve">. </w:t>
      </w:r>
    </w:p>
    <w:p w14:paraId="1D6CCAFB" w14:textId="77777777" w:rsidR="00A70FBC" w:rsidRDefault="00A70FBC" w:rsidP="00A70FBC">
      <w:pPr>
        <w:pStyle w:val="Default"/>
        <w:jc w:val="both"/>
        <w:rPr>
          <w:sz w:val="23"/>
          <w:szCs w:val="23"/>
        </w:rPr>
      </w:pPr>
    </w:p>
    <w:p w14:paraId="0B2CA611" w14:textId="77777777" w:rsidR="002F1F90" w:rsidRDefault="002F1F90"/>
    <w:sectPr w:rsidR="002F1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702EA"/>
    <w:multiLevelType w:val="hybridMultilevel"/>
    <w:tmpl w:val="E272EE30"/>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FF74556"/>
    <w:multiLevelType w:val="hybridMultilevel"/>
    <w:tmpl w:val="8160B3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40B96"/>
    <w:multiLevelType w:val="hybridMultilevel"/>
    <w:tmpl w:val="3DD0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23833"/>
    <w:multiLevelType w:val="hybridMultilevel"/>
    <w:tmpl w:val="5F907896"/>
    <w:lvl w:ilvl="0" w:tplc="0409000F">
      <w:start w:val="1"/>
      <w:numFmt w:val="decimal"/>
      <w:lvlText w:val="%1."/>
      <w:lvlJc w:val="left"/>
      <w:pPr>
        <w:ind w:left="112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2D"/>
    <w:rsid w:val="002F1F90"/>
    <w:rsid w:val="00A70FBC"/>
    <w:rsid w:val="00C3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8571"/>
  <w15:chartTrackingRefBased/>
  <w15:docId w15:val="{BBCFFCB5-5B91-44C1-B533-DB893F79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2D"/>
    <w:pPr>
      <w:ind w:left="720"/>
      <w:contextualSpacing/>
    </w:pPr>
  </w:style>
  <w:style w:type="character" w:styleId="Hyperlink">
    <w:name w:val="Hyperlink"/>
    <w:basedOn w:val="DefaultParagraphFont"/>
    <w:uiPriority w:val="99"/>
    <w:unhideWhenUsed/>
    <w:rsid w:val="00C3102D"/>
    <w:rPr>
      <w:color w:val="0563C1" w:themeColor="hyperlink"/>
      <w:u w:val="single"/>
    </w:rPr>
  </w:style>
  <w:style w:type="paragraph" w:customStyle="1" w:styleId="Default">
    <w:name w:val="Default"/>
    <w:rsid w:val="00C3102D"/>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C310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adbandusa.ntia.doc.gov/sites/default/files/2021-05/NTIA%20Broadband%20Infrastructure%20Grant%20Program%20NOFO.Final_.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oadbandusa.ntia.doc.gov/resources/grant-programs/broadband-infrastructure-program" TargetMode="External"/><Relationship Id="rId12" Type="http://schemas.openxmlformats.org/officeDocument/2006/relationships/hyperlink" Target="http://procurement.staars.alabama.gov"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zoom.us/u/adEQmEWX4s" TargetMode="External"/><Relationship Id="rId11" Type="http://schemas.openxmlformats.org/officeDocument/2006/relationships/hyperlink" Target="http://ago.alabama.gov/Page-Vendor-Disclosure-StatementInformation-and-Instructions" TargetMode="External"/><Relationship Id="rId5" Type="http://schemas.openxmlformats.org/officeDocument/2006/relationships/hyperlink" Target="https://zoom.us/j/91038427792?pwd=MlN4c05wTFVFR1RiNk5jN3ZlT2htQT09" TargetMode="External"/><Relationship Id="rId15" Type="http://schemas.openxmlformats.org/officeDocument/2006/relationships/customXml" Target="../customXml/item1.xml"/><Relationship Id="rId10" Type="http://schemas.openxmlformats.org/officeDocument/2006/relationships/hyperlink" Target="mailto:hmills@ctcnet.us" TargetMode="External"/><Relationship Id="rId4" Type="http://schemas.openxmlformats.org/officeDocument/2006/relationships/webSettings" Target="webSettings.xml"/><Relationship Id="rId9" Type="http://schemas.openxmlformats.org/officeDocument/2006/relationships/hyperlink" Target="mailto:hmills@ctcne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C60CD-ABD7-493E-AD3D-B58F44E065B0}"/>
</file>

<file path=customXml/itemProps2.xml><?xml version="1.0" encoding="utf-8"?>
<ds:datastoreItem xmlns:ds="http://schemas.openxmlformats.org/officeDocument/2006/customXml" ds:itemID="{8DA4DFE8-12B3-4251-971D-9EC0C2587C28}"/>
</file>

<file path=customXml/itemProps3.xml><?xml version="1.0" encoding="utf-8"?>
<ds:datastoreItem xmlns:ds="http://schemas.openxmlformats.org/officeDocument/2006/customXml" ds:itemID="{FCFFA01D-AEC2-43C8-A56B-F770AFCC4B4C}"/>
</file>

<file path=docProps/app.xml><?xml version="1.0" encoding="utf-8"?>
<Properties xmlns="http://schemas.openxmlformats.org/officeDocument/2006/extended-properties" xmlns:vt="http://schemas.openxmlformats.org/officeDocument/2006/docPropsVTypes">
  <Template>Normal</Template>
  <TotalTime>12</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Neighbors, Maureen</dc:creator>
  <cp:keywords/>
  <dc:description/>
  <cp:lastModifiedBy>Neighbors, Maureen</cp:lastModifiedBy>
  <cp:revision>1</cp:revision>
  <dcterms:created xsi:type="dcterms:W3CDTF">2021-07-29T18:21:00Z</dcterms:created>
  <dcterms:modified xsi:type="dcterms:W3CDTF">2021-07-29T18:33:00Z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