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16du wp14">
  <w:body>
    <w:p w:rsidR="000C4183" w:rsidP="0055006D" w:rsidRDefault="0055006D" w14:paraId="4D39E828" w14:textId="4A85A6BE">
      <w:pPr>
        <w:pStyle w:val="Title"/>
        <w:spacing w:after="0" w:line="240" w:lineRule="auto"/>
        <w:jc w:val="center"/>
        <w:rPr>
          <w:rFonts w:ascii="Georgia" w:hAnsi="Georgia" w:cstheme="minorBidi"/>
          <w:b/>
          <w:bCs/>
          <w:color w:val="002060"/>
        </w:rPr>
      </w:pPr>
      <w:r>
        <w:rPr>
          <w:rFonts w:ascii="Georgia" w:hAnsi="Georgia" w:cstheme="minorBidi"/>
          <w:b/>
          <w:bCs/>
          <w:color w:val="002060"/>
        </w:rPr>
        <w:t>Initial Proposal Volume 2</w:t>
      </w:r>
    </w:p>
    <w:p w:rsidR="0055006D" w:rsidP="0055006D" w:rsidRDefault="000C4183" w14:paraId="111C6EAB" w14:textId="26A1DBB5">
      <w:pPr>
        <w:pStyle w:val="Title"/>
        <w:spacing w:after="0" w:line="240" w:lineRule="auto"/>
        <w:jc w:val="center"/>
        <w:rPr>
          <w:rFonts w:ascii="Georgia" w:hAnsi="Georgia" w:cstheme="minorBidi"/>
          <w:b/>
          <w:bCs/>
          <w:color w:val="002060"/>
        </w:rPr>
      </w:pPr>
      <w:r>
        <w:rPr>
          <w:rFonts w:ascii="Georgia" w:hAnsi="Georgia" w:cstheme="minorBidi"/>
          <w:b/>
          <w:bCs/>
          <w:color w:val="002060"/>
        </w:rPr>
        <w:t>(Requirements</w:t>
      </w:r>
      <w:r w:rsidR="005D1DB6">
        <w:rPr>
          <w:rFonts w:ascii="Georgia" w:hAnsi="Georgia" w:cstheme="minorBidi"/>
          <w:b/>
          <w:bCs/>
          <w:color w:val="002060"/>
        </w:rPr>
        <w:t xml:space="preserve"> 1-2, 4, 8-20)</w:t>
      </w:r>
      <w:r w:rsidR="0055006D">
        <w:rPr>
          <w:rFonts w:ascii="Georgia" w:hAnsi="Georgia" w:cstheme="minorBidi"/>
          <w:b/>
          <w:bCs/>
          <w:color w:val="002060"/>
        </w:rPr>
        <w:t xml:space="preserve"> Broadband Equity</w:t>
      </w:r>
      <w:r w:rsidR="00DB2DC6">
        <w:rPr>
          <w:rFonts w:ascii="Georgia" w:hAnsi="Georgia" w:cstheme="minorBidi"/>
          <w:b/>
          <w:bCs/>
          <w:color w:val="002060"/>
        </w:rPr>
        <w:t>, Access, and Deployment Program</w:t>
      </w:r>
    </w:p>
    <w:p w:rsidRPr="0018579B" w:rsidR="00C845FE" w:rsidP="00D73AFF" w:rsidRDefault="00C845FE" w14:paraId="115D0019" w14:textId="77777777">
      <w:pPr>
        <w:spacing w:after="0" w:line="240" w:lineRule="auto"/>
        <w:rPr>
          <w:rFonts w:asciiTheme="minorHAnsi" w:hAnsiTheme="minorHAnsi"/>
          <w:caps/>
          <w:sz w:val="22"/>
          <w:szCs w:val="22"/>
        </w:rPr>
      </w:pPr>
    </w:p>
    <w:p w:rsidR="00C845FE" w:rsidP="00D73AFF" w:rsidRDefault="00C845FE" w14:paraId="37D98943" w14:textId="77777777">
      <w:pPr>
        <w:spacing w:after="0" w:line="240" w:lineRule="auto"/>
      </w:pPr>
    </w:p>
    <w:p w:rsidRPr="0018579B" w:rsidR="00C845FE" w:rsidP="00D73AFF" w:rsidRDefault="00C845FE" w14:paraId="2F73A270" w14:textId="77777777">
      <w:pPr>
        <w:spacing w:after="0" w:line="240" w:lineRule="auto"/>
        <w:jc w:val="center"/>
        <w:rPr>
          <w:rFonts w:asciiTheme="minorHAnsi" w:hAnsiTheme="minorHAnsi"/>
          <w:caps/>
          <w:sz w:val="22"/>
          <w:szCs w:val="22"/>
        </w:rPr>
      </w:pPr>
      <w:r>
        <w:rPr>
          <w:noProof/>
        </w:rPr>
        <w:drawing>
          <wp:inline distT="0" distB="0" distL="0" distR="0" wp14:anchorId="4A6DDDB7" wp14:editId="114061E0">
            <wp:extent cx="3312102" cy="952500"/>
            <wp:effectExtent l="0" t="0" r="3175"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2192" cy="955402"/>
                    </a:xfrm>
                    <a:prstGeom prst="rect">
                      <a:avLst/>
                    </a:prstGeom>
                  </pic:spPr>
                </pic:pic>
              </a:graphicData>
            </a:graphic>
          </wp:inline>
        </w:drawing>
      </w:r>
    </w:p>
    <w:p w:rsidR="00C845FE" w:rsidP="00D73AFF" w:rsidRDefault="00C845FE" w14:paraId="022B6707" w14:textId="77777777">
      <w:pPr>
        <w:spacing w:after="0" w:line="240" w:lineRule="auto"/>
        <w:rPr>
          <w:rFonts w:ascii="Gill Sans Nova" w:hAnsi="Gill Sans Nova"/>
        </w:rPr>
      </w:pPr>
    </w:p>
    <w:p w:rsidRPr="00D8008D" w:rsidR="00C845FE" w:rsidP="00D73AFF" w:rsidRDefault="00C845FE" w14:paraId="561C1DD5" w14:textId="77777777">
      <w:pPr>
        <w:spacing w:after="0" w:line="240" w:lineRule="auto"/>
        <w:jc w:val="center"/>
        <w:rPr>
          <w:rFonts w:ascii="Georgia" w:hAnsi="Georgia"/>
          <w:b/>
          <w:bCs/>
          <w:color w:val="002060"/>
          <w:sz w:val="44"/>
          <w:szCs w:val="44"/>
        </w:rPr>
      </w:pPr>
      <w:r w:rsidRPr="0018579B">
        <w:rPr>
          <w:rFonts w:ascii="Georgia" w:hAnsi="Georgia"/>
          <w:b/>
          <w:bCs/>
          <w:color w:val="002060"/>
          <w:sz w:val="44"/>
          <w:szCs w:val="44"/>
        </w:rPr>
        <w:t>Alabama Department of Economic and Community Affairs</w:t>
      </w:r>
    </w:p>
    <w:p w:rsidRPr="0018579B" w:rsidR="00C845FE" w:rsidP="00D73AFF" w:rsidRDefault="00C845FE" w14:paraId="0FB14741" w14:textId="77777777">
      <w:pPr>
        <w:spacing w:after="0" w:line="240" w:lineRule="auto"/>
        <w:jc w:val="center"/>
        <w:rPr>
          <w:rFonts w:ascii="Georgia" w:hAnsi="Georgia"/>
          <w:b/>
          <w:bCs/>
          <w:color w:val="002060"/>
          <w:sz w:val="44"/>
          <w:szCs w:val="44"/>
        </w:rPr>
      </w:pPr>
      <w:r w:rsidRPr="00D8008D">
        <w:rPr>
          <w:rFonts w:ascii="Georgia" w:hAnsi="Georgia"/>
          <w:b/>
          <w:bCs/>
          <w:color w:val="002060"/>
          <w:sz w:val="44"/>
          <w:szCs w:val="44"/>
        </w:rPr>
        <w:t>November 2023</w:t>
      </w:r>
    </w:p>
    <w:p w:rsidRPr="002D39B4" w:rsidR="00C845FE" w:rsidP="00D73AFF" w:rsidRDefault="00C845FE" w14:paraId="1F074F0C" w14:textId="77777777">
      <w:pPr>
        <w:spacing w:after="0" w:line="240" w:lineRule="auto"/>
        <w:rPr>
          <w:rFonts w:ascii="Gill Sans Nova" w:hAnsi="Gill Sans Nova"/>
        </w:rPr>
      </w:pPr>
    </w:p>
    <w:p w:rsidRPr="00B46B29" w:rsidR="00C845FE" w:rsidP="00B46B29" w:rsidRDefault="00C845FE" w14:paraId="76704F4E" w14:textId="1AD1E605">
      <w:pPr>
        <w:pStyle w:val="BodyText"/>
        <w:spacing w:after="200" w:line="240" w:lineRule="auto"/>
        <w:jc w:val="both"/>
        <w:rPr>
          <w:rFonts w:ascii="Gill Sans MT" w:hAnsi="Gill Sans MT" w:eastAsia="Calibri" w:cs="Calibri"/>
          <w:color w:val="002060"/>
          <w:sz w:val="24"/>
          <w:szCs w:val="24"/>
        </w:rPr>
      </w:pPr>
      <w:r w:rsidRPr="00B46B29">
        <w:rPr>
          <w:rFonts w:ascii="Gill Sans MT" w:hAnsi="Gill Sans MT" w:eastAsia="Calibri" w:cs="Calibri"/>
          <w:color w:val="002060"/>
          <w:sz w:val="24"/>
          <w:szCs w:val="24"/>
        </w:rPr>
        <w:t xml:space="preserve">This document is a draft of Volume </w:t>
      </w:r>
      <w:r w:rsidRPr="00B46B29" w:rsidR="00DB2DC6">
        <w:rPr>
          <w:rFonts w:ascii="Gill Sans MT" w:hAnsi="Gill Sans MT" w:eastAsia="Calibri" w:cs="Calibri"/>
          <w:color w:val="002060"/>
          <w:sz w:val="24"/>
          <w:szCs w:val="24"/>
        </w:rPr>
        <w:t>2</w:t>
      </w:r>
      <w:r w:rsidRPr="00B46B29">
        <w:rPr>
          <w:rFonts w:ascii="Gill Sans MT" w:hAnsi="Gill Sans MT" w:eastAsia="Calibri" w:cs="Calibri"/>
          <w:color w:val="002060"/>
          <w:sz w:val="24"/>
          <w:szCs w:val="24"/>
        </w:rPr>
        <w:t xml:space="preserve"> of the Broadband Equity, Access, and Deployment (BEAD) Program Initial Proposal and is being released for public comment in advance of its submission by the Alabama Digital Expansion Division of the Alabama Department of Economic and Community Affairs (ADECA) to the National Telecommunications and Information Administration (NTIA).</w:t>
      </w:r>
    </w:p>
    <w:p w:rsidRPr="00B46B29" w:rsidR="00C845FE" w:rsidP="00B46B29" w:rsidRDefault="00C845FE" w14:paraId="75A3A37F" w14:textId="58F73143">
      <w:pPr>
        <w:pStyle w:val="BodyText"/>
        <w:spacing w:after="200" w:line="240" w:lineRule="auto"/>
        <w:jc w:val="both"/>
        <w:rPr>
          <w:rFonts w:ascii="Gill Sans MT" w:hAnsi="Gill Sans MT" w:eastAsia="Calibri" w:cs="Calibri"/>
          <w:color w:val="002060"/>
          <w:sz w:val="24"/>
          <w:szCs w:val="24"/>
        </w:rPr>
      </w:pPr>
      <w:r w:rsidRPr="00B46B29">
        <w:rPr>
          <w:rFonts w:ascii="Gill Sans MT" w:hAnsi="Gill Sans MT" w:eastAsia="Calibri" w:cs="Calibri"/>
          <w:color w:val="002060"/>
          <w:sz w:val="24"/>
          <w:szCs w:val="24"/>
        </w:rPr>
        <w:t>All are welcome to submit comments regarding this draft document. Comments regarding this draft should be submitted via the online form available on ADECA’s website at</w:t>
      </w:r>
      <w:r>
        <w:rPr>
          <w:rFonts w:ascii="Gill Sans MT" w:hAnsi="Gill Sans MT" w:eastAsia="Calibri" w:cs="Calibri"/>
          <w:color w:val="002060"/>
          <w:sz w:val="24"/>
          <w:szCs w:val="24"/>
        </w:rPr>
        <w:t xml:space="preserve"> </w:t>
      </w:r>
      <w:hyperlink w:history="1" r:id="rId12">
        <w:r w:rsidRPr="005A66FB" w:rsidR="00C209B8">
          <w:rPr>
            <w:rStyle w:val="Hyperlink"/>
            <w:rFonts w:ascii="Gill Sans MT" w:hAnsi="Gill Sans MT" w:eastAsia="Calibri" w:cs="Calibri"/>
            <w:sz w:val="24"/>
            <w:szCs w:val="24"/>
          </w:rPr>
          <w:t>https://adeca.alabama.gov/alipv1v2</w:t>
        </w:r>
      </w:hyperlink>
      <w:r w:rsidR="00C209B8">
        <w:rPr>
          <w:rFonts w:ascii="Gill Sans MT" w:hAnsi="Gill Sans MT" w:eastAsia="Calibri" w:cs="Calibri"/>
          <w:color w:val="002060"/>
          <w:sz w:val="24"/>
          <w:szCs w:val="24"/>
        </w:rPr>
        <w:t xml:space="preserve"> </w:t>
      </w:r>
      <w:r w:rsidRPr="00B46B29">
        <w:rPr>
          <w:rFonts w:ascii="Gill Sans MT" w:hAnsi="Gill Sans MT" w:eastAsia="Calibri" w:cs="Calibri"/>
          <w:color w:val="002060"/>
          <w:sz w:val="24"/>
          <w:szCs w:val="24"/>
        </w:rPr>
        <w:t>by 11:59</w:t>
      </w:r>
      <w:r w:rsidR="00EB1D10">
        <w:rPr>
          <w:rFonts w:ascii="Gill Sans MT" w:hAnsi="Gill Sans MT" w:eastAsia="Calibri" w:cs="Calibri"/>
          <w:color w:val="002060"/>
          <w:sz w:val="24"/>
          <w:szCs w:val="24"/>
        </w:rPr>
        <w:t xml:space="preserve"> </w:t>
      </w:r>
      <w:r w:rsidR="00E416B9">
        <w:rPr>
          <w:rFonts w:ascii="Gill Sans MT" w:hAnsi="Gill Sans MT" w:eastAsia="Calibri" w:cs="Calibri"/>
          <w:color w:val="002060"/>
          <w:sz w:val="24"/>
          <w:szCs w:val="24"/>
        </w:rPr>
        <w:t>p.m.</w:t>
      </w:r>
      <w:r w:rsidRPr="00B46B29">
        <w:rPr>
          <w:rFonts w:ascii="Gill Sans MT" w:hAnsi="Gill Sans MT" w:eastAsia="Calibri" w:cs="Calibri"/>
          <w:color w:val="002060"/>
          <w:sz w:val="24"/>
          <w:szCs w:val="24"/>
        </w:rPr>
        <w:t xml:space="preserve"> on </w:t>
      </w:r>
      <w:r w:rsidR="00987397">
        <w:rPr>
          <w:rFonts w:ascii="Gill Sans MT" w:hAnsi="Gill Sans MT" w:eastAsia="Calibri" w:cs="Calibri"/>
          <w:color w:val="002060"/>
          <w:sz w:val="24"/>
          <w:szCs w:val="24"/>
        </w:rPr>
        <w:t>December 14</w:t>
      </w:r>
      <w:r w:rsidRPr="00B46B29">
        <w:rPr>
          <w:rFonts w:ascii="Gill Sans MT" w:hAnsi="Gill Sans MT" w:eastAsia="Calibri" w:cs="Calibri"/>
          <w:color w:val="002060"/>
          <w:sz w:val="24"/>
          <w:szCs w:val="24"/>
        </w:rPr>
        <w:t xml:space="preserve">, 2023. If you are unable to access the online form, you may contact us by email at </w:t>
      </w:r>
      <w:hyperlink w:history="1" r:id="rId13">
        <w:r w:rsidRPr="00B46B29">
          <w:rPr>
            <w:rStyle w:val="Hyperlink"/>
            <w:rFonts w:ascii="Gill Sans MT" w:hAnsi="Gill Sans MT" w:eastAsia="Calibri" w:cs="Calibri"/>
            <w:color w:val="002060"/>
            <w:sz w:val="24"/>
            <w:szCs w:val="24"/>
          </w:rPr>
          <w:t>broadband.fund@adeca.alabama.gov</w:t>
        </w:r>
      </w:hyperlink>
      <w:r w:rsidRPr="00B46B29">
        <w:rPr>
          <w:rFonts w:ascii="Gill Sans MT" w:hAnsi="Gill Sans MT" w:eastAsia="Calibri" w:cs="Calibri"/>
          <w:color w:val="002060"/>
          <w:sz w:val="24"/>
          <w:szCs w:val="24"/>
        </w:rPr>
        <w:t xml:space="preserve"> or call us at (334) 353-0767 for instructions on additional methods of submitting comments. After comments are received and considered, ADECA will submit the final version of Initial Proposal Volume </w:t>
      </w:r>
      <w:r w:rsidRPr="00B46B29" w:rsidR="006418DB">
        <w:rPr>
          <w:rFonts w:ascii="Gill Sans MT" w:hAnsi="Gill Sans MT" w:eastAsia="Calibri" w:cs="Calibri"/>
          <w:color w:val="002060"/>
          <w:sz w:val="24"/>
          <w:szCs w:val="24"/>
        </w:rPr>
        <w:t>2</w:t>
      </w:r>
      <w:r w:rsidRPr="00B46B29">
        <w:rPr>
          <w:rFonts w:ascii="Gill Sans MT" w:hAnsi="Gill Sans MT" w:eastAsia="Calibri" w:cs="Calibri"/>
          <w:color w:val="002060"/>
          <w:sz w:val="24"/>
          <w:szCs w:val="24"/>
        </w:rPr>
        <w:t xml:space="preserve"> to NTIA for approval.</w:t>
      </w:r>
    </w:p>
    <w:p w:rsidR="009B6368" w:rsidP="00F01A8D" w:rsidRDefault="00C845FE" w14:paraId="6D406465" w14:textId="1286A85F">
      <w:pPr>
        <w:pStyle w:val="ProposalBulletPoints"/>
        <w:numPr>
          <w:ilvl w:val="0"/>
          <w:numId w:val="0"/>
        </w:numPr>
        <w:jc w:val="both"/>
        <w:rPr>
          <w:rFonts w:cstheme="minorHAnsi"/>
          <w:i/>
          <w:color w:val="002060"/>
        </w:rPr>
      </w:pPr>
      <w:r w:rsidRPr="00B46B29">
        <w:rPr>
          <w:rFonts w:cstheme="minorHAnsi"/>
          <w:i/>
          <w:color w:val="002060"/>
        </w:rPr>
        <w:t>This project is sponsored by the National Telecommunications and Information Administration, U.S. Department of Commerce, under Assistance Listing 11.035. This document was prepared by the Alabama Department of Economic and Community Affairs using Federal funds under award 01-20-B093 from the National Telecommunications and Information Administration, U.S. Department of Commerce. The statements, findings, conclusions, and recommendations are those of the author(s) and do not necessarily reflect the views of the National Telecommunications and Information Administration or the U.S. Department of Commerce</w:t>
      </w:r>
      <w:r>
        <w:rPr>
          <w:rFonts w:cstheme="minorHAnsi"/>
          <w:i/>
          <w:color w:val="002060"/>
        </w:rPr>
        <w:t>.</w:t>
      </w:r>
    </w:p>
    <w:p w:rsidR="009E7860" w:rsidP="00DB7D0D" w:rsidRDefault="00C845FE" w14:paraId="0D729C75" w14:textId="5F62A676">
      <w:pPr>
        <w:spacing w:after="0" w:line="240" w:lineRule="auto"/>
        <w:rPr>
          <w:rFonts w:ascii="Georgia" w:hAnsi="Georgia"/>
          <w:b/>
          <w:bCs/>
          <w:color w:val="242451"/>
          <w:sz w:val="44"/>
          <w:szCs w:val="44"/>
        </w:rPr>
      </w:pPr>
      <w:r w:rsidRPr="00373210">
        <w:rPr>
          <w:rFonts w:cstheme="minorHAnsi"/>
          <w:i/>
          <w:color w:val="002060"/>
          <w:szCs w:val="44"/>
        </w:rPr>
        <w:t xml:space="preserve"> </w:t>
      </w:r>
      <w:r w:rsidR="009E7860">
        <w:rPr>
          <w:rFonts w:ascii="Georgia" w:hAnsi="Georgia"/>
          <w:b/>
          <w:bCs/>
          <w:color w:val="242451"/>
          <w:sz w:val="44"/>
          <w:szCs w:val="44"/>
        </w:rPr>
        <w:br w:type="page"/>
      </w:r>
    </w:p>
    <w:p w:rsidRPr="004D7D90" w:rsidR="00521770" w:rsidP="00521770" w:rsidRDefault="00521770" w14:paraId="4547F595" w14:textId="77777777">
      <w:pPr>
        <w:spacing w:after="0" w:line="240" w:lineRule="auto"/>
        <w:rPr>
          <w:rFonts w:ascii="Georgia" w:hAnsi="Georgia"/>
          <w:b/>
          <w:bCs/>
          <w:color w:val="002060"/>
          <w:sz w:val="28"/>
          <w:szCs w:val="28"/>
        </w:rPr>
      </w:pPr>
      <w:r>
        <w:rPr>
          <w:rFonts w:ascii="Georgia" w:hAnsi="Georgia"/>
          <w:b/>
          <w:bCs/>
          <w:color w:val="002060"/>
          <w:sz w:val="28"/>
          <w:szCs w:val="28"/>
        </w:rPr>
        <w:t>Content</w:t>
      </w:r>
      <w:r w:rsidRPr="6F0A15FC">
        <w:rPr>
          <w:rFonts w:ascii="Georgia" w:hAnsi="Georgia"/>
          <w:b/>
          <w:bCs/>
          <w:color w:val="002060"/>
          <w:sz w:val="28"/>
          <w:szCs w:val="28"/>
        </w:rPr>
        <w:t>s</w:t>
      </w:r>
    </w:p>
    <w:p w:rsidR="009F37AF" w:rsidRDefault="00F567F7" w14:paraId="37541B96" w14:textId="1350C433">
      <w:pPr>
        <w:pStyle w:val="TOC1"/>
        <w:rPr>
          <w:rFonts w:asciiTheme="minorHAnsi" w:hAnsiTheme="minorHAnsi" w:cstheme="minorBidi"/>
          <w:b w:val="0"/>
          <w:bCs w:val="0"/>
          <w:noProof/>
          <w:kern w:val="2"/>
          <w:sz w:val="22"/>
          <w:szCs w:val="22"/>
          <w14:ligatures w14:val="standardContextual"/>
        </w:rPr>
      </w:pPr>
      <w:r w:rsidRPr="00F567F7">
        <w:rPr>
          <w:sz w:val="24"/>
          <w:szCs w:val="24"/>
        </w:rPr>
        <w:fldChar w:fldCharType="begin"/>
      </w:r>
      <w:r w:rsidRPr="6F0A15FC">
        <w:rPr>
          <w:sz w:val="24"/>
          <w:szCs w:val="24"/>
        </w:rPr>
        <w:instrText xml:space="preserve"> TOC \o "1-3" \h \z \u </w:instrText>
      </w:r>
      <w:r w:rsidRPr="00F567F7">
        <w:rPr>
          <w:sz w:val="24"/>
          <w:szCs w:val="24"/>
        </w:rPr>
        <w:fldChar w:fldCharType="separate"/>
      </w:r>
      <w:hyperlink w:history="1" w:anchor="_Toc150852611">
        <w:r w:rsidRPr="00410559" w:rsidR="009F37AF">
          <w:rPr>
            <w:rStyle w:val="Hyperlink"/>
            <w:noProof/>
          </w:rPr>
          <w:t>1.</w:t>
        </w:r>
        <w:r w:rsidR="009F37AF">
          <w:rPr>
            <w:rFonts w:asciiTheme="minorHAnsi" w:hAnsiTheme="minorHAnsi" w:cstheme="minorBidi"/>
            <w:b w:val="0"/>
            <w:bCs w:val="0"/>
            <w:noProof/>
            <w:kern w:val="2"/>
            <w:sz w:val="22"/>
            <w:szCs w:val="22"/>
            <w14:ligatures w14:val="standardContextual"/>
          </w:rPr>
          <w:tab/>
        </w:r>
        <w:r w:rsidRPr="00410559" w:rsidR="009F37AF">
          <w:rPr>
            <w:rStyle w:val="Hyperlink"/>
            <w:noProof/>
          </w:rPr>
          <w:t>Introduction</w:t>
        </w:r>
        <w:r w:rsidR="009F37AF">
          <w:rPr>
            <w:noProof/>
            <w:webHidden/>
          </w:rPr>
          <w:tab/>
        </w:r>
        <w:r w:rsidR="009F37AF">
          <w:rPr>
            <w:noProof/>
            <w:webHidden/>
          </w:rPr>
          <w:fldChar w:fldCharType="begin"/>
        </w:r>
        <w:r w:rsidR="009F37AF">
          <w:rPr>
            <w:noProof/>
            <w:webHidden/>
          </w:rPr>
          <w:instrText xml:space="preserve"> PAGEREF _Toc150852611 \h </w:instrText>
        </w:r>
        <w:r w:rsidR="009F37AF">
          <w:rPr>
            <w:noProof/>
            <w:webHidden/>
          </w:rPr>
        </w:r>
        <w:r w:rsidR="009F37AF">
          <w:rPr>
            <w:noProof/>
            <w:webHidden/>
          </w:rPr>
          <w:fldChar w:fldCharType="separate"/>
        </w:r>
        <w:r w:rsidR="009F37AF">
          <w:rPr>
            <w:noProof/>
            <w:webHidden/>
          </w:rPr>
          <w:t>1</w:t>
        </w:r>
        <w:r w:rsidR="009F37AF">
          <w:rPr>
            <w:noProof/>
            <w:webHidden/>
          </w:rPr>
          <w:fldChar w:fldCharType="end"/>
        </w:r>
      </w:hyperlink>
    </w:p>
    <w:p w:rsidR="009F37AF" w:rsidRDefault="009F37AF" w14:paraId="30B308CF" w14:textId="35914A1A">
      <w:pPr>
        <w:pStyle w:val="TOC1"/>
        <w:rPr>
          <w:rFonts w:asciiTheme="minorHAnsi" w:hAnsiTheme="minorHAnsi" w:cstheme="minorBidi"/>
          <w:b w:val="0"/>
          <w:bCs w:val="0"/>
          <w:noProof/>
          <w:kern w:val="2"/>
          <w:sz w:val="22"/>
          <w:szCs w:val="22"/>
          <w14:ligatures w14:val="standardContextual"/>
        </w:rPr>
      </w:pPr>
      <w:hyperlink w:history="1" w:anchor="_Toc150852612">
        <w:r w:rsidRPr="00410559">
          <w:rPr>
            <w:rStyle w:val="Hyperlink"/>
            <w:noProof/>
          </w:rPr>
          <w:t>2.</w:t>
        </w:r>
        <w:r>
          <w:rPr>
            <w:rFonts w:asciiTheme="minorHAnsi" w:hAnsiTheme="minorHAnsi" w:cstheme="minorBidi"/>
            <w:b w:val="0"/>
            <w:bCs w:val="0"/>
            <w:noProof/>
            <w:kern w:val="2"/>
            <w:sz w:val="22"/>
            <w:szCs w:val="22"/>
            <w14:ligatures w14:val="standardContextual"/>
          </w:rPr>
          <w:tab/>
        </w:r>
        <w:r w:rsidRPr="00410559">
          <w:rPr>
            <w:rStyle w:val="Hyperlink"/>
            <w:noProof/>
          </w:rPr>
          <w:t>Objectives (Requirement 1)</w:t>
        </w:r>
        <w:r>
          <w:rPr>
            <w:noProof/>
            <w:webHidden/>
          </w:rPr>
          <w:tab/>
        </w:r>
        <w:r>
          <w:rPr>
            <w:noProof/>
            <w:webHidden/>
          </w:rPr>
          <w:fldChar w:fldCharType="begin"/>
        </w:r>
        <w:r>
          <w:rPr>
            <w:noProof/>
            <w:webHidden/>
          </w:rPr>
          <w:instrText xml:space="preserve"> PAGEREF _Toc150852612 \h </w:instrText>
        </w:r>
        <w:r>
          <w:rPr>
            <w:noProof/>
            <w:webHidden/>
          </w:rPr>
        </w:r>
        <w:r>
          <w:rPr>
            <w:noProof/>
            <w:webHidden/>
          </w:rPr>
          <w:fldChar w:fldCharType="separate"/>
        </w:r>
        <w:r>
          <w:rPr>
            <w:noProof/>
            <w:webHidden/>
          </w:rPr>
          <w:t>2</w:t>
        </w:r>
        <w:r>
          <w:rPr>
            <w:noProof/>
            <w:webHidden/>
          </w:rPr>
          <w:fldChar w:fldCharType="end"/>
        </w:r>
      </w:hyperlink>
    </w:p>
    <w:p w:rsidR="009F37AF" w:rsidRDefault="009F37AF" w14:paraId="5F65B355" w14:textId="6E436EF7">
      <w:pPr>
        <w:pStyle w:val="TOC1"/>
        <w:rPr>
          <w:rFonts w:asciiTheme="minorHAnsi" w:hAnsiTheme="minorHAnsi" w:cstheme="minorBidi"/>
          <w:b w:val="0"/>
          <w:bCs w:val="0"/>
          <w:noProof/>
          <w:kern w:val="2"/>
          <w:sz w:val="22"/>
          <w:szCs w:val="22"/>
          <w14:ligatures w14:val="standardContextual"/>
        </w:rPr>
      </w:pPr>
      <w:hyperlink w:history="1" w:anchor="_Toc150852613">
        <w:r w:rsidRPr="00410559">
          <w:rPr>
            <w:rStyle w:val="Hyperlink"/>
            <w:noProof/>
          </w:rPr>
          <w:t>3.</w:t>
        </w:r>
        <w:r>
          <w:rPr>
            <w:rFonts w:asciiTheme="minorHAnsi" w:hAnsiTheme="minorHAnsi" w:cstheme="minorBidi"/>
            <w:b w:val="0"/>
            <w:bCs w:val="0"/>
            <w:noProof/>
            <w:kern w:val="2"/>
            <w:sz w:val="22"/>
            <w:szCs w:val="22"/>
            <w14:ligatures w14:val="standardContextual"/>
          </w:rPr>
          <w:tab/>
        </w:r>
        <w:r w:rsidRPr="00410559">
          <w:rPr>
            <w:rStyle w:val="Hyperlink"/>
            <w:noProof/>
          </w:rPr>
          <w:t>Local, Tribal, and regional broadband planning processes (Requirement 2)</w:t>
        </w:r>
        <w:r>
          <w:rPr>
            <w:noProof/>
            <w:webHidden/>
          </w:rPr>
          <w:tab/>
        </w:r>
        <w:r>
          <w:rPr>
            <w:noProof/>
            <w:webHidden/>
          </w:rPr>
          <w:fldChar w:fldCharType="begin"/>
        </w:r>
        <w:r>
          <w:rPr>
            <w:noProof/>
            <w:webHidden/>
          </w:rPr>
          <w:instrText xml:space="preserve"> PAGEREF _Toc150852613 \h </w:instrText>
        </w:r>
        <w:r>
          <w:rPr>
            <w:noProof/>
            <w:webHidden/>
          </w:rPr>
        </w:r>
        <w:r>
          <w:rPr>
            <w:noProof/>
            <w:webHidden/>
          </w:rPr>
          <w:fldChar w:fldCharType="separate"/>
        </w:r>
        <w:r>
          <w:rPr>
            <w:noProof/>
            <w:webHidden/>
          </w:rPr>
          <w:t>5</w:t>
        </w:r>
        <w:r>
          <w:rPr>
            <w:noProof/>
            <w:webHidden/>
          </w:rPr>
          <w:fldChar w:fldCharType="end"/>
        </w:r>
      </w:hyperlink>
    </w:p>
    <w:p w:rsidR="009F37AF" w:rsidRDefault="009F37AF" w14:paraId="5B9D9E51" w14:textId="63C9F726">
      <w:pPr>
        <w:pStyle w:val="TOC1"/>
        <w:rPr>
          <w:rFonts w:asciiTheme="minorHAnsi" w:hAnsiTheme="minorHAnsi" w:cstheme="minorBidi"/>
          <w:b w:val="0"/>
          <w:bCs w:val="0"/>
          <w:noProof/>
          <w:kern w:val="2"/>
          <w:sz w:val="22"/>
          <w:szCs w:val="22"/>
          <w14:ligatures w14:val="standardContextual"/>
        </w:rPr>
      </w:pPr>
      <w:hyperlink w:history="1" w:anchor="_Toc150852614">
        <w:r w:rsidRPr="00410559">
          <w:rPr>
            <w:rStyle w:val="Hyperlink"/>
            <w:noProof/>
          </w:rPr>
          <w:t>4.</w:t>
        </w:r>
        <w:r>
          <w:rPr>
            <w:rFonts w:asciiTheme="minorHAnsi" w:hAnsiTheme="minorHAnsi" w:cstheme="minorBidi"/>
            <w:b w:val="0"/>
            <w:bCs w:val="0"/>
            <w:noProof/>
            <w:kern w:val="2"/>
            <w:sz w:val="22"/>
            <w:szCs w:val="22"/>
            <w14:ligatures w14:val="standardContextual"/>
          </w:rPr>
          <w:tab/>
        </w:r>
        <w:r w:rsidRPr="00410559">
          <w:rPr>
            <w:rStyle w:val="Hyperlink"/>
            <w:noProof/>
          </w:rPr>
          <w:t>Local coordination (Requirement 4)</w:t>
        </w:r>
        <w:r>
          <w:rPr>
            <w:noProof/>
            <w:webHidden/>
          </w:rPr>
          <w:tab/>
        </w:r>
        <w:r>
          <w:rPr>
            <w:noProof/>
            <w:webHidden/>
          </w:rPr>
          <w:fldChar w:fldCharType="begin"/>
        </w:r>
        <w:r>
          <w:rPr>
            <w:noProof/>
            <w:webHidden/>
          </w:rPr>
          <w:instrText xml:space="preserve"> PAGEREF _Toc150852614 \h </w:instrText>
        </w:r>
        <w:r>
          <w:rPr>
            <w:noProof/>
            <w:webHidden/>
          </w:rPr>
        </w:r>
        <w:r>
          <w:rPr>
            <w:noProof/>
            <w:webHidden/>
          </w:rPr>
          <w:fldChar w:fldCharType="separate"/>
        </w:r>
        <w:r>
          <w:rPr>
            <w:noProof/>
            <w:webHidden/>
          </w:rPr>
          <w:t>7</w:t>
        </w:r>
        <w:r>
          <w:rPr>
            <w:noProof/>
            <w:webHidden/>
          </w:rPr>
          <w:fldChar w:fldCharType="end"/>
        </w:r>
      </w:hyperlink>
    </w:p>
    <w:p w:rsidR="009F37AF" w:rsidRDefault="009F37AF" w14:paraId="48CF6C7B" w14:textId="6EC23E24">
      <w:pPr>
        <w:pStyle w:val="TOC2"/>
        <w:rPr>
          <w:rFonts w:asciiTheme="minorHAnsi" w:hAnsiTheme="minorHAnsi" w:cstheme="minorBidi"/>
          <w:i w:val="0"/>
          <w:iCs w:val="0"/>
          <w:noProof/>
          <w:kern w:val="2"/>
          <w:sz w:val="22"/>
          <w:szCs w:val="22"/>
          <w14:ligatures w14:val="standardContextual"/>
        </w:rPr>
      </w:pPr>
      <w:hyperlink w:history="1" w:anchor="_Toc150852615">
        <w:r w:rsidRPr="00410559">
          <w:rPr>
            <w:rStyle w:val="Hyperlink"/>
            <w:noProof/>
          </w:rPr>
          <w:t>4.1</w:t>
        </w:r>
        <w:r>
          <w:rPr>
            <w:rFonts w:asciiTheme="minorHAnsi" w:hAnsiTheme="minorHAnsi" w:cstheme="minorBidi"/>
            <w:i w:val="0"/>
            <w:iCs w:val="0"/>
            <w:noProof/>
            <w:kern w:val="2"/>
            <w:sz w:val="22"/>
            <w:szCs w:val="22"/>
            <w14:ligatures w14:val="standardContextual"/>
          </w:rPr>
          <w:tab/>
        </w:r>
        <w:r w:rsidRPr="00410559">
          <w:rPr>
            <w:rStyle w:val="Hyperlink"/>
            <w:noProof/>
          </w:rPr>
          <w:t>Full geographic coverage</w:t>
        </w:r>
        <w:r>
          <w:rPr>
            <w:noProof/>
            <w:webHidden/>
          </w:rPr>
          <w:tab/>
        </w:r>
        <w:r>
          <w:rPr>
            <w:noProof/>
            <w:webHidden/>
          </w:rPr>
          <w:fldChar w:fldCharType="begin"/>
        </w:r>
        <w:r>
          <w:rPr>
            <w:noProof/>
            <w:webHidden/>
          </w:rPr>
          <w:instrText xml:space="preserve"> PAGEREF _Toc150852615 \h </w:instrText>
        </w:r>
        <w:r>
          <w:rPr>
            <w:noProof/>
            <w:webHidden/>
          </w:rPr>
        </w:r>
        <w:r>
          <w:rPr>
            <w:noProof/>
            <w:webHidden/>
          </w:rPr>
          <w:fldChar w:fldCharType="separate"/>
        </w:r>
        <w:r>
          <w:rPr>
            <w:noProof/>
            <w:webHidden/>
          </w:rPr>
          <w:t>7</w:t>
        </w:r>
        <w:r>
          <w:rPr>
            <w:noProof/>
            <w:webHidden/>
          </w:rPr>
          <w:fldChar w:fldCharType="end"/>
        </w:r>
      </w:hyperlink>
    </w:p>
    <w:p w:rsidR="009F37AF" w:rsidRDefault="009F37AF" w14:paraId="58818977" w14:textId="6FE8A8B6">
      <w:pPr>
        <w:pStyle w:val="TOC2"/>
        <w:rPr>
          <w:rFonts w:asciiTheme="minorHAnsi" w:hAnsiTheme="minorHAnsi" w:cstheme="minorBidi"/>
          <w:i w:val="0"/>
          <w:iCs w:val="0"/>
          <w:noProof/>
          <w:kern w:val="2"/>
          <w:sz w:val="22"/>
          <w:szCs w:val="22"/>
          <w14:ligatures w14:val="standardContextual"/>
        </w:rPr>
      </w:pPr>
      <w:hyperlink w:history="1" w:anchor="_Toc150852616">
        <w:r w:rsidRPr="00410559">
          <w:rPr>
            <w:rStyle w:val="Hyperlink"/>
            <w:noProof/>
          </w:rPr>
          <w:t>4.2</w:t>
        </w:r>
        <w:r>
          <w:rPr>
            <w:rFonts w:asciiTheme="minorHAnsi" w:hAnsiTheme="minorHAnsi" w:cstheme="minorBidi"/>
            <w:i w:val="0"/>
            <w:iCs w:val="0"/>
            <w:noProof/>
            <w:kern w:val="2"/>
            <w:sz w:val="22"/>
            <w:szCs w:val="22"/>
            <w14:ligatures w14:val="standardContextual"/>
          </w:rPr>
          <w:tab/>
        </w:r>
        <w:r w:rsidRPr="00410559">
          <w:rPr>
            <w:rStyle w:val="Hyperlink"/>
            <w:noProof/>
          </w:rPr>
          <w:t>Meaningful engagement and outreach to diverse groups</w:t>
        </w:r>
        <w:r>
          <w:rPr>
            <w:noProof/>
            <w:webHidden/>
          </w:rPr>
          <w:tab/>
        </w:r>
        <w:r>
          <w:rPr>
            <w:noProof/>
            <w:webHidden/>
          </w:rPr>
          <w:fldChar w:fldCharType="begin"/>
        </w:r>
        <w:r>
          <w:rPr>
            <w:noProof/>
            <w:webHidden/>
          </w:rPr>
          <w:instrText xml:space="preserve"> PAGEREF _Toc150852616 \h </w:instrText>
        </w:r>
        <w:r>
          <w:rPr>
            <w:noProof/>
            <w:webHidden/>
          </w:rPr>
        </w:r>
        <w:r>
          <w:rPr>
            <w:noProof/>
            <w:webHidden/>
          </w:rPr>
          <w:fldChar w:fldCharType="separate"/>
        </w:r>
        <w:r>
          <w:rPr>
            <w:noProof/>
            <w:webHidden/>
          </w:rPr>
          <w:t>11</w:t>
        </w:r>
        <w:r>
          <w:rPr>
            <w:noProof/>
            <w:webHidden/>
          </w:rPr>
          <w:fldChar w:fldCharType="end"/>
        </w:r>
      </w:hyperlink>
    </w:p>
    <w:p w:rsidR="009F37AF" w:rsidRDefault="009F37AF" w14:paraId="7C8391D0" w14:textId="4D175246">
      <w:pPr>
        <w:pStyle w:val="TOC2"/>
        <w:rPr>
          <w:rFonts w:asciiTheme="minorHAnsi" w:hAnsiTheme="minorHAnsi" w:cstheme="minorBidi"/>
          <w:i w:val="0"/>
          <w:iCs w:val="0"/>
          <w:noProof/>
          <w:kern w:val="2"/>
          <w:sz w:val="22"/>
          <w:szCs w:val="22"/>
          <w14:ligatures w14:val="standardContextual"/>
        </w:rPr>
      </w:pPr>
      <w:hyperlink w:history="1" w:anchor="_Toc150852617">
        <w:r w:rsidRPr="00410559">
          <w:rPr>
            <w:rStyle w:val="Hyperlink"/>
            <w:noProof/>
          </w:rPr>
          <w:t>4.3</w:t>
        </w:r>
        <w:r>
          <w:rPr>
            <w:rFonts w:asciiTheme="minorHAnsi" w:hAnsiTheme="minorHAnsi" w:cstheme="minorBidi"/>
            <w:i w:val="0"/>
            <w:iCs w:val="0"/>
            <w:noProof/>
            <w:kern w:val="2"/>
            <w:sz w:val="22"/>
            <w:szCs w:val="22"/>
            <w14:ligatures w14:val="standardContextual"/>
          </w:rPr>
          <w:tab/>
        </w:r>
        <w:r w:rsidRPr="00410559">
          <w:rPr>
            <w:rStyle w:val="Hyperlink"/>
            <w:noProof/>
          </w:rPr>
          <w:t>Multiple awareness and participation mechanisms</w:t>
        </w:r>
        <w:r>
          <w:rPr>
            <w:noProof/>
            <w:webHidden/>
          </w:rPr>
          <w:tab/>
        </w:r>
        <w:r>
          <w:rPr>
            <w:noProof/>
            <w:webHidden/>
          </w:rPr>
          <w:fldChar w:fldCharType="begin"/>
        </w:r>
        <w:r>
          <w:rPr>
            <w:noProof/>
            <w:webHidden/>
          </w:rPr>
          <w:instrText xml:space="preserve"> PAGEREF _Toc150852617 \h </w:instrText>
        </w:r>
        <w:r>
          <w:rPr>
            <w:noProof/>
            <w:webHidden/>
          </w:rPr>
        </w:r>
        <w:r>
          <w:rPr>
            <w:noProof/>
            <w:webHidden/>
          </w:rPr>
          <w:fldChar w:fldCharType="separate"/>
        </w:r>
        <w:r>
          <w:rPr>
            <w:noProof/>
            <w:webHidden/>
          </w:rPr>
          <w:t>13</w:t>
        </w:r>
        <w:r>
          <w:rPr>
            <w:noProof/>
            <w:webHidden/>
          </w:rPr>
          <w:fldChar w:fldCharType="end"/>
        </w:r>
      </w:hyperlink>
    </w:p>
    <w:p w:rsidR="009F37AF" w:rsidRDefault="009F37AF" w14:paraId="5E7DD4DE" w14:textId="6BFE69CE">
      <w:pPr>
        <w:pStyle w:val="TOC2"/>
        <w:rPr>
          <w:rFonts w:asciiTheme="minorHAnsi" w:hAnsiTheme="minorHAnsi" w:cstheme="minorBidi"/>
          <w:i w:val="0"/>
          <w:iCs w:val="0"/>
          <w:noProof/>
          <w:kern w:val="2"/>
          <w:sz w:val="22"/>
          <w:szCs w:val="22"/>
          <w14:ligatures w14:val="standardContextual"/>
        </w:rPr>
      </w:pPr>
      <w:hyperlink w:history="1" w:anchor="_Toc150852618">
        <w:r w:rsidRPr="00410559">
          <w:rPr>
            <w:rStyle w:val="Hyperlink"/>
            <w:noProof/>
          </w:rPr>
          <w:t>4.4</w:t>
        </w:r>
        <w:r>
          <w:rPr>
            <w:rFonts w:asciiTheme="minorHAnsi" w:hAnsiTheme="minorHAnsi" w:cstheme="minorBidi"/>
            <w:i w:val="0"/>
            <w:iCs w:val="0"/>
            <w:noProof/>
            <w:kern w:val="2"/>
            <w:sz w:val="22"/>
            <w:szCs w:val="22"/>
            <w14:ligatures w14:val="standardContextual"/>
          </w:rPr>
          <w:tab/>
        </w:r>
        <w:r w:rsidRPr="00410559">
          <w:rPr>
            <w:rStyle w:val="Hyperlink"/>
            <w:noProof/>
          </w:rPr>
          <w:t>Clear procedures to ensure transparency</w:t>
        </w:r>
        <w:r>
          <w:rPr>
            <w:noProof/>
            <w:webHidden/>
          </w:rPr>
          <w:tab/>
        </w:r>
        <w:r>
          <w:rPr>
            <w:noProof/>
            <w:webHidden/>
          </w:rPr>
          <w:fldChar w:fldCharType="begin"/>
        </w:r>
        <w:r>
          <w:rPr>
            <w:noProof/>
            <w:webHidden/>
          </w:rPr>
          <w:instrText xml:space="preserve"> PAGEREF _Toc150852618 \h </w:instrText>
        </w:r>
        <w:r>
          <w:rPr>
            <w:noProof/>
            <w:webHidden/>
          </w:rPr>
        </w:r>
        <w:r>
          <w:rPr>
            <w:noProof/>
            <w:webHidden/>
          </w:rPr>
          <w:fldChar w:fldCharType="separate"/>
        </w:r>
        <w:r>
          <w:rPr>
            <w:noProof/>
            <w:webHidden/>
          </w:rPr>
          <w:t>14</w:t>
        </w:r>
        <w:r>
          <w:rPr>
            <w:noProof/>
            <w:webHidden/>
          </w:rPr>
          <w:fldChar w:fldCharType="end"/>
        </w:r>
      </w:hyperlink>
    </w:p>
    <w:p w:rsidR="009F37AF" w:rsidRDefault="009F37AF" w14:paraId="1C5C2FAD" w14:textId="46296D6B">
      <w:pPr>
        <w:pStyle w:val="TOC2"/>
        <w:rPr>
          <w:rFonts w:asciiTheme="minorHAnsi" w:hAnsiTheme="minorHAnsi" w:cstheme="minorBidi"/>
          <w:i w:val="0"/>
          <w:iCs w:val="0"/>
          <w:noProof/>
          <w:kern w:val="2"/>
          <w:sz w:val="22"/>
          <w:szCs w:val="22"/>
          <w14:ligatures w14:val="standardContextual"/>
        </w:rPr>
      </w:pPr>
      <w:hyperlink w:history="1" w:anchor="_Toc150852619">
        <w:r w:rsidRPr="00410559">
          <w:rPr>
            <w:rStyle w:val="Hyperlink"/>
            <w:noProof/>
          </w:rPr>
          <w:t>4.5</w:t>
        </w:r>
        <w:r>
          <w:rPr>
            <w:rFonts w:asciiTheme="minorHAnsi" w:hAnsiTheme="minorHAnsi" w:cstheme="minorBidi"/>
            <w:i w:val="0"/>
            <w:iCs w:val="0"/>
            <w:noProof/>
            <w:kern w:val="2"/>
            <w:sz w:val="22"/>
            <w:szCs w:val="22"/>
            <w14:ligatures w14:val="standardContextual"/>
          </w:rPr>
          <w:tab/>
        </w:r>
        <w:r w:rsidRPr="00410559">
          <w:rPr>
            <w:rStyle w:val="Hyperlink"/>
            <w:noProof/>
          </w:rPr>
          <w:t>Outreach and engagement of unserved, underserved, and underrepresented communities</w:t>
        </w:r>
        <w:r>
          <w:rPr>
            <w:noProof/>
            <w:webHidden/>
          </w:rPr>
          <w:tab/>
        </w:r>
        <w:r>
          <w:rPr>
            <w:noProof/>
            <w:webHidden/>
          </w:rPr>
          <w:fldChar w:fldCharType="begin"/>
        </w:r>
        <w:r>
          <w:rPr>
            <w:noProof/>
            <w:webHidden/>
          </w:rPr>
          <w:instrText xml:space="preserve"> PAGEREF _Toc150852619 \h </w:instrText>
        </w:r>
        <w:r>
          <w:rPr>
            <w:noProof/>
            <w:webHidden/>
          </w:rPr>
        </w:r>
        <w:r>
          <w:rPr>
            <w:noProof/>
            <w:webHidden/>
          </w:rPr>
          <w:fldChar w:fldCharType="separate"/>
        </w:r>
        <w:r>
          <w:rPr>
            <w:noProof/>
            <w:webHidden/>
          </w:rPr>
          <w:t>14</w:t>
        </w:r>
        <w:r>
          <w:rPr>
            <w:noProof/>
            <w:webHidden/>
          </w:rPr>
          <w:fldChar w:fldCharType="end"/>
        </w:r>
      </w:hyperlink>
    </w:p>
    <w:p w:rsidR="009F37AF" w:rsidRDefault="009F37AF" w14:paraId="179DD053" w14:textId="7AD5B904">
      <w:pPr>
        <w:pStyle w:val="TOC1"/>
        <w:rPr>
          <w:rFonts w:asciiTheme="minorHAnsi" w:hAnsiTheme="minorHAnsi" w:cstheme="minorBidi"/>
          <w:b w:val="0"/>
          <w:bCs w:val="0"/>
          <w:noProof/>
          <w:kern w:val="2"/>
          <w:sz w:val="22"/>
          <w:szCs w:val="22"/>
          <w14:ligatures w14:val="standardContextual"/>
        </w:rPr>
      </w:pPr>
      <w:hyperlink w:history="1" w:anchor="_Toc150852620">
        <w:r w:rsidRPr="00410559">
          <w:rPr>
            <w:rStyle w:val="Hyperlink"/>
            <w:noProof/>
          </w:rPr>
          <w:t>5.</w:t>
        </w:r>
        <w:r>
          <w:rPr>
            <w:rFonts w:asciiTheme="minorHAnsi" w:hAnsiTheme="minorHAnsi" w:cstheme="minorBidi"/>
            <w:b w:val="0"/>
            <w:bCs w:val="0"/>
            <w:noProof/>
            <w:kern w:val="2"/>
            <w:sz w:val="22"/>
            <w:szCs w:val="22"/>
            <w14:ligatures w14:val="standardContextual"/>
          </w:rPr>
          <w:tab/>
        </w:r>
        <w:r w:rsidRPr="00410559">
          <w:rPr>
            <w:rStyle w:val="Hyperlink"/>
            <w:noProof/>
          </w:rPr>
          <w:t>Deployment subgrantee selection (Requirement 8)</w:t>
        </w:r>
        <w:r>
          <w:rPr>
            <w:noProof/>
            <w:webHidden/>
          </w:rPr>
          <w:tab/>
        </w:r>
        <w:r>
          <w:rPr>
            <w:noProof/>
            <w:webHidden/>
          </w:rPr>
          <w:fldChar w:fldCharType="begin"/>
        </w:r>
        <w:r>
          <w:rPr>
            <w:noProof/>
            <w:webHidden/>
          </w:rPr>
          <w:instrText xml:space="preserve"> PAGEREF _Toc150852620 \h </w:instrText>
        </w:r>
        <w:r>
          <w:rPr>
            <w:noProof/>
            <w:webHidden/>
          </w:rPr>
        </w:r>
        <w:r>
          <w:rPr>
            <w:noProof/>
            <w:webHidden/>
          </w:rPr>
          <w:fldChar w:fldCharType="separate"/>
        </w:r>
        <w:r>
          <w:rPr>
            <w:noProof/>
            <w:webHidden/>
          </w:rPr>
          <w:t>16</w:t>
        </w:r>
        <w:r>
          <w:rPr>
            <w:noProof/>
            <w:webHidden/>
          </w:rPr>
          <w:fldChar w:fldCharType="end"/>
        </w:r>
      </w:hyperlink>
    </w:p>
    <w:p w:rsidR="009F37AF" w:rsidRDefault="009F37AF" w14:paraId="1C4DB6C7" w14:textId="7229DF0C">
      <w:pPr>
        <w:pStyle w:val="TOC2"/>
        <w:rPr>
          <w:rFonts w:asciiTheme="minorHAnsi" w:hAnsiTheme="minorHAnsi" w:cstheme="minorBidi"/>
          <w:i w:val="0"/>
          <w:iCs w:val="0"/>
          <w:noProof/>
          <w:kern w:val="2"/>
          <w:sz w:val="22"/>
          <w:szCs w:val="22"/>
          <w14:ligatures w14:val="standardContextual"/>
        </w:rPr>
      </w:pPr>
      <w:hyperlink w:history="1" w:anchor="_Toc150852621">
        <w:r w:rsidRPr="00410559">
          <w:rPr>
            <w:rStyle w:val="Hyperlink"/>
            <w:noProof/>
          </w:rPr>
          <w:t>5.1</w:t>
        </w:r>
        <w:r>
          <w:rPr>
            <w:rFonts w:asciiTheme="minorHAnsi" w:hAnsiTheme="minorHAnsi" w:cstheme="minorBidi"/>
            <w:i w:val="0"/>
            <w:iCs w:val="0"/>
            <w:noProof/>
            <w:kern w:val="2"/>
            <w:sz w:val="22"/>
            <w:szCs w:val="22"/>
            <w14:ligatures w14:val="standardContextual"/>
          </w:rPr>
          <w:tab/>
        </w:r>
        <w:r w:rsidRPr="00410559">
          <w:rPr>
            <w:rStyle w:val="Hyperlink"/>
            <w:noProof/>
          </w:rPr>
          <w:t>Deployment subgrantee selection process</w:t>
        </w:r>
        <w:r>
          <w:rPr>
            <w:noProof/>
            <w:webHidden/>
          </w:rPr>
          <w:tab/>
        </w:r>
        <w:r>
          <w:rPr>
            <w:noProof/>
            <w:webHidden/>
          </w:rPr>
          <w:fldChar w:fldCharType="begin"/>
        </w:r>
        <w:r>
          <w:rPr>
            <w:noProof/>
            <w:webHidden/>
          </w:rPr>
          <w:instrText xml:space="preserve"> PAGEREF _Toc150852621 \h </w:instrText>
        </w:r>
        <w:r>
          <w:rPr>
            <w:noProof/>
            <w:webHidden/>
          </w:rPr>
        </w:r>
        <w:r>
          <w:rPr>
            <w:noProof/>
            <w:webHidden/>
          </w:rPr>
          <w:fldChar w:fldCharType="separate"/>
        </w:r>
        <w:r>
          <w:rPr>
            <w:noProof/>
            <w:webHidden/>
          </w:rPr>
          <w:t>16</w:t>
        </w:r>
        <w:r>
          <w:rPr>
            <w:noProof/>
            <w:webHidden/>
          </w:rPr>
          <w:fldChar w:fldCharType="end"/>
        </w:r>
      </w:hyperlink>
    </w:p>
    <w:p w:rsidR="009F37AF" w:rsidRDefault="009F37AF" w14:paraId="6C69B3BA" w14:textId="5A64A879">
      <w:pPr>
        <w:pStyle w:val="TOC3"/>
        <w:rPr>
          <w:rFonts w:asciiTheme="minorHAnsi" w:hAnsiTheme="minorHAnsi" w:cstheme="minorBidi"/>
          <w:noProof/>
          <w:kern w:val="2"/>
          <w:sz w:val="22"/>
          <w:szCs w:val="22"/>
          <w14:ligatures w14:val="standardContextual"/>
        </w:rPr>
      </w:pPr>
      <w:hyperlink w:history="1" w:anchor="_Toc150852622">
        <w:r w:rsidRPr="00410559">
          <w:rPr>
            <w:rStyle w:val="Hyperlink"/>
            <w:noProof/>
          </w:rPr>
          <w:t>5.1.1</w:t>
        </w:r>
        <w:r>
          <w:rPr>
            <w:rFonts w:asciiTheme="minorHAnsi" w:hAnsiTheme="minorHAnsi" w:cstheme="minorBidi"/>
            <w:noProof/>
            <w:kern w:val="2"/>
            <w:sz w:val="22"/>
            <w:szCs w:val="22"/>
            <w14:ligatures w14:val="standardContextual"/>
          </w:rPr>
          <w:tab/>
        </w:r>
        <w:r w:rsidRPr="00410559">
          <w:rPr>
            <w:rStyle w:val="Hyperlink"/>
            <w:noProof/>
          </w:rPr>
          <w:t>Principles</w:t>
        </w:r>
        <w:r>
          <w:rPr>
            <w:noProof/>
            <w:webHidden/>
          </w:rPr>
          <w:tab/>
        </w:r>
        <w:r>
          <w:rPr>
            <w:noProof/>
            <w:webHidden/>
          </w:rPr>
          <w:fldChar w:fldCharType="begin"/>
        </w:r>
        <w:r>
          <w:rPr>
            <w:noProof/>
            <w:webHidden/>
          </w:rPr>
          <w:instrText xml:space="preserve"> PAGEREF _Toc150852622 \h </w:instrText>
        </w:r>
        <w:r>
          <w:rPr>
            <w:noProof/>
            <w:webHidden/>
          </w:rPr>
        </w:r>
        <w:r>
          <w:rPr>
            <w:noProof/>
            <w:webHidden/>
          </w:rPr>
          <w:fldChar w:fldCharType="separate"/>
        </w:r>
        <w:r>
          <w:rPr>
            <w:noProof/>
            <w:webHidden/>
          </w:rPr>
          <w:t>16</w:t>
        </w:r>
        <w:r>
          <w:rPr>
            <w:noProof/>
            <w:webHidden/>
          </w:rPr>
          <w:fldChar w:fldCharType="end"/>
        </w:r>
      </w:hyperlink>
    </w:p>
    <w:p w:rsidR="009F37AF" w:rsidRDefault="009F37AF" w14:paraId="2E20D2B1" w14:textId="7885B203">
      <w:pPr>
        <w:pStyle w:val="TOC3"/>
        <w:rPr>
          <w:rFonts w:asciiTheme="minorHAnsi" w:hAnsiTheme="minorHAnsi" w:cstheme="minorBidi"/>
          <w:noProof/>
          <w:kern w:val="2"/>
          <w:sz w:val="22"/>
          <w:szCs w:val="22"/>
          <w14:ligatures w14:val="standardContextual"/>
        </w:rPr>
      </w:pPr>
      <w:hyperlink w:history="1" w:anchor="_Toc150852623">
        <w:r w:rsidRPr="00410559">
          <w:rPr>
            <w:rStyle w:val="Hyperlink"/>
            <w:noProof/>
          </w:rPr>
          <w:t>5.1.2</w:t>
        </w:r>
        <w:r>
          <w:rPr>
            <w:rFonts w:asciiTheme="minorHAnsi" w:hAnsiTheme="minorHAnsi" w:cstheme="minorBidi"/>
            <w:noProof/>
            <w:kern w:val="2"/>
            <w:sz w:val="22"/>
            <w:szCs w:val="22"/>
            <w14:ligatures w14:val="standardContextual"/>
          </w:rPr>
          <w:tab/>
        </w:r>
        <w:r w:rsidRPr="00410559">
          <w:rPr>
            <w:rStyle w:val="Hyperlink"/>
            <w:noProof/>
          </w:rPr>
          <w:t>Technical assistance and administrative support</w:t>
        </w:r>
        <w:r>
          <w:rPr>
            <w:noProof/>
            <w:webHidden/>
          </w:rPr>
          <w:tab/>
        </w:r>
        <w:r>
          <w:rPr>
            <w:noProof/>
            <w:webHidden/>
          </w:rPr>
          <w:fldChar w:fldCharType="begin"/>
        </w:r>
        <w:r>
          <w:rPr>
            <w:noProof/>
            <w:webHidden/>
          </w:rPr>
          <w:instrText xml:space="preserve"> PAGEREF _Toc150852623 \h </w:instrText>
        </w:r>
        <w:r>
          <w:rPr>
            <w:noProof/>
            <w:webHidden/>
          </w:rPr>
        </w:r>
        <w:r>
          <w:rPr>
            <w:noProof/>
            <w:webHidden/>
          </w:rPr>
          <w:fldChar w:fldCharType="separate"/>
        </w:r>
        <w:r>
          <w:rPr>
            <w:noProof/>
            <w:webHidden/>
          </w:rPr>
          <w:t>19</w:t>
        </w:r>
        <w:r>
          <w:rPr>
            <w:noProof/>
            <w:webHidden/>
          </w:rPr>
          <w:fldChar w:fldCharType="end"/>
        </w:r>
      </w:hyperlink>
    </w:p>
    <w:p w:rsidR="009F37AF" w:rsidRDefault="009F37AF" w14:paraId="3C3FAE56" w14:textId="77C65449">
      <w:pPr>
        <w:pStyle w:val="TOC3"/>
        <w:rPr>
          <w:rFonts w:asciiTheme="minorHAnsi" w:hAnsiTheme="minorHAnsi" w:cstheme="minorBidi"/>
          <w:noProof/>
          <w:kern w:val="2"/>
          <w:sz w:val="22"/>
          <w:szCs w:val="22"/>
          <w14:ligatures w14:val="standardContextual"/>
        </w:rPr>
      </w:pPr>
      <w:hyperlink w:history="1" w:anchor="_Toc150852624">
        <w:r w:rsidRPr="00410559">
          <w:rPr>
            <w:rStyle w:val="Hyperlink"/>
            <w:noProof/>
          </w:rPr>
          <w:t>5.1.3</w:t>
        </w:r>
        <w:r>
          <w:rPr>
            <w:rFonts w:asciiTheme="minorHAnsi" w:hAnsiTheme="minorHAnsi" w:cstheme="minorBidi"/>
            <w:noProof/>
            <w:kern w:val="2"/>
            <w:sz w:val="22"/>
            <w:szCs w:val="22"/>
            <w14:ligatures w14:val="standardContextual"/>
          </w:rPr>
          <w:tab/>
        </w:r>
        <w:r w:rsidRPr="00410559">
          <w:rPr>
            <w:rStyle w:val="Hyperlink"/>
            <w:noProof/>
          </w:rPr>
          <w:t>Overview of planned subgrantee selection process</w:t>
        </w:r>
        <w:r>
          <w:rPr>
            <w:noProof/>
            <w:webHidden/>
          </w:rPr>
          <w:tab/>
        </w:r>
        <w:r>
          <w:rPr>
            <w:noProof/>
            <w:webHidden/>
          </w:rPr>
          <w:fldChar w:fldCharType="begin"/>
        </w:r>
        <w:r>
          <w:rPr>
            <w:noProof/>
            <w:webHidden/>
          </w:rPr>
          <w:instrText xml:space="preserve"> PAGEREF _Toc150852624 \h </w:instrText>
        </w:r>
        <w:r>
          <w:rPr>
            <w:noProof/>
            <w:webHidden/>
          </w:rPr>
        </w:r>
        <w:r>
          <w:rPr>
            <w:noProof/>
            <w:webHidden/>
          </w:rPr>
          <w:fldChar w:fldCharType="separate"/>
        </w:r>
        <w:r>
          <w:rPr>
            <w:noProof/>
            <w:webHidden/>
          </w:rPr>
          <w:t>20</w:t>
        </w:r>
        <w:r>
          <w:rPr>
            <w:noProof/>
            <w:webHidden/>
          </w:rPr>
          <w:fldChar w:fldCharType="end"/>
        </w:r>
      </w:hyperlink>
    </w:p>
    <w:p w:rsidR="009F37AF" w:rsidRDefault="009F37AF" w14:paraId="720FF181" w14:textId="5489ADF8">
      <w:pPr>
        <w:pStyle w:val="TOC3"/>
        <w:rPr>
          <w:rFonts w:asciiTheme="minorHAnsi" w:hAnsiTheme="minorHAnsi" w:cstheme="minorBidi"/>
          <w:noProof/>
          <w:kern w:val="2"/>
          <w:sz w:val="22"/>
          <w:szCs w:val="22"/>
          <w14:ligatures w14:val="standardContextual"/>
        </w:rPr>
      </w:pPr>
      <w:hyperlink w:history="1" w:anchor="_Toc150852625">
        <w:r w:rsidRPr="00410559">
          <w:rPr>
            <w:rStyle w:val="Hyperlink"/>
            <w:noProof/>
          </w:rPr>
          <w:t>5.1.4</w:t>
        </w:r>
        <w:r>
          <w:rPr>
            <w:rFonts w:asciiTheme="minorHAnsi" w:hAnsiTheme="minorHAnsi" w:cstheme="minorBidi"/>
            <w:noProof/>
            <w:kern w:val="2"/>
            <w:sz w:val="22"/>
            <w:szCs w:val="22"/>
            <w14:ligatures w14:val="standardContextual"/>
          </w:rPr>
          <w:tab/>
        </w:r>
        <w:r w:rsidRPr="00410559">
          <w:rPr>
            <w:rStyle w:val="Hyperlink"/>
            <w:noProof/>
          </w:rPr>
          <w:t>Phases</w:t>
        </w:r>
        <w:r>
          <w:rPr>
            <w:noProof/>
            <w:webHidden/>
          </w:rPr>
          <w:tab/>
        </w:r>
        <w:r>
          <w:rPr>
            <w:noProof/>
            <w:webHidden/>
          </w:rPr>
          <w:fldChar w:fldCharType="begin"/>
        </w:r>
        <w:r>
          <w:rPr>
            <w:noProof/>
            <w:webHidden/>
          </w:rPr>
          <w:instrText xml:space="preserve"> PAGEREF _Toc150852625 \h </w:instrText>
        </w:r>
        <w:r>
          <w:rPr>
            <w:noProof/>
            <w:webHidden/>
          </w:rPr>
        </w:r>
        <w:r>
          <w:rPr>
            <w:noProof/>
            <w:webHidden/>
          </w:rPr>
          <w:fldChar w:fldCharType="separate"/>
        </w:r>
        <w:r>
          <w:rPr>
            <w:noProof/>
            <w:webHidden/>
          </w:rPr>
          <w:t>22</w:t>
        </w:r>
        <w:r>
          <w:rPr>
            <w:noProof/>
            <w:webHidden/>
          </w:rPr>
          <w:fldChar w:fldCharType="end"/>
        </w:r>
      </w:hyperlink>
    </w:p>
    <w:p w:rsidR="009F37AF" w:rsidRDefault="009F37AF" w14:paraId="68B0E104" w14:textId="21AABD57">
      <w:pPr>
        <w:pStyle w:val="TOC2"/>
        <w:rPr>
          <w:rFonts w:asciiTheme="minorHAnsi" w:hAnsiTheme="minorHAnsi" w:cstheme="minorBidi"/>
          <w:i w:val="0"/>
          <w:iCs w:val="0"/>
          <w:noProof/>
          <w:kern w:val="2"/>
          <w:sz w:val="22"/>
          <w:szCs w:val="22"/>
          <w14:ligatures w14:val="standardContextual"/>
        </w:rPr>
      </w:pPr>
      <w:hyperlink w:history="1" w:anchor="_Toc150852626">
        <w:r w:rsidRPr="00410559">
          <w:rPr>
            <w:rStyle w:val="Hyperlink"/>
            <w:noProof/>
          </w:rPr>
          <w:t>5.2</w:t>
        </w:r>
        <w:r>
          <w:rPr>
            <w:rFonts w:asciiTheme="minorHAnsi" w:hAnsiTheme="minorHAnsi" w:cstheme="minorBidi"/>
            <w:i w:val="0"/>
            <w:iCs w:val="0"/>
            <w:noProof/>
            <w:kern w:val="2"/>
            <w:sz w:val="22"/>
            <w:szCs w:val="22"/>
            <w14:ligatures w14:val="standardContextual"/>
          </w:rPr>
          <w:tab/>
        </w:r>
        <w:r w:rsidRPr="00410559">
          <w:rPr>
            <w:rStyle w:val="Hyperlink"/>
            <w:noProof/>
          </w:rPr>
          <w:t>Overall timeline</w:t>
        </w:r>
        <w:r>
          <w:rPr>
            <w:noProof/>
            <w:webHidden/>
          </w:rPr>
          <w:tab/>
        </w:r>
        <w:r>
          <w:rPr>
            <w:noProof/>
            <w:webHidden/>
          </w:rPr>
          <w:fldChar w:fldCharType="begin"/>
        </w:r>
        <w:r>
          <w:rPr>
            <w:noProof/>
            <w:webHidden/>
          </w:rPr>
          <w:instrText xml:space="preserve"> PAGEREF _Toc150852626 \h </w:instrText>
        </w:r>
        <w:r>
          <w:rPr>
            <w:noProof/>
            <w:webHidden/>
          </w:rPr>
        </w:r>
        <w:r>
          <w:rPr>
            <w:noProof/>
            <w:webHidden/>
          </w:rPr>
          <w:fldChar w:fldCharType="separate"/>
        </w:r>
        <w:r>
          <w:rPr>
            <w:noProof/>
            <w:webHidden/>
          </w:rPr>
          <w:t>29</w:t>
        </w:r>
        <w:r>
          <w:rPr>
            <w:noProof/>
            <w:webHidden/>
          </w:rPr>
          <w:fldChar w:fldCharType="end"/>
        </w:r>
      </w:hyperlink>
    </w:p>
    <w:p w:rsidR="009F37AF" w:rsidRDefault="009F37AF" w14:paraId="64B539BB" w14:textId="49B7788B">
      <w:pPr>
        <w:pStyle w:val="TOC2"/>
        <w:rPr>
          <w:rFonts w:asciiTheme="minorHAnsi" w:hAnsiTheme="minorHAnsi" w:cstheme="minorBidi"/>
          <w:i w:val="0"/>
          <w:iCs w:val="0"/>
          <w:noProof/>
          <w:kern w:val="2"/>
          <w:sz w:val="22"/>
          <w:szCs w:val="22"/>
          <w14:ligatures w14:val="standardContextual"/>
        </w:rPr>
      </w:pPr>
      <w:hyperlink w:history="1" w:anchor="_Toc150852627">
        <w:r w:rsidRPr="00410559">
          <w:rPr>
            <w:rStyle w:val="Hyperlink"/>
            <w:noProof/>
          </w:rPr>
          <w:t>5.3</w:t>
        </w:r>
        <w:r>
          <w:rPr>
            <w:rFonts w:asciiTheme="minorHAnsi" w:hAnsiTheme="minorHAnsi" w:cstheme="minorBidi"/>
            <w:i w:val="0"/>
            <w:iCs w:val="0"/>
            <w:noProof/>
            <w:kern w:val="2"/>
            <w:sz w:val="22"/>
            <w:szCs w:val="22"/>
            <w14:ligatures w14:val="standardContextual"/>
          </w:rPr>
          <w:tab/>
        </w:r>
        <w:r w:rsidRPr="00410559">
          <w:rPr>
            <w:rStyle w:val="Hyperlink"/>
            <w:noProof/>
          </w:rPr>
          <w:t>Scoring methodology</w:t>
        </w:r>
        <w:r>
          <w:rPr>
            <w:noProof/>
            <w:webHidden/>
          </w:rPr>
          <w:tab/>
        </w:r>
        <w:r>
          <w:rPr>
            <w:noProof/>
            <w:webHidden/>
          </w:rPr>
          <w:fldChar w:fldCharType="begin"/>
        </w:r>
        <w:r>
          <w:rPr>
            <w:noProof/>
            <w:webHidden/>
          </w:rPr>
          <w:instrText xml:space="preserve"> PAGEREF _Toc150852627 \h </w:instrText>
        </w:r>
        <w:r>
          <w:rPr>
            <w:noProof/>
            <w:webHidden/>
          </w:rPr>
        </w:r>
        <w:r>
          <w:rPr>
            <w:noProof/>
            <w:webHidden/>
          </w:rPr>
          <w:fldChar w:fldCharType="separate"/>
        </w:r>
        <w:r>
          <w:rPr>
            <w:noProof/>
            <w:webHidden/>
          </w:rPr>
          <w:t>30</w:t>
        </w:r>
        <w:r>
          <w:rPr>
            <w:noProof/>
            <w:webHidden/>
          </w:rPr>
          <w:fldChar w:fldCharType="end"/>
        </w:r>
      </w:hyperlink>
    </w:p>
    <w:p w:rsidR="009F37AF" w:rsidRDefault="009F37AF" w14:paraId="1774AEA0" w14:textId="696940E2">
      <w:pPr>
        <w:pStyle w:val="TOC3"/>
        <w:rPr>
          <w:rFonts w:asciiTheme="minorHAnsi" w:hAnsiTheme="minorHAnsi" w:cstheme="minorBidi"/>
          <w:noProof/>
          <w:kern w:val="2"/>
          <w:sz w:val="22"/>
          <w:szCs w:val="22"/>
          <w14:ligatures w14:val="standardContextual"/>
        </w:rPr>
      </w:pPr>
      <w:hyperlink w:history="1" w:anchor="_Toc150852628">
        <w:r w:rsidRPr="00410559">
          <w:rPr>
            <w:rStyle w:val="Hyperlink"/>
            <w:noProof/>
          </w:rPr>
          <w:t>5.3.1</w:t>
        </w:r>
        <w:r>
          <w:rPr>
            <w:rFonts w:asciiTheme="minorHAnsi" w:hAnsiTheme="minorHAnsi" w:cstheme="minorBidi"/>
            <w:noProof/>
            <w:kern w:val="2"/>
            <w:sz w:val="22"/>
            <w:szCs w:val="22"/>
            <w14:ligatures w14:val="standardContextual"/>
          </w:rPr>
          <w:tab/>
        </w:r>
        <w:r w:rsidRPr="00410559">
          <w:rPr>
            <w:rStyle w:val="Hyperlink"/>
            <w:noProof/>
          </w:rPr>
          <w:t>Prequalification Phase</w:t>
        </w:r>
        <w:r>
          <w:rPr>
            <w:noProof/>
            <w:webHidden/>
          </w:rPr>
          <w:tab/>
        </w:r>
        <w:r>
          <w:rPr>
            <w:noProof/>
            <w:webHidden/>
          </w:rPr>
          <w:fldChar w:fldCharType="begin"/>
        </w:r>
        <w:r>
          <w:rPr>
            <w:noProof/>
            <w:webHidden/>
          </w:rPr>
          <w:instrText xml:space="preserve"> PAGEREF _Toc150852628 \h </w:instrText>
        </w:r>
        <w:r>
          <w:rPr>
            <w:noProof/>
            <w:webHidden/>
          </w:rPr>
        </w:r>
        <w:r>
          <w:rPr>
            <w:noProof/>
            <w:webHidden/>
          </w:rPr>
          <w:fldChar w:fldCharType="separate"/>
        </w:r>
        <w:r>
          <w:rPr>
            <w:noProof/>
            <w:webHidden/>
          </w:rPr>
          <w:t>30</w:t>
        </w:r>
        <w:r>
          <w:rPr>
            <w:noProof/>
            <w:webHidden/>
          </w:rPr>
          <w:fldChar w:fldCharType="end"/>
        </w:r>
      </w:hyperlink>
    </w:p>
    <w:p w:rsidR="009F37AF" w:rsidRDefault="009F37AF" w14:paraId="725BF4FB" w14:textId="4330F77B">
      <w:pPr>
        <w:pStyle w:val="TOC3"/>
        <w:rPr>
          <w:rFonts w:asciiTheme="minorHAnsi" w:hAnsiTheme="minorHAnsi" w:cstheme="minorBidi"/>
          <w:noProof/>
          <w:kern w:val="2"/>
          <w:sz w:val="22"/>
          <w:szCs w:val="22"/>
          <w14:ligatures w14:val="standardContextual"/>
        </w:rPr>
      </w:pPr>
      <w:hyperlink w:history="1" w:anchor="_Toc150852629">
        <w:r w:rsidRPr="00410559">
          <w:rPr>
            <w:rStyle w:val="Hyperlink"/>
            <w:noProof/>
          </w:rPr>
          <w:t>5.3.2</w:t>
        </w:r>
        <w:r>
          <w:rPr>
            <w:rFonts w:asciiTheme="minorHAnsi" w:hAnsiTheme="minorHAnsi" w:cstheme="minorBidi"/>
            <w:noProof/>
            <w:kern w:val="2"/>
            <w:sz w:val="22"/>
            <w:szCs w:val="22"/>
            <w14:ligatures w14:val="standardContextual"/>
          </w:rPr>
          <w:tab/>
        </w:r>
        <w:r w:rsidRPr="00410559">
          <w:rPr>
            <w:rStyle w:val="Hyperlink"/>
            <w:noProof/>
          </w:rPr>
          <w:t>Scoring Phase</w:t>
        </w:r>
        <w:r>
          <w:rPr>
            <w:noProof/>
            <w:webHidden/>
          </w:rPr>
          <w:tab/>
        </w:r>
        <w:r>
          <w:rPr>
            <w:noProof/>
            <w:webHidden/>
          </w:rPr>
          <w:fldChar w:fldCharType="begin"/>
        </w:r>
        <w:r>
          <w:rPr>
            <w:noProof/>
            <w:webHidden/>
          </w:rPr>
          <w:instrText xml:space="preserve"> PAGEREF _Toc150852629 \h </w:instrText>
        </w:r>
        <w:r>
          <w:rPr>
            <w:noProof/>
            <w:webHidden/>
          </w:rPr>
        </w:r>
        <w:r>
          <w:rPr>
            <w:noProof/>
            <w:webHidden/>
          </w:rPr>
          <w:fldChar w:fldCharType="separate"/>
        </w:r>
        <w:r>
          <w:rPr>
            <w:noProof/>
            <w:webHidden/>
          </w:rPr>
          <w:t>34</w:t>
        </w:r>
        <w:r>
          <w:rPr>
            <w:noProof/>
            <w:webHidden/>
          </w:rPr>
          <w:fldChar w:fldCharType="end"/>
        </w:r>
      </w:hyperlink>
    </w:p>
    <w:p w:rsidR="009F37AF" w:rsidRDefault="009F37AF" w14:paraId="4CD23E9D" w14:textId="4C9FA8EC">
      <w:pPr>
        <w:pStyle w:val="TOC3"/>
        <w:rPr>
          <w:rFonts w:asciiTheme="minorHAnsi" w:hAnsiTheme="minorHAnsi" w:cstheme="minorBidi"/>
          <w:noProof/>
          <w:kern w:val="2"/>
          <w:sz w:val="22"/>
          <w:szCs w:val="22"/>
          <w14:ligatures w14:val="standardContextual"/>
        </w:rPr>
      </w:pPr>
      <w:hyperlink w:history="1" w:anchor="_Toc150852630">
        <w:r w:rsidRPr="00410559">
          <w:rPr>
            <w:rStyle w:val="Hyperlink"/>
            <w:noProof/>
          </w:rPr>
          <w:t>5.3.3</w:t>
        </w:r>
        <w:r>
          <w:rPr>
            <w:rFonts w:asciiTheme="minorHAnsi" w:hAnsiTheme="minorHAnsi" w:cstheme="minorBidi"/>
            <w:noProof/>
            <w:kern w:val="2"/>
            <w:sz w:val="22"/>
            <w:szCs w:val="22"/>
            <w14:ligatures w14:val="standardContextual"/>
          </w:rPr>
          <w:tab/>
        </w:r>
        <w:r w:rsidRPr="00410559">
          <w:rPr>
            <w:rStyle w:val="Hyperlink"/>
            <w:noProof/>
          </w:rPr>
          <w:t>Scoring Rubric</w:t>
        </w:r>
        <w:r>
          <w:rPr>
            <w:noProof/>
            <w:webHidden/>
          </w:rPr>
          <w:tab/>
        </w:r>
        <w:r>
          <w:rPr>
            <w:noProof/>
            <w:webHidden/>
          </w:rPr>
          <w:fldChar w:fldCharType="begin"/>
        </w:r>
        <w:r>
          <w:rPr>
            <w:noProof/>
            <w:webHidden/>
          </w:rPr>
          <w:instrText xml:space="preserve"> PAGEREF _Toc150852630 \h </w:instrText>
        </w:r>
        <w:r>
          <w:rPr>
            <w:noProof/>
            <w:webHidden/>
          </w:rPr>
        </w:r>
        <w:r>
          <w:rPr>
            <w:noProof/>
            <w:webHidden/>
          </w:rPr>
          <w:fldChar w:fldCharType="separate"/>
        </w:r>
        <w:r>
          <w:rPr>
            <w:noProof/>
            <w:webHidden/>
          </w:rPr>
          <w:t>39</w:t>
        </w:r>
        <w:r>
          <w:rPr>
            <w:noProof/>
            <w:webHidden/>
          </w:rPr>
          <w:fldChar w:fldCharType="end"/>
        </w:r>
      </w:hyperlink>
    </w:p>
    <w:p w:rsidR="009F37AF" w:rsidRDefault="009F37AF" w14:paraId="38B8E993" w14:textId="6F686261">
      <w:pPr>
        <w:pStyle w:val="TOC2"/>
        <w:rPr>
          <w:rFonts w:asciiTheme="minorHAnsi" w:hAnsiTheme="minorHAnsi" w:cstheme="minorBidi"/>
          <w:i w:val="0"/>
          <w:iCs w:val="0"/>
          <w:noProof/>
          <w:kern w:val="2"/>
          <w:sz w:val="22"/>
          <w:szCs w:val="22"/>
          <w14:ligatures w14:val="standardContextual"/>
        </w:rPr>
      </w:pPr>
      <w:hyperlink w:history="1" w:anchor="_Toc150852631">
        <w:r w:rsidRPr="00410559">
          <w:rPr>
            <w:rStyle w:val="Hyperlink"/>
            <w:noProof/>
          </w:rPr>
          <w:t>5.4</w:t>
        </w:r>
        <w:r>
          <w:rPr>
            <w:rFonts w:asciiTheme="minorHAnsi" w:hAnsiTheme="minorHAnsi" w:cstheme="minorBidi"/>
            <w:i w:val="0"/>
            <w:iCs w:val="0"/>
            <w:noProof/>
            <w:kern w:val="2"/>
            <w:sz w:val="22"/>
            <w:szCs w:val="22"/>
            <w14:ligatures w14:val="standardContextual"/>
          </w:rPr>
          <w:tab/>
        </w:r>
        <w:r w:rsidRPr="00410559">
          <w:rPr>
            <w:rStyle w:val="Hyperlink"/>
            <w:noProof/>
          </w:rPr>
          <w:t>Prioritization of unserved BSLs, underserved BSLs, and eligible CAIs</w:t>
        </w:r>
        <w:r>
          <w:rPr>
            <w:noProof/>
            <w:webHidden/>
          </w:rPr>
          <w:tab/>
        </w:r>
        <w:r>
          <w:rPr>
            <w:noProof/>
            <w:webHidden/>
          </w:rPr>
          <w:fldChar w:fldCharType="begin"/>
        </w:r>
        <w:r>
          <w:rPr>
            <w:noProof/>
            <w:webHidden/>
          </w:rPr>
          <w:instrText xml:space="preserve"> PAGEREF _Toc150852631 \h </w:instrText>
        </w:r>
        <w:r>
          <w:rPr>
            <w:noProof/>
            <w:webHidden/>
          </w:rPr>
        </w:r>
        <w:r>
          <w:rPr>
            <w:noProof/>
            <w:webHidden/>
          </w:rPr>
          <w:fldChar w:fldCharType="separate"/>
        </w:r>
        <w:r>
          <w:rPr>
            <w:noProof/>
            <w:webHidden/>
          </w:rPr>
          <w:t>39</w:t>
        </w:r>
        <w:r>
          <w:rPr>
            <w:noProof/>
            <w:webHidden/>
          </w:rPr>
          <w:fldChar w:fldCharType="end"/>
        </w:r>
      </w:hyperlink>
    </w:p>
    <w:p w:rsidR="009F37AF" w:rsidRDefault="009F37AF" w14:paraId="28E56C65" w14:textId="19472CC3">
      <w:pPr>
        <w:pStyle w:val="TOC2"/>
        <w:rPr>
          <w:rFonts w:asciiTheme="minorHAnsi" w:hAnsiTheme="minorHAnsi" w:cstheme="minorBidi"/>
          <w:i w:val="0"/>
          <w:iCs w:val="0"/>
          <w:noProof/>
          <w:kern w:val="2"/>
          <w:sz w:val="22"/>
          <w:szCs w:val="22"/>
          <w14:ligatures w14:val="standardContextual"/>
        </w:rPr>
      </w:pPr>
      <w:hyperlink w:history="1" w:anchor="_Toc150852632">
        <w:r w:rsidRPr="00410559">
          <w:rPr>
            <w:rStyle w:val="Hyperlink"/>
            <w:noProof/>
          </w:rPr>
          <w:t>5.5</w:t>
        </w:r>
        <w:r>
          <w:rPr>
            <w:rFonts w:asciiTheme="minorHAnsi" w:hAnsiTheme="minorHAnsi" w:cstheme="minorBidi"/>
            <w:i w:val="0"/>
            <w:iCs w:val="0"/>
            <w:noProof/>
            <w:kern w:val="2"/>
            <w:sz w:val="22"/>
            <w:szCs w:val="22"/>
            <w14:ligatures w14:val="standardContextual"/>
          </w:rPr>
          <w:tab/>
        </w:r>
        <w:r w:rsidRPr="00410559">
          <w:rPr>
            <w:rStyle w:val="Hyperlink"/>
            <w:noProof/>
          </w:rPr>
          <w:t>Prioritization of non-deployment projects</w:t>
        </w:r>
        <w:r>
          <w:rPr>
            <w:noProof/>
            <w:webHidden/>
          </w:rPr>
          <w:tab/>
        </w:r>
        <w:r>
          <w:rPr>
            <w:noProof/>
            <w:webHidden/>
          </w:rPr>
          <w:fldChar w:fldCharType="begin"/>
        </w:r>
        <w:r>
          <w:rPr>
            <w:noProof/>
            <w:webHidden/>
          </w:rPr>
          <w:instrText xml:space="preserve"> PAGEREF _Toc150852632 \h </w:instrText>
        </w:r>
        <w:r>
          <w:rPr>
            <w:noProof/>
            <w:webHidden/>
          </w:rPr>
        </w:r>
        <w:r>
          <w:rPr>
            <w:noProof/>
            <w:webHidden/>
          </w:rPr>
          <w:fldChar w:fldCharType="separate"/>
        </w:r>
        <w:r>
          <w:rPr>
            <w:noProof/>
            <w:webHidden/>
          </w:rPr>
          <w:t>40</w:t>
        </w:r>
        <w:r>
          <w:rPr>
            <w:noProof/>
            <w:webHidden/>
          </w:rPr>
          <w:fldChar w:fldCharType="end"/>
        </w:r>
      </w:hyperlink>
    </w:p>
    <w:p w:rsidR="009F37AF" w:rsidRDefault="009F37AF" w14:paraId="047C16D1" w14:textId="45790992">
      <w:pPr>
        <w:pStyle w:val="TOC2"/>
        <w:rPr>
          <w:rFonts w:asciiTheme="minorHAnsi" w:hAnsiTheme="minorHAnsi" w:cstheme="minorBidi"/>
          <w:i w:val="0"/>
          <w:iCs w:val="0"/>
          <w:noProof/>
          <w:kern w:val="2"/>
          <w:sz w:val="22"/>
          <w:szCs w:val="22"/>
          <w14:ligatures w14:val="standardContextual"/>
        </w:rPr>
      </w:pPr>
      <w:hyperlink w:history="1" w:anchor="_Toc150852633">
        <w:r w:rsidRPr="00410559">
          <w:rPr>
            <w:rStyle w:val="Hyperlink"/>
            <w:noProof/>
          </w:rPr>
          <w:t>5.6</w:t>
        </w:r>
        <w:r>
          <w:rPr>
            <w:rFonts w:asciiTheme="minorHAnsi" w:hAnsiTheme="minorHAnsi" w:cstheme="minorBidi"/>
            <w:i w:val="0"/>
            <w:iCs w:val="0"/>
            <w:noProof/>
            <w:kern w:val="2"/>
            <w:sz w:val="22"/>
            <w:szCs w:val="22"/>
            <w14:ligatures w14:val="standardContextual"/>
          </w:rPr>
          <w:tab/>
        </w:r>
        <w:r w:rsidRPr="00410559">
          <w:rPr>
            <w:rStyle w:val="Hyperlink"/>
            <w:noProof/>
          </w:rPr>
          <w:t>Environmental and historic preservation and Build America, Buy America Act compliance</w:t>
        </w:r>
        <w:r>
          <w:rPr>
            <w:noProof/>
            <w:webHidden/>
          </w:rPr>
          <w:tab/>
        </w:r>
        <w:r>
          <w:rPr>
            <w:noProof/>
            <w:webHidden/>
          </w:rPr>
          <w:fldChar w:fldCharType="begin"/>
        </w:r>
        <w:r>
          <w:rPr>
            <w:noProof/>
            <w:webHidden/>
          </w:rPr>
          <w:instrText xml:space="preserve"> PAGEREF _Toc150852633 \h </w:instrText>
        </w:r>
        <w:r>
          <w:rPr>
            <w:noProof/>
            <w:webHidden/>
          </w:rPr>
        </w:r>
        <w:r>
          <w:rPr>
            <w:noProof/>
            <w:webHidden/>
          </w:rPr>
          <w:fldChar w:fldCharType="separate"/>
        </w:r>
        <w:r>
          <w:rPr>
            <w:noProof/>
            <w:webHidden/>
          </w:rPr>
          <w:t>42</w:t>
        </w:r>
        <w:r>
          <w:rPr>
            <w:noProof/>
            <w:webHidden/>
          </w:rPr>
          <w:fldChar w:fldCharType="end"/>
        </w:r>
      </w:hyperlink>
    </w:p>
    <w:p w:rsidR="009F37AF" w:rsidRDefault="009F37AF" w14:paraId="27840547" w14:textId="0B727EDC">
      <w:pPr>
        <w:pStyle w:val="TOC2"/>
        <w:rPr>
          <w:rFonts w:asciiTheme="minorHAnsi" w:hAnsiTheme="minorHAnsi" w:cstheme="minorBidi"/>
          <w:i w:val="0"/>
          <w:iCs w:val="0"/>
          <w:noProof/>
          <w:kern w:val="2"/>
          <w:sz w:val="22"/>
          <w:szCs w:val="22"/>
          <w14:ligatures w14:val="standardContextual"/>
        </w:rPr>
      </w:pPr>
      <w:hyperlink w:history="1" w:anchor="_Toc150852634">
        <w:r w:rsidRPr="00410559">
          <w:rPr>
            <w:rStyle w:val="Hyperlink"/>
            <w:noProof/>
          </w:rPr>
          <w:t>5.7</w:t>
        </w:r>
        <w:r>
          <w:rPr>
            <w:rFonts w:asciiTheme="minorHAnsi" w:hAnsiTheme="minorHAnsi" w:cstheme="minorBidi"/>
            <w:i w:val="0"/>
            <w:iCs w:val="0"/>
            <w:noProof/>
            <w:kern w:val="2"/>
            <w:sz w:val="22"/>
            <w:szCs w:val="22"/>
            <w14:ligatures w14:val="standardContextual"/>
          </w:rPr>
          <w:tab/>
        </w:r>
        <w:r w:rsidRPr="00410559">
          <w:rPr>
            <w:rStyle w:val="Hyperlink"/>
            <w:noProof/>
          </w:rPr>
          <w:t>Project area definition</w:t>
        </w:r>
        <w:r>
          <w:rPr>
            <w:noProof/>
            <w:webHidden/>
          </w:rPr>
          <w:tab/>
        </w:r>
        <w:r>
          <w:rPr>
            <w:noProof/>
            <w:webHidden/>
          </w:rPr>
          <w:fldChar w:fldCharType="begin"/>
        </w:r>
        <w:r>
          <w:rPr>
            <w:noProof/>
            <w:webHidden/>
          </w:rPr>
          <w:instrText xml:space="preserve"> PAGEREF _Toc150852634 \h </w:instrText>
        </w:r>
        <w:r>
          <w:rPr>
            <w:noProof/>
            <w:webHidden/>
          </w:rPr>
        </w:r>
        <w:r>
          <w:rPr>
            <w:noProof/>
            <w:webHidden/>
          </w:rPr>
          <w:fldChar w:fldCharType="separate"/>
        </w:r>
        <w:r>
          <w:rPr>
            <w:noProof/>
            <w:webHidden/>
          </w:rPr>
          <w:t>42</w:t>
        </w:r>
        <w:r>
          <w:rPr>
            <w:noProof/>
            <w:webHidden/>
          </w:rPr>
          <w:fldChar w:fldCharType="end"/>
        </w:r>
      </w:hyperlink>
    </w:p>
    <w:p w:rsidR="009F37AF" w:rsidRDefault="009F37AF" w14:paraId="0ECB34DC" w14:textId="7247D979">
      <w:pPr>
        <w:pStyle w:val="TOC2"/>
        <w:rPr>
          <w:rFonts w:asciiTheme="minorHAnsi" w:hAnsiTheme="minorHAnsi" w:cstheme="minorBidi"/>
          <w:i w:val="0"/>
          <w:iCs w:val="0"/>
          <w:noProof/>
          <w:kern w:val="2"/>
          <w:sz w:val="22"/>
          <w:szCs w:val="22"/>
          <w14:ligatures w14:val="standardContextual"/>
        </w:rPr>
      </w:pPr>
      <w:hyperlink w:history="1" w:anchor="_Toc150852635">
        <w:r w:rsidRPr="00410559">
          <w:rPr>
            <w:rStyle w:val="Hyperlink"/>
            <w:noProof/>
          </w:rPr>
          <w:t>5.8</w:t>
        </w:r>
        <w:r>
          <w:rPr>
            <w:rFonts w:asciiTheme="minorHAnsi" w:hAnsiTheme="minorHAnsi" w:cstheme="minorBidi"/>
            <w:i w:val="0"/>
            <w:iCs w:val="0"/>
            <w:noProof/>
            <w:kern w:val="2"/>
            <w:sz w:val="22"/>
            <w:szCs w:val="22"/>
            <w14:ligatures w14:val="standardContextual"/>
          </w:rPr>
          <w:tab/>
        </w:r>
        <w:r w:rsidRPr="00410559">
          <w:rPr>
            <w:rStyle w:val="Hyperlink"/>
            <w:noProof/>
          </w:rPr>
          <w:t>Approach to subsequent funding rounds if no proposals are received</w:t>
        </w:r>
        <w:r>
          <w:rPr>
            <w:noProof/>
            <w:webHidden/>
          </w:rPr>
          <w:tab/>
        </w:r>
        <w:r>
          <w:rPr>
            <w:noProof/>
            <w:webHidden/>
          </w:rPr>
          <w:fldChar w:fldCharType="begin"/>
        </w:r>
        <w:r>
          <w:rPr>
            <w:noProof/>
            <w:webHidden/>
          </w:rPr>
          <w:instrText xml:space="preserve"> PAGEREF _Toc150852635 \h </w:instrText>
        </w:r>
        <w:r>
          <w:rPr>
            <w:noProof/>
            <w:webHidden/>
          </w:rPr>
        </w:r>
        <w:r>
          <w:rPr>
            <w:noProof/>
            <w:webHidden/>
          </w:rPr>
          <w:fldChar w:fldCharType="separate"/>
        </w:r>
        <w:r>
          <w:rPr>
            <w:noProof/>
            <w:webHidden/>
          </w:rPr>
          <w:t>44</w:t>
        </w:r>
        <w:r>
          <w:rPr>
            <w:noProof/>
            <w:webHidden/>
          </w:rPr>
          <w:fldChar w:fldCharType="end"/>
        </w:r>
      </w:hyperlink>
    </w:p>
    <w:p w:rsidR="009F37AF" w:rsidRDefault="009F37AF" w14:paraId="24B79B03" w14:textId="28C86F79">
      <w:pPr>
        <w:pStyle w:val="TOC2"/>
        <w:rPr>
          <w:rFonts w:asciiTheme="minorHAnsi" w:hAnsiTheme="minorHAnsi" w:cstheme="minorBidi"/>
          <w:i w:val="0"/>
          <w:iCs w:val="0"/>
          <w:noProof/>
          <w:kern w:val="2"/>
          <w:sz w:val="22"/>
          <w:szCs w:val="22"/>
          <w14:ligatures w14:val="standardContextual"/>
        </w:rPr>
      </w:pPr>
      <w:hyperlink w:history="1" w:anchor="_Toc150852636">
        <w:r w:rsidRPr="00410559">
          <w:rPr>
            <w:rStyle w:val="Hyperlink"/>
            <w:noProof/>
          </w:rPr>
          <w:t>5.9</w:t>
        </w:r>
        <w:r>
          <w:rPr>
            <w:rFonts w:asciiTheme="minorHAnsi" w:hAnsiTheme="minorHAnsi" w:cstheme="minorBidi"/>
            <w:i w:val="0"/>
            <w:iCs w:val="0"/>
            <w:noProof/>
            <w:kern w:val="2"/>
            <w:sz w:val="22"/>
            <w:szCs w:val="22"/>
            <w14:ligatures w14:val="standardContextual"/>
          </w:rPr>
          <w:tab/>
        </w:r>
        <w:r w:rsidRPr="00410559">
          <w:rPr>
            <w:rStyle w:val="Hyperlink"/>
            <w:noProof/>
          </w:rPr>
          <w:t>Projects on Tribal lands</w:t>
        </w:r>
        <w:r>
          <w:rPr>
            <w:noProof/>
            <w:webHidden/>
          </w:rPr>
          <w:tab/>
        </w:r>
        <w:r>
          <w:rPr>
            <w:noProof/>
            <w:webHidden/>
          </w:rPr>
          <w:fldChar w:fldCharType="begin"/>
        </w:r>
        <w:r>
          <w:rPr>
            <w:noProof/>
            <w:webHidden/>
          </w:rPr>
          <w:instrText xml:space="preserve"> PAGEREF _Toc150852636 \h </w:instrText>
        </w:r>
        <w:r>
          <w:rPr>
            <w:noProof/>
            <w:webHidden/>
          </w:rPr>
        </w:r>
        <w:r>
          <w:rPr>
            <w:noProof/>
            <w:webHidden/>
          </w:rPr>
          <w:fldChar w:fldCharType="separate"/>
        </w:r>
        <w:r>
          <w:rPr>
            <w:noProof/>
            <w:webHidden/>
          </w:rPr>
          <w:t>44</w:t>
        </w:r>
        <w:r>
          <w:rPr>
            <w:noProof/>
            <w:webHidden/>
          </w:rPr>
          <w:fldChar w:fldCharType="end"/>
        </w:r>
      </w:hyperlink>
    </w:p>
    <w:p w:rsidR="009F37AF" w:rsidRDefault="009F37AF" w14:paraId="32C299AF" w14:textId="6810CAA7">
      <w:pPr>
        <w:pStyle w:val="TOC2"/>
        <w:rPr>
          <w:rFonts w:asciiTheme="minorHAnsi" w:hAnsiTheme="minorHAnsi" w:cstheme="minorBidi"/>
          <w:i w:val="0"/>
          <w:iCs w:val="0"/>
          <w:noProof/>
          <w:kern w:val="2"/>
          <w:sz w:val="22"/>
          <w:szCs w:val="22"/>
          <w14:ligatures w14:val="standardContextual"/>
        </w:rPr>
      </w:pPr>
      <w:hyperlink w:history="1" w:anchor="_Toc150852637">
        <w:r w:rsidRPr="00410559">
          <w:rPr>
            <w:rStyle w:val="Hyperlink"/>
            <w:noProof/>
          </w:rPr>
          <w:t>5.10</w:t>
        </w:r>
        <w:r>
          <w:rPr>
            <w:rFonts w:asciiTheme="minorHAnsi" w:hAnsiTheme="minorHAnsi" w:cstheme="minorBidi"/>
            <w:i w:val="0"/>
            <w:iCs w:val="0"/>
            <w:noProof/>
            <w:kern w:val="2"/>
            <w:sz w:val="22"/>
            <w:szCs w:val="22"/>
            <w14:ligatures w14:val="standardContextual"/>
          </w:rPr>
          <w:tab/>
        </w:r>
        <w:r w:rsidRPr="00410559">
          <w:rPr>
            <w:rStyle w:val="Hyperlink"/>
            <w:noProof/>
          </w:rPr>
          <w:t>Identifying the Extremely High Cost Per Location Threshold (EHCPLT)</w:t>
        </w:r>
        <w:r>
          <w:rPr>
            <w:noProof/>
            <w:webHidden/>
          </w:rPr>
          <w:tab/>
        </w:r>
        <w:r>
          <w:rPr>
            <w:noProof/>
            <w:webHidden/>
          </w:rPr>
          <w:fldChar w:fldCharType="begin"/>
        </w:r>
        <w:r>
          <w:rPr>
            <w:noProof/>
            <w:webHidden/>
          </w:rPr>
          <w:instrText xml:space="preserve"> PAGEREF _Toc150852637 \h </w:instrText>
        </w:r>
        <w:r>
          <w:rPr>
            <w:noProof/>
            <w:webHidden/>
          </w:rPr>
        </w:r>
        <w:r>
          <w:rPr>
            <w:noProof/>
            <w:webHidden/>
          </w:rPr>
          <w:fldChar w:fldCharType="separate"/>
        </w:r>
        <w:r>
          <w:rPr>
            <w:noProof/>
            <w:webHidden/>
          </w:rPr>
          <w:t>45</w:t>
        </w:r>
        <w:r>
          <w:rPr>
            <w:noProof/>
            <w:webHidden/>
          </w:rPr>
          <w:fldChar w:fldCharType="end"/>
        </w:r>
      </w:hyperlink>
    </w:p>
    <w:p w:rsidR="009F37AF" w:rsidRDefault="009F37AF" w14:paraId="6E8E8F03" w14:textId="2ED45C06">
      <w:pPr>
        <w:pStyle w:val="TOC2"/>
        <w:rPr>
          <w:rFonts w:asciiTheme="minorHAnsi" w:hAnsiTheme="minorHAnsi" w:cstheme="minorBidi"/>
          <w:i w:val="0"/>
          <w:iCs w:val="0"/>
          <w:noProof/>
          <w:kern w:val="2"/>
          <w:sz w:val="22"/>
          <w:szCs w:val="22"/>
          <w14:ligatures w14:val="standardContextual"/>
        </w:rPr>
      </w:pPr>
      <w:hyperlink w:history="1" w:anchor="_Toc150852638">
        <w:r w:rsidRPr="00410559">
          <w:rPr>
            <w:rStyle w:val="Hyperlink"/>
            <w:noProof/>
          </w:rPr>
          <w:t>5.11</w:t>
        </w:r>
        <w:r>
          <w:rPr>
            <w:rFonts w:asciiTheme="minorHAnsi" w:hAnsiTheme="minorHAnsi" w:cstheme="minorBidi"/>
            <w:i w:val="0"/>
            <w:iCs w:val="0"/>
            <w:noProof/>
            <w:kern w:val="2"/>
            <w:sz w:val="22"/>
            <w:szCs w:val="22"/>
            <w14:ligatures w14:val="standardContextual"/>
          </w:rPr>
          <w:tab/>
        </w:r>
        <w:r w:rsidRPr="00410559">
          <w:rPr>
            <w:rStyle w:val="Hyperlink"/>
            <w:noProof/>
          </w:rPr>
          <w:t>Utilizing the EHCPLT</w:t>
        </w:r>
        <w:r>
          <w:rPr>
            <w:noProof/>
            <w:webHidden/>
          </w:rPr>
          <w:tab/>
        </w:r>
        <w:r>
          <w:rPr>
            <w:noProof/>
            <w:webHidden/>
          </w:rPr>
          <w:fldChar w:fldCharType="begin"/>
        </w:r>
        <w:r>
          <w:rPr>
            <w:noProof/>
            <w:webHidden/>
          </w:rPr>
          <w:instrText xml:space="preserve"> PAGEREF _Toc150852638 \h </w:instrText>
        </w:r>
        <w:r>
          <w:rPr>
            <w:noProof/>
            <w:webHidden/>
          </w:rPr>
        </w:r>
        <w:r>
          <w:rPr>
            <w:noProof/>
            <w:webHidden/>
          </w:rPr>
          <w:fldChar w:fldCharType="separate"/>
        </w:r>
        <w:r>
          <w:rPr>
            <w:noProof/>
            <w:webHidden/>
          </w:rPr>
          <w:t>45</w:t>
        </w:r>
        <w:r>
          <w:rPr>
            <w:noProof/>
            <w:webHidden/>
          </w:rPr>
          <w:fldChar w:fldCharType="end"/>
        </w:r>
      </w:hyperlink>
    </w:p>
    <w:p w:rsidR="009F37AF" w:rsidRDefault="009F37AF" w14:paraId="6E114805" w14:textId="6465C225">
      <w:pPr>
        <w:pStyle w:val="TOC2"/>
        <w:rPr>
          <w:rFonts w:asciiTheme="minorHAnsi" w:hAnsiTheme="minorHAnsi" w:cstheme="minorBidi"/>
          <w:i w:val="0"/>
          <w:iCs w:val="0"/>
          <w:noProof/>
          <w:kern w:val="2"/>
          <w:sz w:val="22"/>
          <w:szCs w:val="22"/>
          <w14:ligatures w14:val="standardContextual"/>
        </w:rPr>
      </w:pPr>
      <w:hyperlink w:history="1" w:anchor="_Toc150852639">
        <w:r w:rsidRPr="00410559">
          <w:rPr>
            <w:rStyle w:val="Hyperlink"/>
            <w:noProof/>
          </w:rPr>
          <w:t>5.12</w:t>
        </w:r>
        <w:r>
          <w:rPr>
            <w:rFonts w:asciiTheme="minorHAnsi" w:hAnsiTheme="minorHAnsi" w:cstheme="minorBidi"/>
            <w:i w:val="0"/>
            <w:iCs w:val="0"/>
            <w:noProof/>
            <w:kern w:val="2"/>
            <w:sz w:val="22"/>
            <w:szCs w:val="22"/>
            <w14:ligatures w14:val="standardContextual"/>
          </w:rPr>
          <w:tab/>
        </w:r>
        <w:r w:rsidRPr="00410559">
          <w:rPr>
            <w:rStyle w:val="Hyperlink"/>
            <w:noProof/>
          </w:rPr>
          <w:t>Requiring prospective subgrantees to certify their qualifications</w:t>
        </w:r>
        <w:r>
          <w:rPr>
            <w:noProof/>
            <w:webHidden/>
          </w:rPr>
          <w:tab/>
        </w:r>
        <w:r>
          <w:rPr>
            <w:noProof/>
            <w:webHidden/>
          </w:rPr>
          <w:fldChar w:fldCharType="begin"/>
        </w:r>
        <w:r>
          <w:rPr>
            <w:noProof/>
            <w:webHidden/>
          </w:rPr>
          <w:instrText xml:space="preserve"> PAGEREF _Toc150852639 \h </w:instrText>
        </w:r>
        <w:r>
          <w:rPr>
            <w:noProof/>
            <w:webHidden/>
          </w:rPr>
        </w:r>
        <w:r>
          <w:rPr>
            <w:noProof/>
            <w:webHidden/>
          </w:rPr>
          <w:fldChar w:fldCharType="separate"/>
        </w:r>
        <w:r>
          <w:rPr>
            <w:noProof/>
            <w:webHidden/>
          </w:rPr>
          <w:t>46</w:t>
        </w:r>
        <w:r>
          <w:rPr>
            <w:noProof/>
            <w:webHidden/>
          </w:rPr>
          <w:fldChar w:fldCharType="end"/>
        </w:r>
      </w:hyperlink>
    </w:p>
    <w:p w:rsidR="009F37AF" w:rsidRDefault="009F37AF" w14:paraId="2804D13E" w14:textId="7FF3AD15">
      <w:pPr>
        <w:pStyle w:val="TOC3"/>
        <w:rPr>
          <w:rFonts w:asciiTheme="minorHAnsi" w:hAnsiTheme="minorHAnsi" w:cstheme="minorBidi"/>
          <w:noProof/>
          <w:kern w:val="2"/>
          <w:sz w:val="22"/>
          <w:szCs w:val="22"/>
          <w14:ligatures w14:val="standardContextual"/>
        </w:rPr>
      </w:pPr>
      <w:hyperlink w:history="1" w:anchor="_Toc150852640">
        <w:r w:rsidRPr="00410559">
          <w:rPr>
            <w:rStyle w:val="Hyperlink"/>
            <w:noProof/>
          </w:rPr>
          <w:t>5.12.1</w:t>
        </w:r>
        <w:r>
          <w:rPr>
            <w:rFonts w:asciiTheme="minorHAnsi" w:hAnsiTheme="minorHAnsi" w:cstheme="minorBidi"/>
            <w:noProof/>
            <w:kern w:val="2"/>
            <w:sz w:val="22"/>
            <w:szCs w:val="22"/>
            <w14:ligatures w14:val="standardContextual"/>
          </w:rPr>
          <w:tab/>
        </w:r>
        <w:r w:rsidRPr="00410559">
          <w:rPr>
            <w:rStyle w:val="Hyperlink"/>
            <w:noProof/>
          </w:rPr>
          <w:t>Officer certifications</w:t>
        </w:r>
        <w:r>
          <w:rPr>
            <w:noProof/>
            <w:webHidden/>
          </w:rPr>
          <w:tab/>
        </w:r>
        <w:r>
          <w:rPr>
            <w:noProof/>
            <w:webHidden/>
          </w:rPr>
          <w:fldChar w:fldCharType="begin"/>
        </w:r>
        <w:r>
          <w:rPr>
            <w:noProof/>
            <w:webHidden/>
          </w:rPr>
          <w:instrText xml:space="preserve"> PAGEREF _Toc150852640 \h </w:instrText>
        </w:r>
        <w:r>
          <w:rPr>
            <w:noProof/>
            <w:webHidden/>
          </w:rPr>
        </w:r>
        <w:r>
          <w:rPr>
            <w:noProof/>
            <w:webHidden/>
          </w:rPr>
          <w:fldChar w:fldCharType="separate"/>
        </w:r>
        <w:r>
          <w:rPr>
            <w:noProof/>
            <w:webHidden/>
          </w:rPr>
          <w:t>46</w:t>
        </w:r>
        <w:r>
          <w:rPr>
            <w:noProof/>
            <w:webHidden/>
          </w:rPr>
          <w:fldChar w:fldCharType="end"/>
        </w:r>
      </w:hyperlink>
    </w:p>
    <w:p w:rsidR="009F37AF" w:rsidRDefault="009F37AF" w14:paraId="5BDC00E0" w14:textId="7A2C6149">
      <w:pPr>
        <w:pStyle w:val="TOC3"/>
        <w:rPr>
          <w:rFonts w:asciiTheme="minorHAnsi" w:hAnsiTheme="minorHAnsi" w:cstheme="minorBidi"/>
          <w:noProof/>
          <w:kern w:val="2"/>
          <w:sz w:val="22"/>
          <w:szCs w:val="22"/>
          <w14:ligatures w14:val="standardContextual"/>
        </w:rPr>
      </w:pPr>
      <w:hyperlink w:history="1" w:anchor="_Toc150852641">
        <w:r w:rsidRPr="00410559">
          <w:rPr>
            <w:rStyle w:val="Hyperlink"/>
            <w:noProof/>
          </w:rPr>
          <w:t>5.12.2</w:t>
        </w:r>
        <w:r>
          <w:rPr>
            <w:rFonts w:asciiTheme="minorHAnsi" w:hAnsiTheme="minorHAnsi" w:cstheme="minorBidi"/>
            <w:noProof/>
            <w:kern w:val="2"/>
            <w:sz w:val="22"/>
            <w:szCs w:val="22"/>
            <w14:ligatures w14:val="standardContextual"/>
          </w:rPr>
          <w:tab/>
        </w:r>
        <w:r w:rsidRPr="00410559">
          <w:rPr>
            <w:rStyle w:val="Hyperlink"/>
            <w:noProof/>
          </w:rPr>
          <w:t>Letter of credit/performance bond</w:t>
        </w:r>
        <w:r>
          <w:rPr>
            <w:noProof/>
            <w:webHidden/>
          </w:rPr>
          <w:tab/>
        </w:r>
        <w:r>
          <w:rPr>
            <w:noProof/>
            <w:webHidden/>
          </w:rPr>
          <w:fldChar w:fldCharType="begin"/>
        </w:r>
        <w:r>
          <w:rPr>
            <w:noProof/>
            <w:webHidden/>
          </w:rPr>
          <w:instrText xml:space="preserve"> PAGEREF _Toc150852641 \h </w:instrText>
        </w:r>
        <w:r>
          <w:rPr>
            <w:noProof/>
            <w:webHidden/>
          </w:rPr>
        </w:r>
        <w:r>
          <w:rPr>
            <w:noProof/>
            <w:webHidden/>
          </w:rPr>
          <w:fldChar w:fldCharType="separate"/>
        </w:r>
        <w:r>
          <w:rPr>
            <w:noProof/>
            <w:webHidden/>
          </w:rPr>
          <w:t>47</w:t>
        </w:r>
        <w:r>
          <w:rPr>
            <w:noProof/>
            <w:webHidden/>
          </w:rPr>
          <w:fldChar w:fldCharType="end"/>
        </w:r>
      </w:hyperlink>
    </w:p>
    <w:p w:rsidR="009F37AF" w:rsidRDefault="009F37AF" w14:paraId="221A8AE9" w14:textId="445FB286">
      <w:pPr>
        <w:pStyle w:val="TOC3"/>
        <w:rPr>
          <w:rFonts w:asciiTheme="minorHAnsi" w:hAnsiTheme="minorHAnsi" w:cstheme="minorBidi"/>
          <w:noProof/>
          <w:kern w:val="2"/>
          <w:sz w:val="22"/>
          <w:szCs w:val="22"/>
          <w14:ligatures w14:val="standardContextual"/>
        </w:rPr>
      </w:pPr>
      <w:hyperlink w:history="1" w:anchor="_Toc150852642">
        <w:r w:rsidRPr="00410559">
          <w:rPr>
            <w:rStyle w:val="Hyperlink"/>
            <w:noProof/>
          </w:rPr>
          <w:t>5.12.3</w:t>
        </w:r>
        <w:r>
          <w:rPr>
            <w:rFonts w:asciiTheme="minorHAnsi" w:hAnsiTheme="minorHAnsi" w:cstheme="minorBidi"/>
            <w:noProof/>
            <w:kern w:val="2"/>
            <w:sz w:val="22"/>
            <w:szCs w:val="22"/>
            <w14:ligatures w14:val="standardContextual"/>
          </w:rPr>
          <w:tab/>
        </w:r>
        <w:r w:rsidRPr="00410559">
          <w:rPr>
            <w:rStyle w:val="Hyperlink"/>
            <w:noProof/>
          </w:rPr>
          <w:t>Financial statements</w:t>
        </w:r>
        <w:r>
          <w:rPr>
            <w:noProof/>
            <w:webHidden/>
          </w:rPr>
          <w:tab/>
        </w:r>
        <w:r>
          <w:rPr>
            <w:noProof/>
            <w:webHidden/>
          </w:rPr>
          <w:fldChar w:fldCharType="begin"/>
        </w:r>
        <w:r>
          <w:rPr>
            <w:noProof/>
            <w:webHidden/>
          </w:rPr>
          <w:instrText xml:space="preserve"> PAGEREF _Toc150852642 \h </w:instrText>
        </w:r>
        <w:r>
          <w:rPr>
            <w:noProof/>
            <w:webHidden/>
          </w:rPr>
        </w:r>
        <w:r>
          <w:rPr>
            <w:noProof/>
            <w:webHidden/>
          </w:rPr>
          <w:fldChar w:fldCharType="separate"/>
        </w:r>
        <w:r>
          <w:rPr>
            <w:noProof/>
            <w:webHidden/>
          </w:rPr>
          <w:t>49</w:t>
        </w:r>
        <w:r>
          <w:rPr>
            <w:noProof/>
            <w:webHidden/>
          </w:rPr>
          <w:fldChar w:fldCharType="end"/>
        </w:r>
      </w:hyperlink>
    </w:p>
    <w:p w:rsidR="009F37AF" w:rsidRDefault="009F37AF" w14:paraId="6F4FD7F2" w14:textId="448825EB">
      <w:pPr>
        <w:pStyle w:val="TOC3"/>
        <w:rPr>
          <w:rFonts w:asciiTheme="minorHAnsi" w:hAnsiTheme="minorHAnsi" w:cstheme="minorBidi"/>
          <w:noProof/>
          <w:kern w:val="2"/>
          <w:sz w:val="22"/>
          <w:szCs w:val="22"/>
          <w14:ligatures w14:val="standardContextual"/>
        </w:rPr>
      </w:pPr>
      <w:hyperlink w:history="1" w:anchor="_Toc150852643">
        <w:r w:rsidRPr="00410559">
          <w:rPr>
            <w:rStyle w:val="Hyperlink"/>
            <w:noProof/>
          </w:rPr>
          <w:t>5.12.4</w:t>
        </w:r>
        <w:r>
          <w:rPr>
            <w:rFonts w:asciiTheme="minorHAnsi" w:hAnsiTheme="minorHAnsi" w:cstheme="minorBidi"/>
            <w:noProof/>
            <w:kern w:val="2"/>
            <w:sz w:val="22"/>
            <w:szCs w:val="22"/>
            <w14:ligatures w14:val="standardContextual"/>
          </w:rPr>
          <w:tab/>
        </w:r>
        <w:r w:rsidRPr="00410559">
          <w:rPr>
            <w:rStyle w:val="Hyperlink"/>
            <w:noProof/>
          </w:rPr>
          <w:t>Financial sustainability</w:t>
        </w:r>
        <w:r>
          <w:rPr>
            <w:noProof/>
            <w:webHidden/>
          </w:rPr>
          <w:tab/>
        </w:r>
        <w:r>
          <w:rPr>
            <w:noProof/>
            <w:webHidden/>
          </w:rPr>
          <w:fldChar w:fldCharType="begin"/>
        </w:r>
        <w:r>
          <w:rPr>
            <w:noProof/>
            <w:webHidden/>
          </w:rPr>
          <w:instrText xml:space="preserve"> PAGEREF _Toc150852643 \h </w:instrText>
        </w:r>
        <w:r>
          <w:rPr>
            <w:noProof/>
            <w:webHidden/>
          </w:rPr>
        </w:r>
        <w:r>
          <w:rPr>
            <w:noProof/>
            <w:webHidden/>
          </w:rPr>
          <w:fldChar w:fldCharType="separate"/>
        </w:r>
        <w:r>
          <w:rPr>
            <w:noProof/>
            <w:webHidden/>
          </w:rPr>
          <w:t>50</w:t>
        </w:r>
        <w:r>
          <w:rPr>
            <w:noProof/>
            <w:webHidden/>
          </w:rPr>
          <w:fldChar w:fldCharType="end"/>
        </w:r>
      </w:hyperlink>
    </w:p>
    <w:p w:rsidR="009F37AF" w:rsidRDefault="009F37AF" w14:paraId="651C4DCE" w14:textId="4D5ECA3C">
      <w:pPr>
        <w:pStyle w:val="TOC3"/>
        <w:rPr>
          <w:rFonts w:asciiTheme="minorHAnsi" w:hAnsiTheme="minorHAnsi" w:cstheme="minorBidi"/>
          <w:noProof/>
          <w:kern w:val="2"/>
          <w:sz w:val="22"/>
          <w:szCs w:val="22"/>
          <w14:ligatures w14:val="standardContextual"/>
        </w:rPr>
      </w:pPr>
      <w:hyperlink w:history="1" w:anchor="_Toc150852644">
        <w:r w:rsidRPr="00410559">
          <w:rPr>
            <w:rStyle w:val="Hyperlink"/>
            <w:noProof/>
          </w:rPr>
          <w:t>5.12.5</w:t>
        </w:r>
        <w:r>
          <w:rPr>
            <w:rFonts w:asciiTheme="minorHAnsi" w:hAnsiTheme="minorHAnsi" w:cstheme="minorBidi"/>
            <w:noProof/>
            <w:kern w:val="2"/>
            <w:sz w:val="22"/>
            <w:szCs w:val="22"/>
            <w14:ligatures w14:val="standardContextual"/>
          </w:rPr>
          <w:tab/>
        </w:r>
        <w:r w:rsidRPr="00410559">
          <w:rPr>
            <w:rStyle w:val="Hyperlink"/>
            <w:noProof/>
          </w:rPr>
          <w:t>Managerial capability</w:t>
        </w:r>
        <w:r>
          <w:rPr>
            <w:noProof/>
            <w:webHidden/>
          </w:rPr>
          <w:tab/>
        </w:r>
        <w:r>
          <w:rPr>
            <w:noProof/>
            <w:webHidden/>
          </w:rPr>
          <w:fldChar w:fldCharType="begin"/>
        </w:r>
        <w:r>
          <w:rPr>
            <w:noProof/>
            <w:webHidden/>
          </w:rPr>
          <w:instrText xml:space="preserve"> PAGEREF _Toc150852644 \h </w:instrText>
        </w:r>
        <w:r>
          <w:rPr>
            <w:noProof/>
            <w:webHidden/>
          </w:rPr>
        </w:r>
        <w:r>
          <w:rPr>
            <w:noProof/>
            <w:webHidden/>
          </w:rPr>
          <w:fldChar w:fldCharType="separate"/>
        </w:r>
        <w:r>
          <w:rPr>
            <w:noProof/>
            <w:webHidden/>
          </w:rPr>
          <w:t>51</w:t>
        </w:r>
        <w:r>
          <w:rPr>
            <w:noProof/>
            <w:webHidden/>
          </w:rPr>
          <w:fldChar w:fldCharType="end"/>
        </w:r>
      </w:hyperlink>
    </w:p>
    <w:p w:rsidR="009F37AF" w:rsidRDefault="009F37AF" w14:paraId="09E1D173" w14:textId="62AC46A4">
      <w:pPr>
        <w:pStyle w:val="TOC3"/>
        <w:rPr>
          <w:rFonts w:asciiTheme="minorHAnsi" w:hAnsiTheme="minorHAnsi" w:cstheme="minorBidi"/>
          <w:noProof/>
          <w:kern w:val="2"/>
          <w:sz w:val="22"/>
          <w:szCs w:val="22"/>
          <w14:ligatures w14:val="standardContextual"/>
        </w:rPr>
      </w:pPr>
      <w:hyperlink w:history="1" w:anchor="_Toc150852645">
        <w:r w:rsidRPr="00410559">
          <w:rPr>
            <w:rStyle w:val="Hyperlink"/>
            <w:noProof/>
          </w:rPr>
          <w:t>5.12.6</w:t>
        </w:r>
        <w:r>
          <w:rPr>
            <w:rFonts w:asciiTheme="minorHAnsi" w:hAnsiTheme="minorHAnsi" w:cstheme="minorBidi"/>
            <w:noProof/>
            <w:kern w:val="2"/>
            <w:sz w:val="22"/>
            <w:szCs w:val="22"/>
            <w14:ligatures w14:val="standardContextual"/>
          </w:rPr>
          <w:tab/>
        </w:r>
        <w:r w:rsidRPr="00410559">
          <w:rPr>
            <w:rStyle w:val="Hyperlink"/>
            <w:noProof/>
          </w:rPr>
          <w:t>Technical capabilities</w:t>
        </w:r>
        <w:r>
          <w:rPr>
            <w:noProof/>
            <w:webHidden/>
          </w:rPr>
          <w:tab/>
        </w:r>
        <w:r>
          <w:rPr>
            <w:noProof/>
            <w:webHidden/>
          </w:rPr>
          <w:fldChar w:fldCharType="begin"/>
        </w:r>
        <w:r>
          <w:rPr>
            <w:noProof/>
            <w:webHidden/>
          </w:rPr>
          <w:instrText xml:space="preserve"> PAGEREF _Toc150852645 \h </w:instrText>
        </w:r>
        <w:r>
          <w:rPr>
            <w:noProof/>
            <w:webHidden/>
          </w:rPr>
        </w:r>
        <w:r>
          <w:rPr>
            <w:noProof/>
            <w:webHidden/>
          </w:rPr>
          <w:fldChar w:fldCharType="separate"/>
        </w:r>
        <w:r>
          <w:rPr>
            <w:noProof/>
            <w:webHidden/>
          </w:rPr>
          <w:t>53</w:t>
        </w:r>
        <w:r>
          <w:rPr>
            <w:noProof/>
            <w:webHidden/>
          </w:rPr>
          <w:fldChar w:fldCharType="end"/>
        </w:r>
      </w:hyperlink>
    </w:p>
    <w:p w:rsidR="009F37AF" w:rsidRDefault="009F37AF" w14:paraId="372CD4B0" w14:textId="42CEB6D7">
      <w:pPr>
        <w:pStyle w:val="TOC3"/>
        <w:rPr>
          <w:rFonts w:asciiTheme="minorHAnsi" w:hAnsiTheme="minorHAnsi" w:cstheme="minorBidi"/>
          <w:noProof/>
          <w:kern w:val="2"/>
          <w:sz w:val="22"/>
          <w:szCs w:val="22"/>
          <w14:ligatures w14:val="standardContextual"/>
        </w:rPr>
      </w:pPr>
      <w:hyperlink w:history="1" w:anchor="_Toc150852646">
        <w:r w:rsidRPr="00410559">
          <w:rPr>
            <w:rStyle w:val="Hyperlink"/>
            <w:noProof/>
          </w:rPr>
          <w:t>5.12.7</w:t>
        </w:r>
        <w:r>
          <w:rPr>
            <w:rFonts w:asciiTheme="minorHAnsi" w:hAnsiTheme="minorHAnsi" w:cstheme="minorBidi"/>
            <w:noProof/>
            <w:kern w:val="2"/>
            <w:sz w:val="22"/>
            <w:szCs w:val="22"/>
            <w14:ligatures w14:val="standardContextual"/>
          </w:rPr>
          <w:tab/>
        </w:r>
        <w:r w:rsidRPr="00410559">
          <w:rPr>
            <w:rStyle w:val="Hyperlink"/>
            <w:noProof/>
          </w:rPr>
          <w:t>Compliance with applicable laws</w:t>
        </w:r>
        <w:r>
          <w:rPr>
            <w:noProof/>
            <w:webHidden/>
          </w:rPr>
          <w:tab/>
        </w:r>
        <w:r>
          <w:rPr>
            <w:noProof/>
            <w:webHidden/>
          </w:rPr>
          <w:fldChar w:fldCharType="begin"/>
        </w:r>
        <w:r>
          <w:rPr>
            <w:noProof/>
            <w:webHidden/>
          </w:rPr>
          <w:instrText xml:space="preserve"> PAGEREF _Toc150852646 \h </w:instrText>
        </w:r>
        <w:r>
          <w:rPr>
            <w:noProof/>
            <w:webHidden/>
          </w:rPr>
        </w:r>
        <w:r>
          <w:rPr>
            <w:noProof/>
            <w:webHidden/>
          </w:rPr>
          <w:fldChar w:fldCharType="separate"/>
        </w:r>
        <w:r>
          <w:rPr>
            <w:noProof/>
            <w:webHidden/>
          </w:rPr>
          <w:t>56</w:t>
        </w:r>
        <w:r>
          <w:rPr>
            <w:noProof/>
            <w:webHidden/>
          </w:rPr>
          <w:fldChar w:fldCharType="end"/>
        </w:r>
      </w:hyperlink>
    </w:p>
    <w:p w:rsidR="009F37AF" w:rsidRDefault="009F37AF" w14:paraId="4DE82859" w14:textId="0B347C6C">
      <w:pPr>
        <w:pStyle w:val="TOC3"/>
        <w:rPr>
          <w:rFonts w:asciiTheme="minorHAnsi" w:hAnsiTheme="minorHAnsi" w:cstheme="minorBidi"/>
          <w:noProof/>
          <w:kern w:val="2"/>
          <w:sz w:val="22"/>
          <w:szCs w:val="22"/>
          <w14:ligatures w14:val="standardContextual"/>
        </w:rPr>
      </w:pPr>
      <w:hyperlink w:history="1" w:anchor="_Toc150852647">
        <w:r w:rsidRPr="00410559">
          <w:rPr>
            <w:rStyle w:val="Hyperlink"/>
            <w:noProof/>
          </w:rPr>
          <w:t>5.12.8</w:t>
        </w:r>
        <w:r>
          <w:rPr>
            <w:rFonts w:asciiTheme="minorHAnsi" w:hAnsiTheme="minorHAnsi" w:cstheme="minorBidi"/>
            <w:noProof/>
            <w:kern w:val="2"/>
            <w:sz w:val="22"/>
            <w:szCs w:val="22"/>
            <w14:ligatures w14:val="standardContextual"/>
          </w:rPr>
          <w:tab/>
        </w:r>
        <w:r w:rsidRPr="00410559">
          <w:rPr>
            <w:rStyle w:val="Hyperlink"/>
            <w:noProof/>
          </w:rPr>
          <w:t>Operational capability</w:t>
        </w:r>
        <w:r>
          <w:rPr>
            <w:noProof/>
            <w:webHidden/>
          </w:rPr>
          <w:tab/>
        </w:r>
        <w:r>
          <w:rPr>
            <w:noProof/>
            <w:webHidden/>
          </w:rPr>
          <w:fldChar w:fldCharType="begin"/>
        </w:r>
        <w:r>
          <w:rPr>
            <w:noProof/>
            <w:webHidden/>
          </w:rPr>
          <w:instrText xml:space="preserve"> PAGEREF _Toc150852647 \h </w:instrText>
        </w:r>
        <w:r>
          <w:rPr>
            <w:noProof/>
            <w:webHidden/>
          </w:rPr>
        </w:r>
        <w:r>
          <w:rPr>
            <w:noProof/>
            <w:webHidden/>
          </w:rPr>
          <w:fldChar w:fldCharType="separate"/>
        </w:r>
        <w:r>
          <w:rPr>
            <w:noProof/>
            <w:webHidden/>
          </w:rPr>
          <w:t>58</w:t>
        </w:r>
        <w:r>
          <w:rPr>
            <w:noProof/>
            <w:webHidden/>
          </w:rPr>
          <w:fldChar w:fldCharType="end"/>
        </w:r>
      </w:hyperlink>
    </w:p>
    <w:p w:rsidR="009F37AF" w:rsidRDefault="009F37AF" w14:paraId="5E60B1F3" w14:textId="22E99578">
      <w:pPr>
        <w:pStyle w:val="TOC3"/>
        <w:rPr>
          <w:rFonts w:asciiTheme="minorHAnsi" w:hAnsiTheme="minorHAnsi" w:cstheme="minorBidi"/>
          <w:noProof/>
          <w:kern w:val="2"/>
          <w:sz w:val="22"/>
          <w:szCs w:val="22"/>
          <w14:ligatures w14:val="standardContextual"/>
        </w:rPr>
      </w:pPr>
      <w:hyperlink w:history="1" w:anchor="_Toc150852648">
        <w:r w:rsidRPr="00410559">
          <w:rPr>
            <w:rStyle w:val="Hyperlink"/>
            <w:noProof/>
          </w:rPr>
          <w:t>5.12.9</w:t>
        </w:r>
        <w:r>
          <w:rPr>
            <w:rFonts w:asciiTheme="minorHAnsi" w:hAnsiTheme="minorHAnsi" w:cstheme="minorBidi"/>
            <w:noProof/>
            <w:kern w:val="2"/>
            <w:sz w:val="22"/>
            <w:szCs w:val="22"/>
            <w14:ligatures w14:val="standardContextual"/>
          </w:rPr>
          <w:tab/>
        </w:r>
        <w:r w:rsidRPr="00410559">
          <w:rPr>
            <w:rStyle w:val="Hyperlink"/>
            <w:noProof/>
          </w:rPr>
          <w:t>Ownership information</w:t>
        </w:r>
        <w:r>
          <w:rPr>
            <w:noProof/>
            <w:webHidden/>
          </w:rPr>
          <w:tab/>
        </w:r>
        <w:r>
          <w:rPr>
            <w:noProof/>
            <w:webHidden/>
          </w:rPr>
          <w:fldChar w:fldCharType="begin"/>
        </w:r>
        <w:r>
          <w:rPr>
            <w:noProof/>
            <w:webHidden/>
          </w:rPr>
          <w:instrText xml:space="preserve"> PAGEREF _Toc150852648 \h </w:instrText>
        </w:r>
        <w:r>
          <w:rPr>
            <w:noProof/>
            <w:webHidden/>
          </w:rPr>
        </w:r>
        <w:r>
          <w:rPr>
            <w:noProof/>
            <w:webHidden/>
          </w:rPr>
          <w:fldChar w:fldCharType="separate"/>
        </w:r>
        <w:r>
          <w:rPr>
            <w:noProof/>
            <w:webHidden/>
          </w:rPr>
          <w:t>59</w:t>
        </w:r>
        <w:r>
          <w:rPr>
            <w:noProof/>
            <w:webHidden/>
          </w:rPr>
          <w:fldChar w:fldCharType="end"/>
        </w:r>
      </w:hyperlink>
    </w:p>
    <w:p w:rsidR="009F37AF" w:rsidRDefault="009F37AF" w14:paraId="3E97AC64" w14:textId="388C33E9">
      <w:pPr>
        <w:pStyle w:val="TOC3"/>
        <w:rPr>
          <w:rFonts w:asciiTheme="minorHAnsi" w:hAnsiTheme="minorHAnsi" w:cstheme="minorBidi"/>
          <w:noProof/>
          <w:kern w:val="2"/>
          <w:sz w:val="22"/>
          <w:szCs w:val="22"/>
          <w14:ligatures w14:val="standardContextual"/>
        </w:rPr>
      </w:pPr>
      <w:hyperlink w:history="1" w:anchor="_Toc150852649">
        <w:r w:rsidRPr="00410559">
          <w:rPr>
            <w:rStyle w:val="Hyperlink"/>
            <w:noProof/>
          </w:rPr>
          <w:t>5.12.10</w:t>
        </w:r>
        <w:r>
          <w:rPr>
            <w:rFonts w:asciiTheme="minorHAnsi" w:hAnsiTheme="minorHAnsi" w:cstheme="minorBidi"/>
            <w:noProof/>
            <w:kern w:val="2"/>
            <w:sz w:val="22"/>
            <w:szCs w:val="22"/>
            <w14:ligatures w14:val="standardContextual"/>
          </w:rPr>
          <w:tab/>
        </w:r>
        <w:r w:rsidRPr="00410559">
          <w:rPr>
            <w:rStyle w:val="Hyperlink"/>
            <w:noProof/>
          </w:rPr>
          <w:t>Information on other public funding</w:t>
        </w:r>
        <w:r>
          <w:rPr>
            <w:noProof/>
            <w:webHidden/>
          </w:rPr>
          <w:tab/>
        </w:r>
        <w:r>
          <w:rPr>
            <w:noProof/>
            <w:webHidden/>
          </w:rPr>
          <w:fldChar w:fldCharType="begin"/>
        </w:r>
        <w:r>
          <w:rPr>
            <w:noProof/>
            <w:webHidden/>
          </w:rPr>
          <w:instrText xml:space="preserve"> PAGEREF _Toc150852649 \h </w:instrText>
        </w:r>
        <w:r>
          <w:rPr>
            <w:noProof/>
            <w:webHidden/>
          </w:rPr>
        </w:r>
        <w:r>
          <w:rPr>
            <w:noProof/>
            <w:webHidden/>
          </w:rPr>
          <w:fldChar w:fldCharType="separate"/>
        </w:r>
        <w:r>
          <w:rPr>
            <w:noProof/>
            <w:webHidden/>
          </w:rPr>
          <w:t>60</w:t>
        </w:r>
        <w:r>
          <w:rPr>
            <w:noProof/>
            <w:webHidden/>
          </w:rPr>
          <w:fldChar w:fldCharType="end"/>
        </w:r>
      </w:hyperlink>
    </w:p>
    <w:p w:rsidR="009F37AF" w:rsidRDefault="009F37AF" w14:paraId="5BBD4E7F" w14:textId="6352B23B">
      <w:pPr>
        <w:pStyle w:val="TOC1"/>
        <w:rPr>
          <w:rFonts w:asciiTheme="minorHAnsi" w:hAnsiTheme="minorHAnsi" w:cstheme="minorBidi"/>
          <w:b w:val="0"/>
          <w:bCs w:val="0"/>
          <w:noProof/>
          <w:kern w:val="2"/>
          <w:sz w:val="22"/>
          <w:szCs w:val="22"/>
          <w14:ligatures w14:val="standardContextual"/>
        </w:rPr>
      </w:pPr>
      <w:hyperlink w:history="1" w:anchor="_Toc150852650">
        <w:r w:rsidRPr="00410559">
          <w:rPr>
            <w:rStyle w:val="Hyperlink"/>
            <w:noProof/>
          </w:rPr>
          <w:t>6.</w:t>
        </w:r>
        <w:r>
          <w:rPr>
            <w:rFonts w:asciiTheme="minorHAnsi" w:hAnsiTheme="minorHAnsi" w:cstheme="minorBidi"/>
            <w:b w:val="0"/>
            <w:bCs w:val="0"/>
            <w:noProof/>
            <w:kern w:val="2"/>
            <w:sz w:val="22"/>
            <w:szCs w:val="22"/>
            <w14:ligatures w14:val="standardContextual"/>
          </w:rPr>
          <w:tab/>
        </w:r>
        <w:r w:rsidRPr="00410559">
          <w:rPr>
            <w:rStyle w:val="Hyperlink"/>
            <w:noProof/>
          </w:rPr>
          <w:t>Non-deployment subgrantee selection (Requirement 9)</w:t>
        </w:r>
        <w:r>
          <w:rPr>
            <w:noProof/>
            <w:webHidden/>
          </w:rPr>
          <w:tab/>
        </w:r>
        <w:r>
          <w:rPr>
            <w:noProof/>
            <w:webHidden/>
          </w:rPr>
          <w:fldChar w:fldCharType="begin"/>
        </w:r>
        <w:r>
          <w:rPr>
            <w:noProof/>
            <w:webHidden/>
          </w:rPr>
          <w:instrText xml:space="preserve"> PAGEREF _Toc150852650 \h </w:instrText>
        </w:r>
        <w:r>
          <w:rPr>
            <w:noProof/>
            <w:webHidden/>
          </w:rPr>
        </w:r>
        <w:r>
          <w:rPr>
            <w:noProof/>
            <w:webHidden/>
          </w:rPr>
          <w:fldChar w:fldCharType="separate"/>
        </w:r>
        <w:r>
          <w:rPr>
            <w:noProof/>
            <w:webHidden/>
          </w:rPr>
          <w:t>62</w:t>
        </w:r>
        <w:r>
          <w:rPr>
            <w:noProof/>
            <w:webHidden/>
          </w:rPr>
          <w:fldChar w:fldCharType="end"/>
        </w:r>
      </w:hyperlink>
    </w:p>
    <w:p w:rsidR="009F37AF" w:rsidRDefault="009F37AF" w14:paraId="087933A2" w14:textId="0FBCE851">
      <w:pPr>
        <w:pStyle w:val="TOC1"/>
        <w:rPr>
          <w:rFonts w:asciiTheme="minorHAnsi" w:hAnsiTheme="minorHAnsi" w:cstheme="minorBidi"/>
          <w:b w:val="0"/>
          <w:bCs w:val="0"/>
          <w:noProof/>
          <w:kern w:val="2"/>
          <w:sz w:val="22"/>
          <w:szCs w:val="22"/>
          <w14:ligatures w14:val="standardContextual"/>
        </w:rPr>
      </w:pPr>
      <w:hyperlink w:history="1" w:anchor="_Toc150852651">
        <w:r w:rsidRPr="00410559">
          <w:rPr>
            <w:rStyle w:val="Hyperlink"/>
            <w:noProof/>
          </w:rPr>
          <w:t>7.</w:t>
        </w:r>
        <w:r>
          <w:rPr>
            <w:rFonts w:asciiTheme="minorHAnsi" w:hAnsiTheme="minorHAnsi" w:cstheme="minorBidi"/>
            <w:b w:val="0"/>
            <w:bCs w:val="0"/>
            <w:noProof/>
            <w:kern w:val="2"/>
            <w:sz w:val="22"/>
            <w:szCs w:val="22"/>
            <w14:ligatures w14:val="standardContextual"/>
          </w:rPr>
          <w:tab/>
        </w:r>
        <w:r w:rsidRPr="00410559">
          <w:rPr>
            <w:rStyle w:val="Hyperlink"/>
            <w:noProof/>
          </w:rPr>
          <w:t>Eligible Entity implementation activities (Requirement 10)</w:t>
        </w:r>
        <w:r>
          <w:rPr>
            <w:noProof/>
            <w:webHidden/>
          </w:rPr>
          <w:tab/>
        </w:r>
        <w:r>
          <w:rPr>
            <w:noProof/>
            <w:webHidden/>
          </w:rPr>
          <w:fldChar w:fldCharType="begin"/>
        </w:r>
        <w:r>
          <w:rPr>
            <w:noProof/>
            <w:webHidden/>
          </w:rPr>
          <w:instrText xml:space="preserve"> PAGEREF _Toc150852651 \h </w:instrText>
        </w:r>
        <w:r>
          <w:rPr>
            <w:noProof/>
            <w:webHidden/>
          </w:rPr>
        </w:r>
        <w:r>
          <w:rPr>
            <w:noProof/>
            <w:webHidden/>
          </w:rPr>
          <w:fldChar w:fldCharType="separate"/>
        </w:r>
        <w:r>
          <w:rPr>
            <w:noProof/>
            <w:webHidden/>
          </w:rPr>
          <w:t>64</w:t>
        </w:r>
        <w:r>
          <w:rPr>
            <w:noProof/>
            <w:webHidden/>
          </w:rPr>
          <w:fldChar w:fldCharType="end"/>
        </w:r>
      </w:hyperlink>
    </w:p>
    <w:p w:rsidR="009F37AF" w:rsidRDefault="009F37AF" w14:paraId="2CBE8AFF" w14:textId="58366EFC">
      <w:pPr>
        <w:pStyle w:val="TOC1"/>
        <w:rPr>
          <w:rFonts w:asciiTheme="minorHAnsi" w:hAnsiTheme="minorHAnsi" w:cstheme="minorBidi"/>
          <w:b w:val="0"/>
          <w:bCs w:val="0"/>
          <w:noProof/>
          <w:kern w:val="2"/>
          <w:sz w:val="22"/>
          <w:szCs w:val="22"/>
          <w14:ligatures w14:val="standardContextual"/>
        </w:rPr>
      </w:pPr>
      <w:hyperlink w:history="1" w:anchor="_Toc150852652">
        <w:r w:rsidRPr="00410559">
          <w:rPr>
            <w:rStyle w:val="Hyperlink"/>
            <w:noProof/>
          </w:rPr>
          <w:t>8.</w:t>
        </w:r>
        <w:r>
          <w:rPr>
            <w:rFonts w:asciiTheme="minorHAnsi" w:hAnsiTheme="minorHAnsi" w:cstheme="minorBidi"/>
            <w:b w:val="0"/>
            <w:bCs w:val="0"/>
            <w:noProof/>
            <w:kern w:val="2"/>
            <w:sz w:val="22"/>
            <w:szCs w:val="22"/>
            <w14:ligatures w14:val="standardContextual"/>
          </w:rPr>
          <w:tab/>
        </w:r>
        <w:r w:rsidRPr="00410559">
          <w:rPr>
            <w:rStyle w:val="Hyperlink"/>
            <w:noProof/>
          </w:rPr>
          <w:t>Labor standards and protection (Requirement 11)</w:t>
        </w:r>
        <w:r>
          <w:rPr>
            <w:noProof/>
            <w:webHidden/>
          </w:rPr>
          <w:tab/>
        </w:r>
        <w:r>
          <w:rPr>
            <w:noProof/>
            <w:webHidden/>
          </w:rPr>
          <w:fldChar w:fldCharType="begin"/>
        </w:r>
        <w:r>
          <w:rPr>
            <w:noProof/>
            <w:webHidden/>
          </w:rPr>
          <w:instrText xml:space="preserve"> PAGEREF _Toc150852652 \h </w:instrText>
        </w:r>
        <w:r>
          <w:rPr>
            <w:noProof/>
            <w:webHidden/>
          </w:rPr>
        </w:r>
        <w:r>
          <w:rPr>
            <w:noProof/>
            <w:webHidden/>
          </w:rPr>
          <w:fldChar w:fldCharType="separate"/>
        </w:r>
        <w:r>
          <w:rPr>
            <w:noProof/>
            <w:webHidden/>
          </w:rPr>
          <w:t>65</w:t>
        </w:r>
        <w:r>
          <w:rPr>
            <w:noProof/>
            <w:webHidden/>
          </w:rPr>
          <w:fldChar w:fldCharType="end"/>
        </w:r>
      </w:hyperlink>
    </w:p>
    <w:p w:rsidR="009F37AF" w:rsidRDefault="009F37AF" w14:paraId="24E71482" w14:textId="31D6DA3D">
      <w:pPr>
        <w:pStyle w:val="TOC2"/>
        <w:rPr>
          <w:rFonts w:asciiTheme="minorHAnsi" w:hAnsiTheme="minorHAnsi" w:cstheme="minorBidi"/>
          <w:i w:val="0"/>
          <w:iCs w:val="0"/>
          <w:noProof/>
          <w:kern w:val="2"/>
          <w:sz w:val="22"/>
          <w:szCs w:val="22"/>
          <w14:ligatures w14:val="standardContextual"/>
        </w:rPr>
      </w:pPr>
      <w:hyperlink w:history="1" w:anchor="_Toc150852653">
        <w:r w:rsidRPr="00410559">
          <w:rPr>
            <w:rStyle w:val="Hyperlink"/>
            <w:noProof/>
          </w:rPr>
          <w:t>8.1</w:t>
        </w:r>
        <w:r>
          <w:rPr>
            <w:rFonts w:asciiTheme="minorHAnsi" w:hAnsiTheme="minorHAnsi" w:cstheme="minorBidi"/>
            <w:i w:val="0"/>
            <w:iCs w:val="0"/>
            <w:noProof/>
            <w:kern w:val="2"/>
            <w:sz w:val="22"/>
            <w:szCs w:val="22"/>
            <w14:ligatures w14:val="standardContextual"/>
          </w:rPr>
          <w:tab/>
        </w:r>
        <w:r w:rsidRPr="00410559">
          <w:rPr>
            <w:rStyle w:val="Hyperlink"/>
            <w:noProof/>
          </w:rPr>
          <w:t>Specific information that prospective subgrantees will be required to provide in their applications and how ADECA will weigh that information in its competitive subgrantee selection processes</w:t>
        </w:r>
        <w:r>
          <w:rPr>
            <w:noProof/>
            <w:webHidden/>
          </w:rPr>
          <w:tab/>
        </w:r>
        <w:r>
          <w:rPr>
            <w:noProof/>
            <w:webHidden/>
          </w:rPr>
          <w:fldChar w:fldCharType="begin"/>
        </w:r>
        <w:r>
          <w:rPr>
            <w:noProof/>
            <w:webHidden/>
          </w:rPr>
          <w:instrText xml:space="preserve"> PAGEREF _Toc150852653 \h </w:instrText>
        </w:r>
        <w:r>
          <w:rPr>
            <w:noProof/>
            <w:webHidden/>
          </w:rPr>
        </w:r>
        <w:r>
          <w:rPr>
            <w:noProof/>
            <w:webHidden/>
          </w:rPr>
          <w:fldChar w:fldCharType="separate"/>
        </w:r>
        <w:r>
          <w:rPr>
            <w:noProof/>
            <w:webHidden/>
          </w:rPr>
          <w:t>65</w:t>
        </w:r>
        <w:r>
          <w:rPr>
            <w:noProof/>
            <w:webHidden/>
          </w:rPr>
          <w:fldChar w:fldCharType="end"/>
        </w:r>
      </w:hyperlink>
    </w:p>
    <w:p w:rsidR="009F37AF" w:rsidRDefault="009F37AF" w14:paraId="500A77B9" w14:textId="52E303F0">
      <w:pPr>
        <w:pStyle w:val="TOC2"/>
        <w:rPr>
          <w:rFonts w:asciiTheme="minorHAnsi" w:hAnsiTheme="minorHAnsi" w:cstheme="minorBidi"/>
          <w:i w:val="0"/>
          <w:iCs w:val="0"/>
          <w:noProof/>
          <w:kern w:val="2"/>
          <w:sz w:val="22"/>
          <w:szCs w:val="22"/>
          <w14:ligatures w14:val="standardContextual"/>
        </w:rPr>
      </w:pPr>
      <w:hyperlink w:history="1" w:anchor="_Toc150852654">
        <w:r w:rsidRPr="00410559">
          <w:rPr>
            <w:rStyle w:val="Hyperlink"/>
            <w:noProof/>
          </w:rPr>
          <w:t>8.2</w:t>
        </w:r>
        <w:r>
          <w:rPr>
            <w:rFonts w:asciiTheme="minorHAnsi" w:hAnsiTheme="minorHAnsi" w:cstheme="minorBidi"/>
            <w:i w:val="0"/>
            <w:iCs w:val="0"/>
            <w:noProof/>
            <w:kern w:val="2"/>
            <w:sz w:val="22"/>
            <w:szCs w:val="22"/>
            <w14:ligatures w14:val="standardContextual"/>
          </w:rPr>
          <w:tab/>
        </w:r>
        <w:r w:rsidRPr="00410559">
          <w:rPr>
            <w:rStyle w:val="Hyperlink"/>
            <w:noProof/>
          </w:rPr>
          <w:t>Binding legal commitments in subgrants related to labor standards and protections</w:t>
        </w:r>
        <w:r>
          <w:rPr>
            <w:noProof/>
            <w:webHidden/>
          </w:rPr>
          <w:tab/>
        </w:r>
        <w:r>
          <w:rPr>
            <w:noProof/>
            <w:webHidden/>
          </w:rPr>
          <w:fldChar w:fldCharType="begin"/>
        </w:r>
        <w:r>
          <w:rPr>
            <w:noProof/>
            <w:webHidden/>
          </w:rPr>
          <w:instrText xml:space="preserve"> PAGEREF _Toc150852654 \h </w:instrText>
        </w:r>
        <w:r>
          <w:rPr>
            <w:noProof/>
            <w:webHidden/>
          </w:rPr>
        </w:r>
        <w:r>
          <w:rPr>
            <w:noProof/>
            <w:webHidden/>
          </w:rPr>
          <w:fldChar w:fldCharType="separate"/>
        </w:r>
        <w:r>
          <w:rPr>
            <w:noProof/>
            <w:webHidden/>
          </w:rPr>
          <w:t>66</w:t>
        </w:r>
        <w:r>
          <w:rPr>
            <w:noProof/>
            <w:webHidden/>
          </w:rPr>
          <w:fldChar w:fldCharType="end"/>
        </w:r>
      </w:hyperlink>
    </w:p>
    <w:p w:rsidR="009F37AF" w:rsidRDefault="009F37AF" w14:paraId="3C9FCC66" w14:textId="0CF0CBBA">
      <w:pPr>
        <w:pStyle w:val="TOC1"/>
        <w:rPr>
          <w:rFonts w:asciiTheme="minorHAnsi" w:hAnsiTheme="minorHAnsi" w:cstheme="minorBidi"/>
          <w:b w:val="0"/>
          <w:bCs w:val="0"/>
          <w:noProof/>
          <w:kern w:val="2"/>
          <w:sz w:val="22"/>
          <w:szCs w:val="22"/>
          <w14:ligatures w14:val="standardContextual"/>
        </w:rPr>
      </w:pPr>
      <w:hyperlink w:history="1" w:anchor="_Toc150852655">
        <w:r w:rsidRPr="00410559">
          <w:rPr>
            <w:rStyle w:val="Hyperlink"/>
            <w:noProof/>
          </w:rPr>
          <w:t>9.</w:t>
        </w:r>
        <w:r>
          <w:rPr>
            <w:rFonts w:asciiTheme="minorHAnsi" w:hAnsiTheme="minorHAnsi" w:cstheme="minorBidi"/>
            <w:b w:val="0"/>
            <w:bCs w:val="0"/>
            <w:noProof/>
            <w:kern w:val="2"/>
            <w:sz w:val="22"/>
            <w:szCs w:val="22"/>
            <w14:ligatures w14:val="standardContextual"/>
          </w:rPr>
          <w:tab/>
        </w:r>
        <w:r w:rsidRPr="00410559">
          <w:rPr>
            <w:rStyle w:val="Hyperlink"/>
            <w:noProof/>
          </w:rPr>
          <w:t>Workforce readiness (Requirement 12)</w:t>
        </w:r>
        <w:r>
          <w:rPr>
            <w:noProof/>
            <w:webHidden/>
          </w:rPr>
          <w:tab/>
        </w:r>
        <w:r>
          <w:rPr>
            <w:noProof/>
            <w:webHidden/>
          </w:rPr>
          <w:fldChar w:fldCharType="begin"/>
        </w:r>
        <w:r>
          <w:rPr>
            <w:noProof/>
            <w:webHidden/>
          </w:rPr>
          <w:instrText xml:space="preserve"> PAGEREF _Toc150852655 \h </w:instrText>
        </w:r>
        <w:r>
          <w:rPr>
            <w:noProof/>
            <w:webHidden/>
          </w:rPr>
        </w:r>
        <w:r>
          <w:rPr>
            <w:noProof/>
            <w:webHidden/>
          </w:rPr>
          <w:fldChar w:fldCharType="separate"/>
        </w:r>
        <w:r>
          <w:rPr>
            <w:noProof/>
            <w:webHidden/>
          </w:rPr>
          <w:t>68</w:t>
        </w:r>
        <w:r>
          <w:rPr>
            <w:noProof/>
            <w:webHidden/>
          </w:rPr>
          <w:fldChar w:fldCharType="end"/>
        </w:r>
      </w:hyperlink>
    </w:p>
    <w:p w:rsidR="009F37AF" w:rsidRDefault="009F37AF" w14:paraId="597136E0" w14:textId="5583A6F6">
      <w:pPr>
        <w:pStyle w:val="TOC2"/>
        <w:rPr>
          <w:rFonts w:asciiTheme="minorHAnsi" w:hAnsiTheme="minorHAnsi" w:cstheme="minorBidi"/>
          <w:i w:val="0"/>
          <w:iCs w:val="0"/>
          <w:noProof/>
          <w:kern w:val="2"/>
          <w:sz w:val="22"/>
          <w:szCs w:val="22"/>
          <w14:ligatures w14:val="standardContextual"/>
        </w:rPr>
      </w:pPr>
      <w:hyperlink w:history="1" w:anchor="_Toc150852656">
        <w:r w:rsidRPr="00410559">
          <w:rPr>
            <w:rStyle w:val="Hyperlink"/>
            <w:noProof/>
          </w:rPr>
          <w:t>9.1</w:t>
        </w:r>
        <w:r>
          <w:rPr>
            <w:rFonts w:asciiTheme="minorHAnsi" w:hAnsiTheme="minorHAnsi" w:cstheme="minorBidi"/>
            <w:i w:val="0"/>
            <w:iCs w:val="0"/>
            <w:noProof/>
            <w:kern w:val="2"/>
            <w:sz w:val="22"/>
            <w:szCs w:val="22"/>
            <w14:ligatures w14:val="standardContextual"/>
          </w:rPr>
          <w:tab/>
        </w:r>
        <w:r w:rsidRPr="00410559">
          <w:rPr>
            <w:rStyle w:val="Hyperlink"/>
            <w:noProof/>
          </w:rPr>
          <w:t>Establishing a baseline for the broadband construction sector in Alabama</w:t>
        </w:r>
        <w:r>
          <w:rPr>
            <w:noProof/>
            <w:webHidden/>
          </w:rPr>
          <w:tab/>
        </w:r>
        <w:r>
          <w:rPr>
            <w:noProof/>
            <w:webHidden/>
          </w:rPr>
          <w:fldChar w:fldCharType="begin"/>
        </w:r>
        <w:r>
          <w:rPr>
            <w:noProof/>
            <w:webHidden/>
          </w:rPr>
          <w:instrText xml:space="preserve"> PAGEREF _Toc150852656 \h </w:instrText>
        </w:r>
        <w:r>
          <w:rPr>
            <w:noProof/>
            <w:webHidden/>
          </w:rPr>
        </w:r>
        <w:r>
          <w:rPr>
            <w:noProof/>
            <w:webHidden/>
          </w:rPr>
          <w:fldChar w:fldCharType="separate"/>
        </w:r>
        <w:r>
          <w:rPr>
            <w:noProof/>
            <w:webHidden/>
          </w:rPr>
          <w:t>68</w:t>
        </w:r>
        <w:r>
          <w:rPr>
            <w:noProof/>
            <w:webHidden/>
          </w:rPr>
          <w:fldChar w:fldCharType="end"/>
        </w:r>
      </w:hyperlink>
    </w:p>
    <w:p w:rsidR="009F37AF" w:rsidRDefault="009F37AF" w14:paraId="675316B3" w14:textId="380554CC">
      <w:pPr>
        <w:pStyle w:val="TOC2"/>
        <w:rPr>
          <w:rFonts w:asciiTheme="minorHAnsi" w:hAnsiTheme="minorHAnsi" w:cstheme="minorBidi"/>
          <w:i w:val="0"/>
          <w:iCs w:val="0"/>
          <w:noProof/>
          <w:kern w:val="2"/>
          <w:sz w:val="22"/>
          <w:szCs w:val="22"/>
          <w14:ligatures w14:val="standardContextual"/>
        </w:rPr>
      </w:pPr>
      <w:hyperlink w:history="1" w:anchor="_Toc150852657">
        <w:r w:rsidRPr="00410559">
          <w:rPr>
            <w:rStyle w:val="Hyperlink"/>
            <w:noProof/>
          </w:rPr>
          <w:t>9.2</w:t>
        </w:r>
        <w:r>
          <w:rPr>
            <w:rFonts w:asciiTheme="minorHAnsi" w:hAnsiTheme="minorHAnsi" w:cstheme="minorBidi"/>
            <w:i w:val="0"/>
            <w:iCs w:val="0"/>
            <w:noProof/>
            <w:kern w:val="2"/>
            <w:sz w:val="22"/>
            <w:szCs w:val="22"/>
            <w14:ligatures w14:val="standardContextual"/>
          </w:rPr>
          <w:tab/>
        </w:r>
        <w:r w:rsidRPr="00410559">
          <w:rPr>
            <w:rStyle w:val="Hyperlink"/>
            <w:noProof/>
          </w:rPr>
          <w:t>Estimating the impact of BEAD on broadband construction jobs</w:t>
        </w:r>
        <w:r>
          <w:rPr>
            <w:noProof/>
            <w:webHidden/>
          </w:rPr>
          <w:tab/>
        </w:r>
        <w:r>
          <w:rPr>
            <w:noProof/>
            <w:webHidden/>
          </w:rPr>
          <w:fldChar w:fldCharType="begin"/>
        </w:r>
        <w:r>
          <w:rPr>
            <w:noProof/>
            <w:webHidden/>
          </w:rPr>
          <w:instrText xml:space="preserve"> PAGEREF _Toc150852657 \h </w:instrText>
        </w:r>
        <w:r>
          <w:rPr>
            <w:noProof/>
            <w:webHidden/>
          </w:rPr>
        </w:r>
        <w:r>
          <w:rPr>
            <w:noProof/>
            <w:webHidden/>
          </w:rPr>
          <w:fldChar w:fldCharType="separate"/>
        </w:r>
        <w:r>
          <w:rPr>
            <w:noProof/>
            <w:webHidden/>
          </w:rPr>
          <w:t>70</w:t>
        </w:r>
        <w:r>
          <w:rPr>
            <w:noProof/>
            <w:webHidden/>
          </w:rPr>
          <w:fldChar w:fldCharType="end"/>
        </w:r>
      </w:hyperlink>
    </w:p>
    <w:p w:rsidR="009F37AF" w:rsidRDefault="009F37AF" w14:paraId="799ABD5F" w14:textId="1852D62F">
      <w:pPr>
        <w:pStyle w:val="TOC3"/>
        <w:rPr>
          <w:rFonts w:asciiTheme="minorHAnsi" w:hAnsiTheme="minorHAnsi" w:cstheme="minorBidi"/>
          <w:noProof/>
          <w:kern w:val="2"/>
          <w:sz w:val="22"/>
          <w:szCs w:val="22"/>
          <w14:ligatures w14:val="standardContextual"/>
        </w:rPr>
      </w:pPr>
      <w:hyperlink w:history="1" w:anchor="_Toc150852658">
        <w:r w:rsidRPr="00410559">
          <w:rPr>
            <w:rStyle w:val="Hyperlink"/>
            <w:noProof/>
          </w:rPr>
          <w:t>9.2.1</w:t>
        </w:r>
        <w:r>
          <w:rPr>
            <w:rFonts w:asciiTheme="minorHAnsi" w:hAnsiTheme="minorHAnsi" w:cstheme="minorBidi"/>
            <w:noProof/>
            <w:kern w:val="2"/>
            <w:sz w:val="22"/>
            <w:szCs w:val="22"/>
            <w14:ligatures w14:val="standardContextual"/>
          </w:rPr>
          <w:tab/>
        </w:r>
        <w:r w:rsidRPr="00410559">
          <w:rPr>
            <w:rStyle w:val="Hyperlink"/>
            <w:noProof/>
          </w:rPr>
          <w:t>Broadband construction spending will require Alabama to grow the broadband construction workforce by over 1,700 jobs</w:t>
        </w:r>
        <w:r>
          <w:rPr>
            <w:noProof/>
            <w:webHidden/>
          </w:rPr>
          <w:tab/>
        </w:r>
        <w:r>
          <w:rPr>
            <w:noProof/>
            <w:webHidden/>
          </w:rPr>
          <w:fldChar w:fldCharType="begin"/>
        </w:r>
        <w:r>
          <w:rPr>
            <w:noProof/>
            <w:webHidden/>
          </w:rPr>
          <w:instrText xml:space="preserve"> PAGEREF _Toc150852658 \h </w:instrText>
        </w:r>
        <w:r>
          <w:rPr>
            <w:noProof/>
            <w:webHidden/>
          </w:rPr>
        </w:r>
        <w:r>
          <w:rPr>
            <w:noProof/>
            <w:webHidden/>
          </w:rPr>
          <w:fldChar w:fldCharType="separate"/>
        </w:r>
        <w:r>
          <w:rPr>
            <w:noProof/>
            <w:webHidden/>
          </w:rPr>
          <w:t>71</w:t>
        </w:r>
        <w:r>
          <w:rPr>
            <w:noProof/>
            <w:webHidden/>
          </w:rPr>
          <w:fldChar w:fldCharType="end"/>
        </w:r>
      </w:hyperlink>
    </w:p>
    <w:p w:rsidR="009F37AF" w:rsidRDefault="009F37AF" w14:paraId="405FD861" w14:textId="6D07026A">
      <w:pPr>
        <w:pStyle w:val="TOC3"/>
        <w:rPr>
          <w:rFonts w:asciiTheme="minorHAnsi" w:hAnsiTheme="minorHAnsi" w:cstheme="minorBidi"/>
          <w:noProof/>
          <w:kern w:val="2"/>
          <w:sz w:val="22"/>
          <w:szCs w:val="22"/>
          <w14:ligatures w14:val="standardContextual"/>
        </w:rPr>
      </w:pPr>
      <w:hyperlink w:history="1" w:anchor="_Toc150852659">
        <w:r w:rsidRPr="00410559">
          <w:rPr>
            <w:rStyle w:val="Hyperlink"/>
            <w:noProof/>
          </w:rPr>
          <w:t>9.2.2</w:t>
        </w:r>
        <w:r>
          <w:rPr>
            <w:rFonts w:asciiTheme="minorHAnsi" w:hAnsiTheme="minorHAnsi" w:cstheme="minorBidi"/>
            <w:noProof/>
            <w:kern w:val="2"/>
            <w:sz w:val="22"/>
            <w:szCs w:val="22"/>
            <w14:ligatures w14:val="standardContextual"/>
          </w:rPr>
          <w:tab/>
        </w:r>
        <w:r w:rsidRPr="00410559">
          <w:rPr>
            <w:rStyle w:val="Hyperlink"/>
            <w:noProof/>
          </w:rPr>
          <w:t>Characteristics of key workforce categories</w:t>
        </w:r>
        <w:r>
          <w:rPr>
            <w:noProof/>
            <w:webHidden/>
          </w:rPr>
          <w:tab/>
        </w:r>
        <w:r>
          <w:rPr>
            <w:noProof/>
            <w:webHidden/>
          </w:rPr>
          <w:fldChar w:fldCharType="begin"/>
        </w:r>
        <w:r>
          <w:rPr>
            <w:noProof/>
            <w:webHidden/>
          </w:rPr>
          <w:instrText xml:space="preserve"> PAGEREF _Toc150852659 \h </w:instrText>
        </w:r>
        <w:r>
          <w:rPr>
            <w:noProof/>
            <w:webHidden/>
          </w:rPr>
        </w:r>
        <w:r>
          <w:rPr>
            <w:noProof/>
            <w:webHidden/>
          </w:rPr>
          <w:fldChar w:fldCharType="separate"/>
        </w:r>
        <w:r>
          <w:rPr>
            <w:noProof/>
            <w:webHidden/>
          </w:rPr>
          <w:t>73</w:t>
        </w:r>
        <w:r>
          <w:rPr>
            <w:noProof/>
            <w:webHidden/>
          </w:rPr>
          <w:fldChar w:fldCharType="end"/>
        </w:r>
      </w:hyperlink>
    </w:p>
    <w:p w:rsidR="009F37AF" w:rsidRDefault="009F37AF" w14:paraId="37FCC640" w14:textId="7EF0350C">
      <w:pPr>
        <w:pStyle w:val="TOC3"/>
        <w:rPr>
          <w:rFonts w:asciiTheme="minorHAnsi" w:hAnsiTheme="minorHAnsi" w:cstheme="minorBidi"/>
          <w:noProof/>
          <w:kern w:val="2"/>
          <w:sz w:val="22"/>
          <w:szCs w:val="22"/>
          <w14:ligatures w14:val="standardContextual"/>
        </w:rPr>
      </w:pPr>
      <w:hyperlink w:history="1" w:anchor="_Toc150852660">
        <w:r w:rsidRPr="00410559">
          <w:rPr>
            <w:rStyle w:val="Hyperlink"/>
            <w:noProof/>
          </w:rPr>
          <w:t>9.2.3</w:t>
        </w:r>
        <w:r>
          <w:rPr>
            <w:rFonts w:asciiTheme="minorHAnsi" w:hAnsiTheme="minorHAnsi" w:cstheme="minorBidi"/>
            <w:noProof/>
            <w:kern w:val="2"/>
            <w:sz w:val="22"/>
            <w:szCs w:val="22"/>
            <w14:ligatures w14:val="standardContextual"/>
          </w:rPr>
          <w:tab/>
        </w:r>
        <w:r w:rsidRPr="00410559">
          <w:rPr>
            <w:rStyle w:val="Hyperlink"/>
            <w:noProof/>
          </w:rPr>
          <w:t>Workforce qualification requirements</w:t>
        </w:r>
        <w:r>
          <w:rPr>
            <w:noProof/>
            <w:webHidden/>
          </w:rPr>
          <w:tab/>
        </w:r>
        <w:r>
          <w:rPr>
            <w:noProof/>
            <w:webHidden/>
          </w:rPr>
          <w:fldChar w:fldCharType="begin"/>
        </w:r>
        <w:r>
          <w:rPr>
            <w:noProof/>
            <w:webHidden/>
          </w:rPr>
          <w:instrText xml:space="preserve"> PAGEREF _Toc150852660 \h </w:instrText>
        </w:r>
        <w:r>
          <w:rPr>
            <w:noProof/>
            <w:webHidden/>
          </w:rPr>
        </w:r>
        <w:r>
          <w:rPr>
            <w:noProof/>
            <w:webHidden/>
          </w:rPr>
          <w:fldChar w:fldCharType="separate"/>
        </w:r>
        <w:r>
          <w:rPr>
            <w:noProof/>
            <w:webHidden/>
          </w:rPr>
          <w:t>75</w:t>
        </w:r>
        <w:r>
          <w:rPr>
            <w:noProof/>
            <w:webHidden/>
          </w:rPr>
          <w:fldChar w:fldCharType="end"/>
        </w:r>
      </w:hyperlink>
    </w:p>
    <w:p w:rsidR="009F37AF" w:rsidRDefault="009F37AF" w14:paraId="774E43E3" w14:textId="440562CF">
      <w:pPr>
        <w:pStyle w:val="TOC3"/>
        <w:rPr>
          <w:rFonts w:asciiTheme="minorHAnsi" w:hAnsiTheme="minorHAnsi" w:cstheme="minorBidi"/>
          <w:noProof/>
          <w:kern w:val="2"/>
          <w:sz w:val="22"/>
          <w:szCs w:val="22"/>
          <w14:ligatures w14:val="standardContextual"/>
        </w:rPr>
      </w:pPr>
      <w:hyperlink w:history="1" w:anchor="_Toc150852661">
        <w:r w:rsidRPr="00410559">
          <w:rPr>
            <w:rStyle w:val="Hyperlink"/>
            <w:noProof/>
          </w:rPr>
          <w:t>9.2.4</w:t>
        </w:r>
        <w:r>
          <w:rPr>
            <w:rFonts w:asciiTheme="minorHAnsi" w:hAnsiTheme="minorHAnsi" w:cstheme="minorBidi"/>
            <w:noProof/>
            <w:kern w:val="2"/>
            <w:sz w:val="22"/>
            <w:szCs w:val="22"/>
            <w14:ligatures w14:val="standardContextual"/>
          </w:rPr>
          <w:tab/>
        </w:r>
        <w:r w:rsidRPr="00410559">
          <w:rPr>
            <w:rStyle w:val="Hyperlink"/>
            <w:noProof/>
          </w:rPr>
          <w:t>Current unemployment metrics</w:t>
        </w:r>
        <w:r>
          <w:rPr>
            <w:noProof/>
            <w:webHidden/>
          </w:rPr>
          <w:tab/>
        </w:r>
        <w:r>
          <w:rPr>
            <w:noProof/>
            <w:webHidden/>
          </w:rPr>
          <w:fldChar w:fldCharType="begin"/>
        </w:r>
        <w:r>
          <w:rPr>
            <w:noProof/>
            <w:webHidden/>
          </w:rPr>
          <w:instrText xml:space="preserve"> PAGEREF _Toc150852661 \h </w:instrText>
        </w:r>
        <w:r>
          <w:rPr>
            <w:noProof/>
            <w:webHidden/>
          </w:rPr>
        </w:r>
        <w:r>
          <w:rPr>
            <w:noProof/>
            <w:webHidden/>
          </w:rPr>
          <w:fldChar w:fldCharType="separate"/>
        </w:r>
        <w:r>
          <w:rPr>
            <w:noProof/>
            <w:webHidden/>
          </w:rPr>
          <w:t>76</w:t>
        </w:r>
        <w:r>
          <w:rPr>
            <w:noProof/>
            <w:webHidden/>
          </w:rPr>
          <w:fldChar w:fldCharType="end"/>
        </w:r>
      </w:hyperlink>
    </w:p>
    <w:p w:rsidR="009F37AF" w:rsidRDefault="009F37AF" w14:paraId="108F55FA" w14:textId="024F1AB1">
      <w:pPr>
        <w:pStyle w:val="TOC3"/>
        <w:rPr>
          <w:rFonts w:asciiTheme="minorHAnsi" w:hAnsiTheme="minorHAnsi" w:cstheme="minorBidi"/>
          <w:noProof/>
          <w:kern w:val="2"/>
          <w:sz w:val="22"/>
          <w:szCs w:val="22"/>
          <w14:ligatures w14:val="standardContextual"/>
        </w:rPr>
      </w:pPr>
      <w:hyperlink w:history="1" w:anchor="_Toc150852662">
        <w:r w:rsidRPr="00410559">
          <w:rPr>
            <w:rStyle w:val="Hyperlink"/>
            <w:noProof/>
          </w:rPr>
          <w:t>9.2.5</w:t>
        </w:r>
        <w:r>
          <w:rPr>
            <w:rFonts w:asciiTheme="minorHAnsi" w:hAnsiTheme="minorHAnsi" w:cstheme="minorBidi"/>
            <w:noProof/>
            <w:kern w:val="2"/>
            <w:sz w:val="22"/>
            <w:szCs w:val="22"/>
            <w14:ligatures w14:val="standardContextual"/>
          </w:rPr>
          <w:tab/>
        </w:r>
        <w:r w:rsidRPr="00410559">
          <w:rPr>
            <w:rStyle w:val="Hyperlink"/>
            <w:noProof/>
          </w:rPr>
          <w:t>Current training programs at public institutions in Alabama</w:t>
        </w:r>
        <w:r>
          <w:rPr>
            <w:noProof/>
            <w:webHidden/>
          </w:rPr>
          <w:tab/>
        </w:r>
        <w:r>
          <w:rPr>
            <w:noProof/>
            <w:webHidden/>
          </w:rPr>
          <w:fldChar w:fldCharType="begin"/>
        </w:r>
        <w:r>
          <w:rPr>
            <w:noProof/>
            <w:webHidden/>
          </w:rPr>
          <w:instrText xml:space="preserve"> PAGEREF _Toc150852662 \h </w:instrText>
        </w:r>
        <w:r>
          <w:rPr>
            <w:noProof/>
            <w:webHidden/>
          </w:rPr>
        </w:r>
        <w:r>
          <w:rPr>
            <w:noProof/>
            <w:webHidden/>
          </w:rPr>
          <w:fldChar w:fldCharType="separate"/>
        </w:r>
        <w:r>
          <w:rPr>
            <w:noProof/>
            <w:webHidden/>
          </w:rPr>
          <w:t>78</w:t>
        </w:r>
        <w:r>
          <w:rPr>
            <w:noProof/>
            <w:webHidden/>
          </w:rPr>
          <w:fldChar w:fldCharType="end"/>
        </w:r>
      </w:hyperlink>
    </w:p>
    <w:p w:rsidR="009F37AF" w:rsidRDefault="009F37AF" w14:paraId="65E20AB2" w14:textId="581AF9CD">
      <w:pPr>
        <w:pStyle w:val="TOC2"/>
        <w:rPr>
          <w:rFonts w:asciiTheme="minorHAnsi" w:hAnsiTheme="minorHAnsi" w:cstheme="minorBidi"/>
          <w:i w:val="0"/>
          <w:iCs w:val="0"/>
          <w:noProof/>
          <w:kern w:val="2"/>
          <w:sz w:val="22"/>
          <w:szCs w:val="22"/>
          <w14:ligatures w14:val="standardContextual"/>
        </w:rPr>
      </w:pPr>
      <w:hyperlink w:history="1" w:anchor="_Toc150852663">
        <w:r w:rsidRPr="00410559">
          <w:rPr>
            <w:rStyle w:val="Hyperlink"/>
            <w:noProof/>
          </w:rPr>
          <w:t>9.3</w:t>
        </w:r>
        <w:r>
          <w:rPr>
            <w:rFonts w:asciiTheme="minorHAnsi" w:hAnsiTheme="minorHAnsi" w:cstheme="minorBidi"/>
            <w:i w:val="0"/>
            <w:iCs w:val="0"/>
            <w:noProof/>
            <w:kern w:val="2"/>
            <w:sz w:val="22"/>
            <w:szCs w:val="22"/>
            <w14:ligatures w14:val="standardContextual"/>
          </w:rPr>
          <w:tab/>
        </w:r>
        <w:r w:rsidRPr="00410559">
          <w:rPr>
            <w:rStyle w:val="Hyperlink"/>
            <w:noProof/>
          </w:rPr>
          <w:t>Continuing to support workforce development in Alabama</w:t>
        </w:r>
        <w:r>
          <w:rPr>
            <w:noProof/>
            <w:webHidden/>
          </w:rPr>
          <w:tab/>
        </w:r>
        <w:r>
          <w:rPr>
            <w:noProof/>
            <w:webHidden/>
          </w:rPr>
          <w:fldChar w:fldCharType="begin"/>
        </w:r>
        <w:r>
          <w:rPr>
            <w:noProof/>
            <w:webHidden/>
          </w:rPr>
          <w:instrText xml:space="preserve"> PAGEREF _Toc150852663 \h </w:instrText>
        </w:r>
        <w:r>
          <w:rPr>
            <w:noProof/>
            <w:webHidden/>
          </w:rPr>
        </w:r>
        <w:r>
          <w:rPr>
            <w:noProof/>
            <w:webHidden/>
          </w:rPr>
          <w:fldChar w:fldCharType="separate"/>
        </w:r>
        <w:r>
          <w:rPr>
            <w:noProof/>
            <w:webHidden/>
          </w:rPr>
          <w:t>82</w:t>
        </w:r>
        <w:r>
          <w:rPr>
            <w:noProof/>
            <w:webHidden/>
          </w:rPr>
          <w:fldChar w:fldCharType="end"/>
        </w:r>
      </w:hyperlink>
    </w:p>
    <w:p w:rsidR="009F37AF" w:rsidRDefault="009F37AF" w14:paraId="2BC13551" w14:textId="28D34354">
      <w:pPr>
        <w:pStyle w:val="TOC2"/>
        <w:rPr>
          <w:rFonts w:asciiTheme="minorHAnsi" w:hAnsiTheme="minorHAnsi" w:cstheme="minorBidi"/>
          <w:i w:val="0"/>
          <w:iCs w:val="0"/>
          <w:noProof/>
          <w:kern w:val="2"/>
          <w:sz w:val="22"/>
          <w:szCs w:val="22"/>
          <w14:ligatures w14:val="standardContextual"/>
        </w:rPr>
      </w:pPr>
      <w:hyperlink w:history="1" w:anchor="_Toc150852664">
        <w:r w:rsidRPr="00410559">
          <w:rPr>
            <w:rStyle w:val="Hyperlink"/>
            <w:noProof/>
          </w:rPr>
          <w:t>9.4</w:t>
        </w:r>
        <w:r>
          <w:rPr>
            <w:rFonts w:asciiTheme="minorHAnsi" w:hAnsiTheme="minorHAnsi" w:cstheme="minorBidi"/>
            <w:i w:val="0"/>
            <w:iCs w:val="0"/>
            <w:noProof/>
            <w:kern w:val="2"/>
            <w:sz w:val="22"/>
            <w:szCs w:val="22"/>
            <w14:ligatures w14:val="standardContextual"/>
          </w:rPr>
          <w:tab/>
        </w:r>
        <w:r w:rsidRPr="00410559">
          <w:rPr>
            <w:rStyle w:val="Hyperlink"/>
            <w:noProof/>
          </w:rPr>
          <w:t>Coordination with workforce partners</w:t>
        </w:r>
        <w:r>
          <w:rPr>
            <w:noProof/>
            <w:webHidden/>
          </w:rPr>
          <w:tab/>
        </w:r>
        <w:r>
          <w:rPr>
            <w:noProof/>
            <w:webHidden/>
          </w:rPr>
          <w:fldChar w:fldCharType="begin"/>
        </w:r>
        <w:r>
          <w:rPr>
            <w:noProof/>
            <w:webHidden/>
          </w:rPr>
          <w:instrText xml:space="preserve"> PAGEREF _Toc150852664 \h </w:instrText>
        </w:r>
        <w:r>
          <w:rPr>
            <w:noProof/>
            <w:webHidden/>
          </w:rPr>
        </w:r>
        <w:r>
          <w:rPr>
            <w:noProof/>
            <w:webHidden/>
          </w:rPr>
          <w:fldChar w:fldCharType="separate"/>
        </w:r>
        <w:r>
          <w:rPr>
            <w:noProof/>
            <w:webHidden/>
          </w:rPr>
          <w:t>84</w:t>
        </w:r>
        <w:r>
          <w:rPr>
            <w:noProof/>
            <w:webHidden/>
          </w:rPr>
          <w:fldChar w:fldCharType="end"/>
        </w:r>
      </w:hyperlink>
    </w:p>
    <w:p w:rsidR="009F37AF" w:rsidRDefault="009F37AF" w14:paraId="2E27386C" w14:textId="78459062">
      <w:pPr>
        <w:pStyle w:val="TOC2"/>
        <w:rPr>
          <w:rFonts w:asciiTheme="minorHAnsi" w:hAnsiTheme="minorHAnsi" w:cstheme="minorBidi"/>
          <w:i w:val="0"/>
          <w:iCs w:val="0"/>
          <w:noProof/>
          <w:kern w:val="2"/>
          <w:sz w:val="22"/>
          <w:szCs w:val="22"/>
          <w14:ligatures w14:val="standardContextual"/>
        </w:rPr>
      </w:pPr>
      <w:hyperlink w:history="1" w:anchor="_Toc150852665">
        <w:r w:rsidRPr="00410559">
          <w:rPr>
            <w:rStyle w:val="Hyperlink"/>
            <w:noProof/>
          </w:rPr>
          <w:t>9.5</w:t>
        </w:r>
        <w:r>
          <w:rPr>
            <w:rFonts w:asciiTheme="minorHAnsi" w:hAnsiTheme="minorHAnsi" w:cstheme="minorBidi"/>
            <w:i w:val="0"/>
            <w:iCs w:val="0"/>
            <w:noProof/>
            <w:kern w:val="2"/>
            <w:sz w:val="22"/>
            <w:szCs w:val="22"/>
            <w14:ligatures w14:val="standardContextual"/>
          </w:rPr>
          <w:tab/>
        </w:r>
        <w:r w:rsidRPr="00410559">
          <w:rPr>
            <w:rStyle w:val="Hyperlink"/>
            <w:noProof/>
          </w:rPr>
          <w:t>Ensuring strong labor standards</w:t>
        </w:r>
        <w:r>
          <w:rPr>
            <w:noProof/>
            <w:webHidden/>
          </w:rPr>
          <w:tab/>
        </w:r>
        <w:r>
          <w:rPr>
            <w:noProof/>
            <w:webHidden/>
          </w:rPr>
          <w:fldChar w:fldCharType="begin"/>
        </w:r>
        <w:r>
          <w:rPr>
            <w:noProof/>
            <w:webHidden/>
          </w:rPr>
          <w:instrText xml:space="preserve"> PAGEREF _Toc150852665 \h </w:instrText>
        </w:r>
        <w:r>
          <w:rPr>
            <w:noProof/>
            <w:webHidden/>
          </w:rPr>
        </w:r>
        <w:r>
          <w:rPr>
            <w:noProof/>
            <w:webHidden/>
          </w:rPr>
          <w:fldChar w:fldCharType="separate"/>
        </w:r>
        <w:r>
          <w:rPr>
            <w:noProof/>
            <w:webHidden/>
          </w:rPr>
          <w:t>85</w:t>
        </w:r>
        <w:r>
          <w:rPr>
            <w:noProof/>
            <w:webHidden/>
          </w:rPr>
          <w:fldChar w:fldCharType="end"/>
        </w:r>
      </w:hyperlink>
    </w:p>
    <w:p w:rsidR="009F37AF" w:rsidRDefault="009F37AF" w14:paraId="31AC5277" w14:textId="145EE4D4">
      <w:pPr>
        <w:pStyle w:val="TOC2"/>
        <w:rPr>
          <w:rFonts w:asciiTheme="minorHAnsi" w:hAnsiTheme="minorHAnsi" w:cstheme="minorBidi"/>
          <w:i w:val="0"/>
          <w:iCs w:val="0"/>
          <w:noProof/>
          <w:kern w:val="2"/>
          <w:sz w:val="22"/>
          <w:szCs w:val="22"/>
          <w14:ligatures w14:val="standardContextual"/>
        </w:rPr>
      </w:pPr>
      <w:hyperlink w:history="1" w:anchor="_Toc150852666">
        <w:r w:rsidRPr="00410559">
          <w:rPr>
            <w:rStyle w:val="Hyperlink"/>
            <w:noProof/>
          </w:rPr>
          <w:t>9.6</w:t>
        </w:r>
        <w:r>
          <w:rPr>
            <w:rFonts w:asciiTheme="minorHAnsi" w:hAnsiTheme="minorHAnsi" w:cstheme="minorBidi"/>
            <w:i w:val="0"/>
            <w:iCs w:val="0"/>
            <w:noProof/>
            <w:kern w:val="2"/>
            <w:sz w:val="22"/>
            <w:szCs w:val="22"/>
            <w14:ligatures w14:val="standardContextual"/>
          </w:rPr>
          <w:tab/>
        </w:r>
        <w:r w:rsidRPr="00410559">
          <w:rPr>
            <w:rStyle w:val="Hyperlink"/>
            <w:noProof/>
          </w:rPr>
          <w:t>Ensuring recruitment of qualified, diverse firms</w:t>
        </w:r>
        <w:r>
          <w:rPr>
            <w:noProof/>
            <w:webHidden/>
          </w:rPr>
          <w:tab/>
        </w:r>
        <w:r>
          <w:rPr>
            <w:noProof/>
            <w:webHidden/>
          </w:rPr>
          <w:fldChar w:fldCharType="begin"/>
        </w:r>
        <w:r>
          <w:rPr>
            <w:noProof/>
            <w:webHidden/>
          </w:rPr>
          <w:instrText xml:space="preserve"> PAGEREF _Toc150852666 \h </w:instrText>
        </w:r>
        <w:r>
          <w:rPr>
            <w:noProof/>
            <w:webHidden/>
          </w:rPr>
        </w:r>
        <w:r>
          <w:rPr>
            <w:noProof/>
            <w:webHidden/>
          </w:rPr>
          <w:fldChar w:fldCharType="separate"/>
        </w:r>
        <w:r>
          <w:rPr>
            <w:noProof/>
            <w:webHidden/>
          </w:rPr>
          <w:t>88</w:t>
        </w:r>
        <w:r>
          <w:rPr>
            <w:noProof/>
            <w:webHidden/>
          </w:rPr>
          <w:fldChar w:fldCharType="end"/>
        </w:r>
      </w:hyperlink>
    </w:p>
    <w:p w:rsidR="009F37AF" w:rsidRDefault="009F37AF" w14:paraId="3AE460CB" w14:textId="30CD0380">
      <w:pPr>
        <w:pStyle w:val="TOC2"/>
        <w:rPr>
          <w:rFonts w:asciiTheme="minorHAnsi" w:hAnsiTheme="minorHAnsi" w:cstheme="minorBidi"/>
          <w:i w:val="0"/>
          <w:iCs w:val="0"/>
          <w:noProof/>
          <w:kern w:val="2"/>
          <w:sz w:val="22"/>
          <w:szCs w:val="22"/>
          <w14:ligatures w14:val="standardContextual"/>
        </w:rPr>
      </w:pPr>
      <w:hyperlink w:history="1" w:anchor="_Toc150852667">
        <w:r w:rsidRPr="00410559">
          <w:rPr>
            <w:rStyle w:val="Hyperlink"/>
            <w:noProof/>
          </w:rPr>
          <w:t>9.7</w:t>
        </w:r>
        <w:r>
          <w:rPr>
            <w:rFonts w:asciiTheme="minorHAnsi" w:hAnsiTheme="minorHAnsi" w:cstheme="minorBidi"/>
            <w:i w:val="0"/>
            <w:iCs w:val="0"/>
            <w:noProof/>
            <w:kern w:val="2"/>
            <w:sz w:val="22"/>
            <w:szCs w:val="22"/>
            <w14:ligatures w14:val="standardContextual"/>
          </w:rPr>
          <w:tab/>
        </w:r>
        <w:r w:rsidRPr="00410559">
          <w:rPr>
            <w:rStyle w:val="Hyperlink"/>
            <w:noProof/>
          </w:rPr>
          <w:t>Subgrantee selection process related to workforce considerations</w:t>
        </w:r>
        <w:r>
          <w:rPr>
            <w:noProof/>
            <w:webHidden/>
          </w:rPr>
          <w:tab/>
        </w:r>
        <w:r>
          <w:rPr>
            <w:noProof/>
            <w:webHidden/>
          </w:rPr>
          <w:fldChar w:fldCharType="begin"/>
        </w:r>
        <w:r>
          <w:rPr>
            <w:noProof/>
            <w:webHidden/>
          </w:rPr>
          <w:instrText xml:space="preserve"> PAGEREF _Toc150852667 \h </w:instrText>
        </w:r>
        <w:r>
          <w:rPr>
            <w:noProof/>
            <w:webHidden/>
          </w:rPr>
        </w:r>
        <w:r>
          <w:rPr>
            <w:noProof/>
            <w:webHidden/>
          </w:rPr>
          <w:fldChar w:fldCharType="separate"/>
        </w:r>
        <w:r>
          <w:rPr>
            <w:noProof/>
            <w:webHidden/>
          </w:rPr>
          <w:t>90</w:t>
        </w:r>
        <w:r>
          <w:rPr>
            <w:noProof/>
            <w:webHidden/>
          </w:rPr>
          <w:fldChar w:fldCharType="end"/>
        </w:r>
      </w:hyperlink>
    </w:p>
    <w:p w:rsidR="009F37AF" w:rsidRDefault="009F37AF" w14:paraId="6662231C" w14:textId="4DA99E91">
      <w:pPr>
        <w:pStyle w:val="TOC2"/>
        <w:rPr>
          <w:rFonts w:asciiTheme="minorHAnsi" w:hAnsiTheme="minorHAnsi" w:cstheme="minorBidi"/>
          <w:i w:val="0"/>
          <w:iCs w:val="0"/>
          <w:noProof/>
          <w:kern w:val="2"/>
          <w:sz w:val="22"/>
          <w:szCs w:val="22"/>
          <w14:ligatures w14:val="standardContextual"/>
        </w:rPr>
      </w:pPr>
      <w:hyperlink w:history="1" w:anchor="_Toc150852668">
        <w:r w:rsidRPr="00410559">
          <w:rPr>
            <w:rStyle w:val="Hyperlink"/>
            <w:noProof/>
          </w:rPr>
          <w:t>9.8</w:t>
        </w:r>
        <w:r>
          <w:rPr>
            <w:rFonts w:asciiTheme="minorHAnsi" w:hAnsiTheme="minorHAnsi" w:cstheme="minorBidi"/>
            <w:i w:val="0"/>
            <w:iCs w:val="0"/>
            <w:noProof/>
            <w:kern w:val="2"/>
            <w:sz w:val="22"/>
            <w:szCs w:val="22"/>
            <w14:ligatures w14:val="standardContextual"/>
          </w:rPr>
          <w:tab/>
        </w:r>
        <w:r w:rsidRPr="00410559">
          <w:rPr>
            <w:rStyle w:val="Hyperlink"/>
            <w:noProof/>
          </w:rPr>
          <w:t>Ensuring long-term economic impact from BEAD deployments</w:t>
        </w:r>
        <w:r>
          <w:rPr>
            <w:noProof/>
            <w:webHidden/>
          </w:rPr>
          <w:tab/>
        </w:r>
        <w:r>
          <w:rPr>
            <w:noProof/>
            <w:webHidden/>
          </w:rPr>
          <w:fldChar w:fldCharType="begin"/>
        </w:r>
        <w:r>
          <w:rPr>
            <w:noProof/>
            <w:webHidden/>
          </w:rPr>
          <w:instrText xml:space="preserve"> PAGEREF _Toc150852668 \h </w:instrText>
        </w:r>
        <w:r>
          <w:rPr>
            <w:noProof/>
            <w:webHidden/>
          </w:rPr>
        </w:r>
        <w:r>
          <w:rPr>
            <w:noProof/>
            <w:webHidden/>
          </w:rPr>
          <w:fldChar w:fldCharType="separate"/>
        </w:r>
        <w:r>
          <w:rPr>
            <w:noProof/>
            <w:webHidden/>
          </w:rPr>
          <w:t>91</w:t>
        </w:r>
        <w:r>
          <w:rPr>
            <w:noProof/>
            <w:webHidden/>
          </w:rPr>
          <w:fldChar w:fldCharType="end"/>
        </w:r>
      </w:hyperlink>
    </w:p>
    <w:p w:rsidR="009F37AF" w:rsidRDefault="009F37AF" w14:paraId="5DE9E16E" w14:textId="30374E6D">
      <w:pPr>
        <w:pStyle w:val="TOC3"/>
        <w:rPr>
          <w:rFonts w:asciiTheme="minorHAnsi" w:hAnsiTheme="minorHAnsi" w:cstheme="minorBidi"/>
          <w:noProof/>
          <w:kern w:val="2"/>
          <w:sz w:val="22"/>
          <w:szCs w:val="22"/>
          <w14:ligatures w14:val="standardContextual"/>
        </w:rPr>
      </w:pPr>
      <w:hyperlink w:history="1" w:anchor="_Toc150852669">
        <w:r w:rsidRPr="00410559">
          <w:rPr>
            <w:rStyle w:val="Hyperlink"/>
            <w:noProof/>
          </w:rPr>
          <w:t>9.8.1</w:t>
        </w:r>
        <w:r>
          <w:rPr>
            <w:rFonts w:asciiTheme="minorHAnsi" w:hAnsiTheme="minorHAnsi" w:cstheme="minorBidi"/>
            <w:noProof/>
            <w:kern w:val="2"/>
            <w:sz w:val="22"/>
            <w:szCs w:val="22"/>
            <w14:ligatures w14:val="standardContextual"/>
          </w:rPr>
          <w:tab/>
        </w:r>
        <w:r w:rsidRPr="00410559">
          <w:rPr>
            <w:rStyle w:val="Hyperlink"/>
            <w:noProof/>
          </w:rPr>
          <w:t>Short-term economic impact from initial construction outlay</w:t>
        </w:r>
        <w:r>
          <w:rPr>
            <w:noProof/>
            <w:webHidden/>
          </w:rPr>
          <w:tab/>
        </w:r>
        <w:r>
          <w:rPr>
            <w:noProof/>
            <w:webHidden/>
          </w:rPr>
          <w:fldChar w:fldCharType="begin"/>
        </w:r>
        <w:r>
          <w:rPr>
            <w:noProof/>
            <w:webHidden/>
          </w:rPr>
          <w:instrText xml:space="preserve"> PAGEREF _Toc150852669 \h </w:instrText>
        </w:r>
        <w:r>
          <w:rPr>
            <w:noProof/>
            <w:webHidden/>
          </w:rPr>
        </w:r>
        <w:r>
          <w:rPr>
            <w:noProof/>
            <w:webHidden/>
          </w:rPr>
          <w:fldChar w:fldCharType="separate"/>
        </w:r>
        <w:r>
          <w:rPr>
            <w:noProof/>
            <w:webHidden/>
          </w:rPr>
          <w:t>91</w:t>
        </w:r>
        <w:r>
          <w:rPr>
            <w:noProof/>
            <w:webHidden/>
          </w:rPr>
          <w:fldChar w:fldCharType="end"/>
        </w:r>
      </w:hyperlink>
    </w:p>
    <w:p w:rsidR="009F37AF" w:rsidRDefault="009F37AF" w14:paraId="707A2741" w14:textId="40A82849">
      <w:pPr>
        <w:pStyle w:val="TOC3"/>
        <w:rPr>
          <w:rFonts w:asciiTheme="minorHAnsi" w:hAnsiTheme="minorHAnsi" w:cstheme="minorBidi"/>
          <w:noProof/>
          <w:kern w:val="2"/>
          <w:sz w:val="22"/>
          <w:szCs w:val="22"/>
          <w14:ligatures w14:val="standardContextual"/>
        </w:rPr>
      </w:pPr>
      <w:hyperlink w:history="1" w:anchor="_Toc150852670">
        <w:r w:rsidRPr="00410559">
          <w:rPr>
            <w:rStyle w:val="Hyperlink"/>
            <w:noProof/>
          </w:rPr>
          <w:t>9.8.2</w:t>
        </w:r>
        <w:r>
          <w:rPr>
            <w:rFonts w:asciiTheme="minorHAnsi" w:hAnsiTheme="minorHAnsi" w:cstheme="minorBidi"/>
            <w:noProof/>
            <w:kern w:val="2"/>
            <w:sz w:val="22"/>
            <w:szCs w:val="22"/>
            <w14:ligatures w14:val="standardContextual"/>
          </w:rPr>
          <w:tab/>
        </w:r>
        <w:r w:rsidRPr="00410559">
          <w:rPr>
            <w:rStyle w:val="Hyperlink"/>
            <w:noProof/>
          </w:rPr>
          <w:t>Long-term objectives for enhancing economic growth and job creation</w:t>
        </w:r>
        <w:r>
          <w:rPr>
            <w:noProof/>
            <w:webHidden/>
          </w:rPr>
          <w:tab/>
        </w:r>
        <w:r>
          <w:rPr>
            <w:noProof/>
            <w:webHidden/>
          </w:rPr>
          <w:fldChar w:fldCharType="begin"/>
        </w:r>
        <w:r>
          <w:rPr>
            <w:noProof/>
            <w:webHidden/>
          </w:rPr>
          <w:instrText xml:space="preserve"> PAGEREF _Toc150852670 \h </w:instrText>
        </w:r>
        <w:r>
          <w:rPr>
            <w:noProof/>
            <w:webHidden/>
          </w:rPr>
        </w:r>
        <w:r>
          <w:rPr>
            <w:noProof/>
            <w:webHidden/>
          </w:rPr>
          <w:fldChar w:fldCharType="separate"/>
        </w:r>
        <w:r>
          <w:rPr>
            <w:noProof/>
            <w:webHidden/>
          </w:rPr>
          <w:t>92</w:t>
        </w:r>
        <w:r>
          <w:rPr>
            <w:noProof/>
            <w:webHidden/>
          </w:rPr>
          <w:fldChar w:fldCharType="end"/>
        </w:r>
      </w:hyperlink>
    </w:p>
    <w:p w:rsidR="009F37AF" w:rsidRDefault="009F37AF" w14:paraId="1940D0D7" w14:textId="407A1E7B">
      <w:pPr>
        <w:pStyle w:val="TOC1"/>
        <w:rPr>
          <w:rFonts w:asciiTheme="minorHAnsi" w:hAnsiTheme="minorHAnsi" w:cstheme="minorBidi"/>
          <w:b w:val="0"/>
          <w:bCs w:val="0"/>
          <w:noProof/>
          <w:kern w:val="2"/>
          <w:sz w:val="22"/>
          <w:szCs w:val="22"/>
          <w14:ligatures w14:val="standardContextual"/>
        </w:rPr>
      </w:pPr>
      <w:hyperlink w:history="1" w:anchor="_Toc150852671">
        <w:r w:rsidRPr="00410559">
          <w:rPr>
            <w:rStyle w:val="Hyperlink"/>
            <w:noProof/>
          </w:rPr>
          <w:t>10.</w:t>
        </w:r>
        <w:r>
          <w:rPr>
            <w:rFonts w:asciiTheme="minorHAnsi" w:hAnsiTheme="minorHAnsi" w:cstheme="minorBidi"/>
            <w:b w:val="0"/>
            <w:bCs w:val="0"/>
            <w:noProof/>
            <w:kern w:val="2"/>
            <w:sz w:val="22"/>
            <w:szCs w:val="22"/>
            <w14:ligatures w14:val="standardContextual"/>
          </w:rPr>
          <w:tab/>
        </w:r>
        <w:r w:rsidRPr="00410559">
          <w:rPr>
            <w:rStyle w:val="Hyperlink"/>
            <w:noProof/>
          </w:rPr>
          <w:t>Minority Business Enterprises (MBEs) / Women’s Business Enterprises (WBEs) / Labor Surplus Area (LSA) firms inclusion (Requirement 13)</w:t>
        </w:r>
        <w:r>
          <w:rPr>
            <w:noProof/>
            <w:webHidden/>
          </w:rPr>
          <w:tab/>
        </w:r>
        <w:r>
          <w:rPr>
            <w:noProof/>
            <w:webHidden/>
          </w:rPr>
          <w:fldChar w:fldCharType="begin"/>
        </w:r>
        <w:r>
          <w:rPr>
            <w:noProof/>
            <w:webHidden/>
          </w:rPr>
          <w:instrText xml:space="preserve"> PAGEREF _Toc150852671 \h </w:instrText>
        </w:r>
        <w:r>
          <w:rPr>
            <w:noProof/>
            <w:webHidden/>
          </w:rPr>
        </w:r>
        <w:r>
          <w:rPr>
            <w:noProof/>
            <w:webHidden/>
          </w:rPr>
          <w:fldChar w:fldCharType="separate"/>
        </w:r>
        <w:r>
          <w:rPr>
            <w:noProof/>
            <w:webHidden/>
          </w:rPr>
          <w:t>94</w:t>
        </w:r>
        <w:r>
          <w:rPr>
            <w:noProof/>
            <w:webHidden/>
          </w:rPr>
          <w:fldChar w:fldCharType="end"/>
        </w:r>
      </w:hyperlink>
    </w:p>
    <w:p w:rsidR="009F37AF" w:rsidRDefault="009F37AF" w14:paraId="6698950E" w14:textId="20E695E9">
      <w:pPr>
        <w:pStyle w:val="TOC2"/>
        <w:rPr>
          <w:rFonts w:asciiTheme="minorHAnsi" w:hAnsiTheme="minorHAnsi" w:cstheme="minorBidi"/>
          <w:i w:val="0"/>
          <w:iCs w:val="0"/>
          <w:noProof/>
          <w:kern w:val="2"/>
          <w:sz w:val="22"/>
          <w:szCs w:val="22"/>
          <w14:ligatures w14:val="standardContextual"/>
        </w:rPr>
      </w:pPr>
      <w:hyperlink w:history="1" w:anchor="_Toc150852672">
        <w:r w:rsidRPr="00410559">
          <w:rPr>
            <w:rStyle w:val="Hyperlink"/>
            <w:noProof/>
          </w:rPr>
          <w:t>10.1</w:t>
        </w:r>
        <w:r>
          <w:rPr>
            <w:rFonts w:asciiTheme="minorHAnsi" w:hAnsiTheme="minorHAnsi" w:cstheme="minorBidi"/>
            <w:i w:val="0"/>
            <w:iCs w:val="0"/>
            <w:noProof/>
            <w:kern w:val="2"/>
            <w:sz w:val="22"/>
            <w:szCs w:val="22"/>
            <w14:ligatures w14:val="standardContextual"/>
          </w:rPr>
          <w:tab/>
        </w:r>
        <w:r w:rsidRPr="00410559">
          <w:rPr>
            <w:rStyle w:val="Hyperlink"/>
            <w:noProof/>
          </w:rPr>
          <w:t>Process, strategy, and data tracking methods to ensure that minority businesses, women-owned business enterprises, and labor surplus area firms are recruited, used, and retained when possible</w:t>
        </w:r>
        <w:r>
          <w:rPr>
            <w:noProof/>
            <w:webHidden/>
          </w:rPr>
          <w:tab/>
        </w:r>
        <w:r>
          <w:rPr>
            <w:noProof/>
            <w:webHidden/>
          </w:rPr>
          <w:fldChar w:fldCharType="begin"/>
        </w:r>
        <w:r>
          <w:rPr>
            <w:noProof/>
            <w:webHidden/>
          </w:rPr>
          <w:instrText xml:space="preserve"> PAGEREF _Toc150852672 \h </w:instrText>
        </w:r>
        <w:r>
          <w:rPr>
            <w:noProof/>
            <w:webHidden/>
          </w:rPr>
        </w:r>
        <w:r>
          <w:rPr>
            <w:noProof/>
            <w:webHidden/>
          </w:rPr>
          <w:fldChar w:fldCharType="separate"/>
        </w:r>
        <w:r>
          <w:rPr>
            <w:noProof/>
            <w:webHidden/>
          </w:rPr>
          <w:t>94</w:t>
        </w:r>
        <w:r>
          <w:rPr>
            <w:noProof/>
            <w:webHidden/>
          </w:rPr>
          <w:fldChar w:fldCharType="end"/>
        </w:r>
      </w:hyperlink>
    </w:p>
    <w:p w:rsidR="009F37AF" w:rsidRDefault="009F37AF" w14:paraId="069B28D5" w14:textId="44D8D54F">
      <w:pPr>
        <w:pStyle w:val="TOC3"/>
        <w:rPr>
          <w:rFonts w:asciiTheme="minorHAnsi" w:hAnsiTheme="minorHAnsi" w:cstheme="minorBidi"/>
          <w:noProof/>
          <w:kern w:val="2"/>
          <w:sz w:val="22"/>
          <w:szCs w:val="22"/>
          <w14:ligatures w14:val="standardContextual"/>
        </w:rPr>
      </w:pPr>
      <w:hyperlink w:history="1" w:anchor="_Toc150852673">
        <w:r w:rsidRPr="00410559">
          <w:rPr>
            <w:rStyle w:val="Hyperlink"/>
            <w:noProof/>
          </w:rPr>
          <w:t>10.1.1</w:t>
        </w:r>
        <w:r>
          <w:rPr>
            <w:rFonts w:asciiTheme="minorHAnsi" w:hAnsiTheme="minorHAnsi" w:cstheme="minorBidi"/>
            <w:noProof/>
            <w:kern w:val="2"/>
            <w:sz w:val="22"/>
            <w:szCs w:val="22"/>
            <w14:ligatures w14:val="standardContextual"/>
          </w:rPr>
          <w:tab/>
        </w:r>
        <w:r w:rsidRPr="00410559">
          <w:rPr>
            <w:rStyle w:val="Hyperlink"/>
            <w:noProof/>
          </w:rPr>
          <w:t>Place qualified small and minority businesses and women’s business enterprises on solicitation lists</w:t>
        </w:r>
        <w:r>
          <w:rPr>
            <w:noProof/>
            <w:webHidden/>
          </w:rPr>
          <w:tab/>
        </w:r>
        <w:r>
          <w:rPr>
            <w:noProof/>
            <w:webHidden/>
          </w:rPr>
          <w:fldChar w:fldCharType="begin"/>
        </w:r>
        <w:r>
          <w:rPr>
            <w:noProof/>
            <w:webHidden/>
          </w:rPr>
          <w:instrText xml:space="preserve"> PAGEREF _Toc150852673 \h </w:instrText>
        </w:r>
        <w:r>
          <w:rPr>
            <w:noProof/>
            <w:webHidden/>
          </w:rPr>
        </w:r>
        <w:r>
          <w:rPr>
            <w:noProof/>
            <w:webHidden/>
          </w:rPr>
          <w:fldChar w:fldCharType="separate"/>
        </w:r>
        <w:r>
          <w:rPr>
            <w:noProof/>
            <w:webHidden/>
          </w:rPr>
          <w:t>95</w:t>
        </w:r>
        <w:r>
          <w:rPr>
            <w:noProof/>
            <w:webHidden/>
          </w:rPr>
          <w:fldChar w:fldCharType="end"/>
        </w:r>
      </w:hyperlink>
    </w:p>
    <w:p w:rsidR="009F37AF" w:rsidRDefault="009F37AF" w14:paraId="097A38B1" w14:textId="16C8C5A8">
      <w:pPr>
        <w:pStyle w:val="TOC3"/>
        <w:rPr>
          <w:rFonts w:asciiTheme="minorHAnsi" w:hAnsiTheme="minorHAnsi" w:cstheme="minorBidi"/>
          <w:noProof/>
          <w:kern w:val="2"/>
          <w:sz w:val="22"/>
          <w:szCs w:val="22"/>
          <w14:ligatures w14:val="standardContextual"/>
        </w:rPr>
      </w:pPr>
      <w:hyperlink w:history="1" w:anchor="_Toc150852674">
        <w:r w:rsidRPr="00410559">
          <w:rPr>
            <w:rStyle w:val="Hyperlink"/>
            <w:noProof/>
          </w:rPr>
          <w:t>10.1.2</w:t>
        </w:r>
        <w:r>
          <w:rPr>
            <w:rFonts w:asciiTheme="minorHAnsi" w:hAnsiTheme="minorHAnsi" w:cstheme="minorBidi"/>
            <w:noProof/>
            <w:kern w:val="2"/>
            <w:sz w:val="22"/>
            <w:szCs w:val="22"/>
            <w14:ligatures w14:val="standardContextual"/>
          </w:rPr>
          <w:tab/>
        </w:r>
        <w:r w:rsidRPr="00410559">
          <w:rPr>
            <w:rStyle w:val="Hyperlink"/>
            <w:noProof/>
          </w:rPr>
          <w:t>Assure that small and minority businesses and women’s business enterprises are solicited whenever they are potential sources</w:t>
        </w:r>
        <w:r>
          <w:rPr>
            <w:noProof/>
            <w:webHidden/>
          </w:rPr>
          <w:tab/>
        </w:r>
        <w:r>
          <w:rPr>
            <w:noProof/>
            <w:webHidden/>
          </w:rPr>
          <w:fldChar w:fldCharType="begin"/>
        </w:r>
        <w:r>
          <w:rPr>
            <w:noProof/>
            <w:webHidden/>
          </w:rPr>
          <w:instrText xml:space="preserve"> PAGEREF _Toc150852674 \h </w:instrText>
        </w:r>
        <w:r>
          <w:rPr>
            <w:noProof/>
            <w:webHidden/>
          </w:rPr>
        </w:r>
        <w:r>
          <w:rPr>
            <w:noProof/>
            <w:webHidden/>
          </w:rPr>
          <w:fldChar w:fldCharType="separate"/>
        </w:r>
        <w:r>
          <w:rPr>
            <w:noProof/>
            <w:webHidden/>
          </w:rPr>
          <w:t>95</w:t>
        </w:r>
        <w:r>
          <w:rPr>
            <w:noProof/>
            <w:webHidden/>
          </w:rPr>
          <w:fldChar w:fldCharType="end"/>
        </w:r>
      </w:hyperlink>
    </w:p>
    <w:p w:rsidR="009F37AF" w:rsidRDefault="009F37AF" w14:paraId="30DD9274" w14:textId="31D59801">
      <w:pPr>
        <w:pStyle w:val="TOC3"/>
        <w:rPr>
          <w:rFonts w:asciiTheme="minorHAnsi" w:hAnsiTheme="minorHAnsi" w:cstheme="minorBidi"/>
          <w:noProof/>
          <w:kern w:val="2"/>
          <w:sz w:val="22"/>
          <w:szCs w:val="22"/>
          <w14:ligatures w14:val="standardContextual"/>
        </w:rPr>
      </w:pPr>
      <w:hyperlink w:history="1" w:anchor="_Toc150852675">
        <w:r w:rsidRPr="00410559">
          <w:rPr>
            <w:rStyle w:val="Hyperlink"/>
            <w:noProof/>
          </w:rPr>
          <w:t>10.1.3</w:t>
        </w:r>
        <w:r>
          <w:rPr>
            <w:rFonts w:asciiTheme="minorHAnsi" w:hAnsiTheme="minorHAnsi" w:cstheme="minorBidi"/>
            <w:noProof/>
            <w:kern w:val="2"/>
            <w:sz w:val="22"/>
            <w:szCs w:val="22"/>
            <w14:ligatures w14:val="standardContextual"/>
          </w:rPr>
          <w:tab/>
        </w:r>
        <w:r w:rsidRPr="00410559">
          <w:rPr>
            <w:rStyle w:val="Hyperlink"/>
            <w:noProof/>
          </w:rPr>
          <w:t>Divide total requirements, when economically feasible, into smaller tasks or quantities to permit maximum participation by small and minority businesses and women’s business enterprises</w:t>
        </w:r>
        <w:r>
          <w:rPr>
            <w:noProof/>
            <w:webHidden/>
          </w:rPr>
          <w:tab/>
        </w:r>
        <w:r>
          <w:rPr>
            <w:noProof/>
            <w:webHidden/>
          </w:rPr>
          <w:fldChar w:fldCharType="begin"/>
        </w:r>
        <w:r>
          <w:rPr>
            <w:noProof/>
            <w:webHidden/>
          </w:rPr>
          <w:instrText xml:space="preserve"> PAGEREF _Toc150852675 \h </w:instrText>
        </w:r>
        <w:r>
          <w:rPr>
            <w:noProof/>
            <w:webHidden/>
          </w:rPr>
        </w:r>
        <w:r>
          <w:rPr>
            <w:noProof/>
            <w:webHidden/>
          </w:rPr>
          <w:fldChar w:fldCharType="separate"/>
        </w:r>
        <w:r>
          <w:rPr>
            <w:noProof/>
            <w:webHidden/>
          </w:rPr>
          <w:t>95</w:t>
        </w:r>
        <w:r>
          <w:rPr>
            <w:noProof/>
            <w:webHidden/>
          </w:rPr>
          <w:fldChar w:fldCharType="end"/>
        </w:r>
      </w:hyperlink>
    </w:p>
    <w:p w:rsidR="009F37AF" w:rsidRDefault="009F37AF" w14:paraId="3F482FCD" w14:textId="189376F7">
      <w:pPr>
        <w:pStyle w:val="TOC3"/>
        <w:rPr>
          <w:rFonts w:asciiTheme="minorHAnsi" w:hAnsiTheme="minorHAnsi" w:cstheme="minorBidi"/>
          <w:noProof/>
          <w:kern w:val="2"/>
          <w:sz w:val="22"/>
          <w:szCs w:val="22"/>
          <w14:ligatures w14:val="standardContextual"/>
        </w:rPr>
      </w:pPr>
      <w:hyperlink w:history="1" w:anchor="_Toc150852676">
        <w:r w:rsidRPr="00410559">
          <w:rPr>
            <w:rStyle w:val="Hyperlink"/>
            <w:noProof/>
          </w:rPr>
          <w:t>10.1.4</w:t>
        </w:r>
        <w:r>
          <w:rPr>
            <w:rFonts w:asciiTheme="minorHAnsi" w:hAnsiTheme="minorHAnsi" w:cstheme="minorBidi"/>
            <w:noProof/>
            <w:kern w:val="2"/>
            <w:sz w:val="22"/>
            <w:szCs w:val="22"/>
            <w14:ligatures w14:val="standardContextual"/>
          </w:rPr>
          <w:tab/>
        </w:r>
        <w:r w:rsidRPr="00410559">
          <w:rPr>
            <w:rStyle w:val="Hyperlink"/>
            <w:noProof/>
          </w:rPr>
          <w:t>Establish delivery schedules, where the requirements permit, which encourage participation by small and minority businesses and women’s business enterprises</w:t>
        </w:r>
        <w:r>
          <w:rPr>
            <w:noProof/>
            <w:webHidden/>
          </w:rPr>
          <w:tab/>
        </w:r>
        <w:r>
          <w:rPr>
            <w:noProof/>
            <w:webHidden/>
          </w:rPr>
          <w:fldChar w:fldCharType="begin"/>
        </w:r>
        <w:r>
          <w:rPr>
            <w:noProof/>
            <w:webHidden/>
          </w:rPr>
          <w:instrText xml:space="preserve"> PAGEREF _Toc150852676 \h </w:instrText>
        </w:r>
        <w:r>
          <w:rPr>
            <w:noProof/>
            <w:webHidden/>
          </w:rPr>
        </w:r>
        <w:r>
          <w:rPr>
            <w:noProof/>
            <w:webHidden/>
          </w:rPr>
          <w:fldChar w:fldCharType="separate"/>
        </w:r>
        <w:r>
          <w:rPr>
            <w:noProof/>
            <w:webHidden/>
          </w:rPr>
          <w:t>96</w:t>
        </w:r>
        <w:r>
          <w:rPr>
            <w:noProof/>
            <w:webHidden/>
          </w:rPr>
          <w:fldChar w:fldCharType="end"/>
        </w:r>
      </w:hyperlink>
    </w:p>
    <w:p w:rsidR="009F37AF" w:rsidRDefault="009F37AF" w14:paraId="4F5EA623" w14:textId="7B59A028">
      <w:pPr>
        <w:pStyle w:val="TOC3"/>
        <w:rPr>
          <w:rFonts w:asciiTheme="minorHAnsi" w:hAnsiTheme="minorHAnsi" w:cstheme="minorBidi"/>
          <w:noProof/>
          <w:kern w:val="2"/>
          <w:sz w:val="22"/>
          <w:szCs w:val="22"/>
          <w14:ligatures w14:val="standardContextual"/>
        </w:rPr>
      </w:pPr>
      <w:hyperlink w:history="1" w:anchor="_Toc150852677">
        <w:r w:rsidRPr="00410559">
          <w:rPr>
            <w:rStyle w:val="Hyperlink"/>
            <w:noProof/>
          </w:rPr>
          <w:t>10.1.5</w:t>
        </w:r>
        <w:r>
          <w:rPr>
            <w:rFonts w:asciiTheme="minorHAnsi" w:hAnsiTheme="minorHAnsi" w:cstheme="minorBidi"/>
            <w:noProof/>
            <w:kern w:val="2"/>
            <w:sz w:val="22"/>
            <w:szCs w:val="22"/>
            <w14:ligatures w14:val="standardContextual"/>
          </w:rPr>
          <w:tab/>
        </w:r>
        <w:r w:rsidRPr="00410559">
          <w:rPr>
            <w:rStyle w:val="Hyperlink"/>
            <w:noProof/>
          </w:rPr>
          <w:t>Use the services and assistance, as appropriate, of such organizations as the Small Business Administration, the Minority Business Development Agency of the Department of Commerce, and ADECA</w:t>
        </w:r>
        <w:r>
          <w:rPr>
            <w:noProof/>
            <w:webHidden/>
          </w:rPr>
          <w:tab/>
        </w:r>
        <w:r w:rsidR="006D6D5F">
          <w:rPr>
            <w:noProof/>
            <w:webHidden/>
          </w:rPr>
          <w:tab/>
        </w:r>
        <w:r w:rsidR="006D6D5F">
          <w:rPr>
            <w:noProof/>
            <w:webHidden/>
          </w:rPr>
          <w:tab/>
        </w:r>
        <w:r w:rsidR="006D6D5F">
          <w:rPr>
            <w:noProof/>
            <w:webHidden/>
          </w:rPr>
          <w:tab/>
        </w:r>
        <w:r>
          <w:rPr>
            <w:noProof/>
            <w:webHidden/>
          </w:rPr>
          <w:fldChar w:fldCharType="begin"/>
        </w:r>
        <w:r>
          <w:rPr>
            <w:noProof/>
            <w:webHidden/>
          </w:rPr>
          <w:instrText xml:space="preserve"> PAGEREF _Toc150852677 \h </w:instrText>
        </w:r>
        <w:r>
          <w:rPr>
            <w:noProof/>
            <w:webHidden/>
          </w:rPr>
        </w:r>
        <w:r>
          <w:rPr>
            <w:noProof/>
            <w:webHidden/>
          </w:rPr>
          <w:fldChar w:fldCharType="separate"/>
        </w:r>
        <w:r>
          <w:rPr>
            <w:noProof/>
            <w:webHidden/>
          </w:rPr>
          <w:t>96</w:t>
        </w:r>
        <w:r>
          <w:rPr>
            <w:noProof/>
            <w:webHidden/>
          </w:rPr>
          <w:fldChar w:fldCharType="end"/>
        </w:r>
      </w:hyperlink>
    </w:p>
    <w:p w:rsidR="009F37AF" w:rsidRDefault="009F37AF" w14:paraId="7D185E4F" w14:textId="29A287F4">
      <w:pPr>
        <w:pStyle w:val="TOC3"/>
        <w:rPr>
          <w:rFonts w:asciiTheme="minorHAnsi" w:hAnsiTheme="minorHAnsi" w:cstheme="minorBidi"/>
          <w:noProof/>
          <w:kern w:val="2"/>
          <w:sz w:val="22"/>
          <w:szCs w:val="22"/>
          <w14:ligatures w14:val="standardContextual"/>
        </w:rPr>
      </w:pPr>
      <w:hyperlink w:history="1" w:anchor="_Toc150852678">
        <w:r w:rsidRPr="00410559">
          <w:rPr>
            <w:rStyle w:val="Hyperlink"/>
            <w:noProof/>
          </w:rPr>
          <w:t>10.1.6</w:t>
        </w:r>
        <w:r>
          <w:rPr>
            <w:rFonts w:asciiTheme="minorHAnsi" w:hAnsiTheme="minorHAnsi" w:cstheme="minorBidi"/>
            <w:noProof/>
            <w:kern w:val="2"/>
            <w:sz w:val="22"/>
            <w:szCs w:val="22"/>
            <w14:ligatures w14:val="standardContextual"/>
          </w:rPr>
          <w:tab/>
        </w:r>
        <w:r w:rsidRPr="00410559">
          <w:rPr>
            <w:rStyle w:val="Hyperlink"/>
            <w:noProof/>
          </w:rPr>
          <w:t>Require each subgrantee to take these affirmative steps as they relate to its subcontractors</w:t>
        </w:r>
        <w:r>
          <w:rPr>
            <w:noProof/>
            <w:webHidden/>
          </w:rPr>
          <w:tab/>
        </w:r>
        <w:r>
          <w:rPr>
            <w:noProof/>
            <w:webHidden/>
          </w:rPr>
          <w:fldChar w:fldCharType="begin"/>
        </w:r>
        <w:r>
          <w:rPr>
            <w:noProof/>
            <w:webHidden/>
          </w:rPr>
          <w:instrText xml:space="preserve"> PAGEREF _Toc150852678 \h </w:instrText>
        </w:r>
        <w:r>
          <w:rPr>
            <w:noProof/>
            <w:webHidden/>
          </w:rPr>
        </w:r>
        <w:r>
          <w:rPr>
            <w:noProof/>
            <w:webHidden/>
          </w:rPr>
          <w:fldChar w:fldCharType="separate"/>
        </w:r>
        <w:r>
          <w:rPr>
            <w:noProof/>
            <w:webHidden/>
          </w:rPr>
          <w:t>96</w:t>
        </w:r>
        <w:r>
          <w:rPr>
            <w:noProof/>
            <w:webHidden/>
          </w:rPr>
          <w:fldChar w:fldCharType="end"/>
        </w:r>
      </w:hyperlink>
    </w:p>
    <w:p w:rsidR="009F37AF" w:rsidRDefault="009F37AF" w14:paraId="2AE6F57C" w14:textId="67D71730">
      <w:pPr>
        <w:pStyle w:val="TOC2"/>
        <w:rPr>
          <w:rFonts w:asciiTheme="minorHAnsi" w:hAnsiTheme="minorHAnsi" w:cstheme="minorBidi"/>
          <w:i w:val="0"/>
          <w:iCs w:val="0"/>
          <w:noProof/>
          <w:kern w:val="2"/>
          <w:sz w:val="22"/>
          <w:szCs w:val="22"/>
          <w14:ligatures w14:val="standardContextual"/>
        </w:rPr>
      </w:pPr>
      <w:hyperlink w:history="1" w:anchor="_Toc150852679">
        <w:r w:rsidRPr="00410559">
          <w:rPr>
            <w:rStyle w:val="Hyperlink"/>
            <w:noProof/>
          </w:rPr>
          <w:t>10.2</w:t>
        </w:r>
        <w:r>
          <w:rPr>
            <w:rFonts w:asciiTheme="minorHAnsi" w:hAnsiTheme="minorHAnsi" w:cstheme="minorBidi"/>
            <w:i w:val="0"/>
            <w:iCs w:val="0"/>
            <w:noProof/>
            <w:kern w:val="2"/>
            <w:sz w:val="22"/>
            <w:szCs w:val="22"/>
            <w14:ligatures w14:val="standardContextual"/>
          </w:rPr>
          <w:tab/>
        </w:r>
        <w:r w:rsidRPr="00410559">
          <w:rPr>
            <w:rStyle w:val="Hyperlink"/>
            <w:noProof/>
          </w:rPr>
          <w:t>Certification</w:t>
        </w:r>
        <w:r>
          <w:rPr>
            <w:noProof/>
            <w:webHidden/>
          </w:rPr>
          <w:tab/>
        </w:r>
        <w:r>
          <w:rPr>
            <w:noProof/>
            <w:webHidden/>
          </w:rPr>
          <w:fldChar w:fldCharType="begin"/>
        </w:r>
        <w:r>
          <w:rPr>
            <w:noProof/>
            <w:webHidden/>
          </w:rPr>
          <w:instrText xml:space="preserve"> PAGEREF _Toc150852679 \h </w:instrText>
        </w:r>
        <w:r>
          <w:rPr>
            <w:noProof/>
            <w:webHidden/>
          </w:rPr>
        </w:r>
        <w:r>
          <w:rPr>
            <w:noProof/>
            <w:webHidden/>
          </w:rPr>
          <w:fldChar w:fldCharType="separate"/>
        </w:r>
        <w:r>
          <w:rPr>
            <w:noProof/>
            <w:webHidden/>
          </w:rPr>
          <w:t>97</w:t>
        </w:r>
        <w:r>
          <w:rPr>
            <w:noProof/>
            <w:webHidden/>
          </w:rPr>
          <w:fldChar w:fldCharType="end"/>
        </w:r>
      </w:hyperlink>
    </w:p>
    <w:p w:rsidR="009F37AF" w:rsidRDefault="009F37AF" w14:paraId="79646864" w14:textId="43CFF553">
      <w:pPr>
        <w:pStyle w:val="TOC1"/>
        <w:rPr>
          <w:rFonts w:asciiTheme="minorHAnsi" w:hAnsiTheme="minorHAnsi" w:cstheme="minorBidi"/>
          <w:b w:val="0"/>
          <w:bCs w:val="0"/>
          <w:noProof/>
          <w:kern w:val="2"/>
          <w:sz w:val="22"/>
          <w:szCs w:val="22"/>
          <w14:ligatures w14:val="standardContextual"/>
        </w:rPr>
      </w:pPr>
      <w:hyperlink w:history="1" w:anchor="_Toc150852680">
        <w:r w:rsidRPr="00410559">
          <w:rPr>
            <w:rStyle w:val="Hyperlink"/>
            <w:noProof/>
          </w:rPr>
          <w:t>11.</w:t>
        </w:r>
        <w:r>
          <w:rPr>
            <w:rFonts w:asciiTheme="minorHAnsi" w:hAnsiTheme="minorHAnsi" w:cstheme="minorBidi"/>
            <w:b w:val="0"/>
            <w:bCs w:val="0"/>
            <w:noProof/>
            <w:kern w:val="2"/>
            <w:sz w:val="22"/>
            <w:szCs w:val="22"/>
            <w14:ligatures w14:val="standardContextual"/>
          </w:rPr>
          <w:tab/>
        </w:r>
        <w:r w:rsidRPr="00410559">
          <w:rPr>
            <w:rStyle w:val="Hyperlink"/>
            <w:noProof/>
          </w:rPr>
          <w:t>Cost and barrier reduction (Requirement 14)</w:t>
        </w:r>
        <w:r>
          <w:rPr>
            <w:noProof/>
            <w:webHidden/>
          </w:rPr>
          <w:tab/>
        </w:r>
        <w:r>
          <w:rPr>
            <w:noProof/>
            <w:webHidden/>
          </w:rPr>
          <w:fldChar w:fldCharType="begin"/>
        </w:r>
        <w:r>
          <w:rPr>
            <w:noProof/>
            <w:webHidden/>
          </w:rPr>
          <w:instrText xml:space="preserve"> PAGEREF _Toc150852680 \h </w:instrText>
        </w:r>
        <w:r>
          <w:rPr>
            <w:noProof/>
            <w:webHidden/>
          </w:rPr>
        </w:r>
        <w:r>
          <w:rPr>
            <w:noProof/>
            <w:webHidden/>
          </w:rPr>
          <w:fldChar w:fldCharType="separate"/>
        </w:r>
        <w:r>
          <w:rPr>
            <w:noProof/>
            <w:webHidden/>
          </w:rPr>
          <w:t>98</w:t>
        </w:r>
        <w:r>
          <w:rPr>
            <w:noProof/>
            <w:webHidden/>
          </w:rPr>
          <w:fldChar w:fldCharType="end"/>
        </w:r>
      </w:hyperlink>
    </w:p>
    <w:p w:rsidR="009F37AF" w:rsidRDefault="009F37AF" w14:paraId="1C05B612" w14:textId="228945C6">
      <w:pPr>
        <w:pStyle w:val="TOC2"/>
        <w:rPr>
          <w:rFonts w:asciiTheme="minorHAnsi" w:hAnsiTheme="minorHAnsi" w:cstheme="minorBidi"/>
          <w:i w:val="0"/>
          <w:iCs w:val="0"/>
          <w:noProof/>
          <w:kern w:val="2"/>
          <w:sz w:val="22"/>
          <w:szCs w:val="22"/>
          <w14:ligatures w14:val="standardContextual"/>
        </w:rPr>
      </w:pPr>
      <w:hyperlink w:history="1" w:anchor="_Toc150852681">
        <w:r w:rsidRPr="00410559">
          <w:rPr>
            <w:rStyle w:val="Hyperlink"/>
            <w:noProof/>
          </w:rPr>
          <w:t>11.1</w:t>
        </w:r>
        <w:r>
          <w:rPr>
            <w:rFonts w:asciiTheme="minorHAnsi" w:hAnsiTheme="minorHAnsi" w:cstheme="minorBidi"/>
            <w:i w:val="0"/>
            <w:iCs w:val="0"/>
            <w:noProof/>
            <w:kern w:val="2"/>
            <w:sz w:val="22"/>
            <w:szCs w:val="22"/>
            <w14:ligatures w14:val="standardContextual"/>
          </w:rPr>
          <w:tab/>
        </w:r>
        <w:r w:rsidRPr="00410559">
          <w:rPr>
            <w:rStyle w:val="Hyperlink"/>
            <w:noProof/>
          </w:rPr>
          <w:t>Promote the use of existing infrastructure</w:t>
        </w:r>
        <w:r>
          <w:rPr>
            <w:noProof/>
            <w:webHidden/>
          </w:rPr>
          <w:tab/>
        </w:r>
        <w:r>
          <w:rPr>
            <w:noProof/>
            <w:webHidden/>
          </w:rPr>
          <w:fldChar w:fldCharType="begin"/>
        </w:r>
        <w:r>
          <w:rPr>
            <w:noProof/>
            <w:webHidden/>
          </w:rPr>
          <w:instrText xml:space="preserve"> PAGEREF _Toc150852681 \h </w:instrText>
        </w:r>
        <w:r>
          <w:rPr>
            <w:noProof/>
            <w:webHidden/>
          </w:rPr>
        </w:r>
        <w:r>
          <w:rPr>
            <w:noProof/>
            <w:webHidden/>
          </w:rPr>
          <w:fldChar w:fldCharType="separate"/>
        </w:r>
        <w:r>
          <w:rPr>
            <w:noProof/>
            <w:webHidden/>
          </w:rPr>
          <w:t>98</w:t>
        </w:r>
        <w:r>
          <w:rPr>
            <w:noProof/>
            <w:webHidden/>
          </w:rPr>
          <w:fldChar w:fldCharType="end"/>
        </w:r>
      </w:hyperlink>
    </w:p>
    <w:p w:rsidR="009F37AF" w:rsidRDefault="009F37AF" w14:paraId="2226A031" w14:textId="0A25D8D6">
      <w:pPr>
        <w:pStyle w:val="TOC3"/>
        <w:rPr>
          <w:rFonts w:asciiTheme="minorHAnsi" w:hAnsiTheme="minorHAnsi" w:cstheme="minorBidi"/>
          <w:noProof/>
          <w:kern w:val="2"/>
          <w:sz w:val="22"/>
          <w:szCs w:val="22"/>
          <w14:ligatures w14:val="standardContextual"/>
        </w:rPr>
      </w:pPr>
      <w:hyperlink w:history="1" w:anchor="_Toc150852682">
        <w:r w:rsidRPr="00410559">
          <w:rPr>
            <w:rStyle w:val="Hyperlink"/>
            <w:noProof/>
          </w:rPr>
          <w:t>11.1.1</w:t>
        </w:r>
        <w:r>
          <w:rPr>
            <w:rFonts w:asciiTheme="minorHAnsi" w:hAnsiTheme="minorHAnsi" w:cstheme="minorBidi"/>
            <w:noProof/>
            <w:kern w:val="2"/>
            <w:sz w:val="22"/>
            <w:szCs w:val="22"/>
            <w14:ligatures w14:val="standardContextual"/>
          </w:rPr>
          <w:tab/>
        </w:r>
        <w:r w:rsidRPr="00410559">
          <w:rPr>
            <w:rStyle w:val="Hyperlink"/>
            <w:noProof/>
          </w:rPr>
          <w:t>Streamline access to state conduits, poles, and rights-of-way</w:t>
        </w:r>
        <w:r>
          <w:rPr>
            <w:noProof/>
            <w:webHidden/>
          </w:rPr>
          <w:tab/>
        </w:r>
        <w:r>
          <w:rPr>
            <w:noProof/>
            <w:webHidden/>
          </w:rPr>
          <w:fldChar w:fldCharType="begin"/>
        </w:r>
        <w:r>
          <w:rPr>
            <w:noProof/>
            <w:webHidden/>
          </w:rPr>
          <w:instrText xml:space="preserve"> PAGEREF _Toc150852682 \h </w:instrText>
        </w:r>
        <w:r>
          <w:rPr>
            <w:noProof/>
            <w:webHidden/>
          </w:rPr>
        </w:r>
        <w:r>
          <w:rPr>
            <w:noProof/>
            <w:webHidden/>
          </w:rPr>
          <w:fldChar w:fldCharType="separate"/>
        </w:r>
        <w:r>
          <w:rPr>
            <w:noProof/>
            <w:webHidden/>
          </w:rPr>
          <w:t>98</w:t>
        </w:r>
        <w:r>
          <w:rPr>
            <w:noProof/>
            <w:webHidden/>
          </w:rPr>
          <w:fldChar w:fldCharType="end"/>
        </w:r>
      </w:hyperlink>
    </w:p>
    <w:p w:rsidR="009F37AF" w:rsidRDefault="009F37AF" w14:paraId="3EDC2E80" w14:textId="658C5C46">
      <w:pPr>
        <w:pStyle w:val="TOC3"/>
        <w:rPr>
          <w:rFonts w:asciiTheme="minorHAnsi" w:hAnsiTheme="minorHAnsi" w:cstheme="minorBidi"/>
          <w:noProof/>
          <w:kern w:val="2"/>
          <w:sz w:val="22"/>
          <w:szCs w:val="22"/>
          <w14:ligatures w14:val="standardContextual"/>
        </w:rPr>
      </w:pPr>
      <w:hyperlink w:history="1" w:anchor="_Toc150852683">
        <w:r w:rsidRPr="00410559">
          <w:rPr>
            <w:rStyle w:val="Hyperlink"/>
            <w:noProof/>
          </w:rPr>
          <w:t>11.1.2</w:t>
        </w:r>
        <w:r>
          <w:rPr>
            <w:rFonts w:asciiTheme="minorHAnsi" w:hAnsiTheme="minorHAnsi" w:cstheme="minorBidi"/>
            <w:noProof/>
            <w:kern w:val="2"/>
            <w:sz w:val="22"/>
            <w:szCs w:val="22"/>
            <w14:ligatures w14:val="standardContextual"/>
          </w:rPr>
          <w:tab/>
        </w:r>
        <w:r w:rsidRPr="00410559">
          <w:rPr>
            <w:rStyle w:val="Hyperlink"/>
            <w:noProof/>
          </w:rPr>
          <w:t>Encourage local communities to leverage their poles and conduits</w:t>
        </w:r>
        <w:r>
          <w:rPr>
            <w:noProof/>
            <w:webHidden/>
          </w:rPr>
          <w:tab/>
        </w:r>
        <w:r>
          <w:rPr>
            <w:noProof/>
            <w:webHidden/>
          </w:rPr>
          <w:fldChar w:fldCharType="begin"/>
        </w:r>
        <w:r>
          <w:rPr>
            <w:noProof/>
            <w:webHidden/>
          </w:rPr>
          <w:instrText xml:space="preserve"> PAGEREF _Toc150852683 \h </w:instrText>
        </w:r>
        <w:r>
          <w:rPr>
            <w:noProof/>
            <w:webHidden/>
          </w:rPr>
        </w:r>
        <w:r>
          <w:rPr>
            <w:noProof/>
            <w:webHidden/>
          </w:rPr>
          <w:fldChar w:fldCharType="separate"/>
        </w:r>
        <w:r>
          <w:rPr>
            <w:noProof/>
            <w:webHidden/>
          </w:rPr>
          <w:t>99</w:t>
        </w:r>
        <w:r>
          <w:rPr>
            <w:noProof/>
            <w:webHidden/>
          </w:rPr>
          <w:fldChar w:fldCharType="end"/>
        </w:r>
      </w:hyperlink>
    </w:p>
    <w:p w:rsidR="009F37AF" w:rsidRDefault="009F37AF" w14:paraId="1FF0AEE8" w14:textId="4B2B4233">
      <w:pPr>
        <w:pStyle w:val="TOC3"/>
        <w:rPr>
          <w:rFonts w:asciiTheme="minorHAnsi" w:hAnsiTheme="minorHAnsi" w:cstheme="minorBidi"/>
          <w:noProof/>
          <w:kern w:val="2"/>
          <w:sz w:val="22"/>
          <w:szCs w:val="22"/>
          <w14:ligatures w14:val="standardContextual"/>
        </w:rPr>
      </w:pPr>
      <w:hyperlink w:history="1" w:anchor="_Toc150852684">
        <w:r w:rsidRPr="00410559">
          <w:rPr>
            <w:rStyle w:val="Hyperlink"/>
            <w:noProof/>
          </w:rPr>
          <w:t>11.1.3</w:t>
        </w:r>
        <w:r>
          <w:rPr>
            <w:rFonts w:asciiTheme="minorHAnsi" w:hAnsiTheme="minorHAnsi" w:cstheme="minorBidi"/>
            <w:noProof/>
            <w:kern w:val="2"/>
            <w:sz w:val="22"/>
            <w:szCs w:val="22"/>
            <w14:ligatures w14:val="standardContextual"/>
          </w:rPr>
          <w:tab/>
        </w:r>
        <w:r w:rsidRPr="00410559">
          <w:rPr>
            <w:rStyle w:val="Hyperlink"/>
            <w:noProof/>
          </w:rPr>
          <w:t>Allow access to limited access rights-of-way for last-mile broadband providers providing service to unserved locations</w:t>
        </w:r>
        <w:r>
          <w:rPr>
            <w:noProof/>
            <w:webHidden/>
          </w:rPr>
          <w:tab/>
        </w:r>
        <w:r>
          <w:rPr>
            <w:noProof/>
            <w:webHidden/>
          </w:rPr>
          <w:fldChar w:fldCharType="begin"/>
        </w:r>
        <w:r>
          <w:rPr>
            <w:noProof/>
            <w:webHidden/>
          </w:rPr>
          <w:instrText xml:space="preserve"> PAGEREF _Toc150852684 \h </w:instrText>
        </w:r>
        <w:r>
          <w:rPr>
            <w:noProof/>
            <w:webHidden/>
          </w:rPr>
        </w:r>
        <w:r>
          <w:rPr>
            <w:noProof/>
            <w:webHidden/>
          </w:rPr>
          <w:fldChar w:fldCharType="separate"/>
        </w:r>
        <w:r>
          <w:rPr>
            <w:noProof/>
            <w:webHidden/>
          </w:rPr>
          <w:t>100</w:t>
        </w:r>
        <w:r>
          <w:rPr>
            <w:noProof/>
            <w:webHidden/>
          </w:rPr>
          <w:fldChar w:fldCharType="end"/>
        </w:r>
      </w:hyperlink>
    </w:p>
    <w:p w:rsidR="009F37AF" w:rsidRDefault="009F37AF" w14:paraId="6F72BBEA" w14:textId="2572DB1D">
      <w:pPr>
        <w:pStyle w:val="TOC3"/>
        <w:rPr>
          <w:rFonts w:asciiTheme="minorHAnsi" w:hAnsiTheme="minorHAnsi" w:cstheme="minorBidi"/>
          <w:noProof/>
          <w:kern w:val="2"/>
          <w:sz w:val="22"/>
          <w:szCs w:val="22"/>
          <w14:ligatures w14:val="standardContextual"/>
        </w:rPr>
      </w:pPr>
      <w:hyperlink w:history="1" w:anchor="_Toc150852685">
        <w:r w:rsidRPr="00410559">
          <w:rPr>
            <w:rStyle w:val="Hyperlink"/>
            <w:noProof/>
          </w:rPr>
          <w:t>11.1.4</w:t>
        </w:r>
        <w:r>
          <w:rPr>
            <w:rFonts w:asciiTheme="minorHAnsi" w:hAnsiTheme="minorHAnsi" w:cstheme="minorBidi"/>
            <w:noProof/>
            <w:kern w:val="2"/>
            <w:sz w:val="22"/>
            <w:szCs w:val="22"/>
            <w14:ligatures w14:val="standardContextual"/>
          </w:rPr>
          <w:tab/>
        </w:r>
        <w:r w:rsidRPr="00410559">
          <w:rPr>
            <w:rStyle w:val="Hyperlink"/>
            <w:noProof/>
          </w:rPr>
          <w:t>Facilitate applicant access to mapping data</w:t>
        </w:r>
        <w:r>
          <w:rPr>
            <w:noProof/>
            <w:webHidden/>
          </w:rPr>
          <w:tab/>
        </w:r>
        <w:r>
          <w:rPr>
            <w:noProof/>
            <w:webHidden/>
          </w:rPr>
          <w:fldChar w:fldCharType="begin"/>
        </w:r>
        <w:r>
          <w:rPr>
            <w:noProof/>
            <w:webHidden/>
          </w:rPr>
          <w:instrText xml:space="preserve"> PAGEREF _Toc150852685 \h </w:instrText>
        </w:r>
        <w:r>
          <w:rPr>
            <w:noProof/>
            <w:webHidden/>
          </w:rPr>
        </w:r>
        <w:r>
          <w:rPr>
            <w:noProof/>
            <w:webHidden/>
          </w:rPr>
          <w:fldChar w:fldCharType="separate"/>
        </w:r>
        <w:r>
          <w:rPr>
            <w:noProof/>
            <w:webHidden/>
          </w:rPr>
          <w:t>100</w:t>
        </w:r>
        <w:r>
          <w:rPr>
            <w:noProof/>
            <w:webHidden/>
          </w:rPr>
          <w:fldChar w:fldCharType="end"/>
        </w:r>
      </w:hyperlink>
    </w:p>
    <w:p w:rsidR="009F37AF" w:rsidRDefault="009F37AF" w14:paraId="1FA004B5" w14:textId="3024EC61">
      <w:pPr>
        <w:pStyle w:val="TOC2"/>
        <w:rPr>
          <w:rFonts w:asciiTheme="minorHAnsi" w:hAnsiTheme="minorHAnsi" w:cstheme="minorBidi"/>
          <w:i w:val="0"/>
          <w:iCs w:val="0"/>
          <w:noProof/>
          <w:kern w:val="2"/>
          <w:sz w:val="22"/>
          <w:szCs w:val="22"/>
          <w14:ligatures w14:val="standardContextual"/>
        </w:rPr>
      </w:pPr>
      <w:hyperlink w:history="1" w:anchor="_Toc150852686">
        <w:r w:rsidRPr="00410559">
          <w:rPr>
            <w:rStyle w:val="Hyperlink"/>
            <w:noProof/>
          </w:rPr>
          <w:t>11.2</w:t>
        </w:r>
        <w:r>
          <w:rPr>
            <w:rFonts w:asciiTheme="minorHAnsi" w:hAnsiTheme="minorHAnsi" w:cstheme="minorBidi"/>
            <w:i w:val="0"/>
            <w:iCs w:val="0"/>
            <w:noProof/>
            <w:kern w:val="2"/>
            <w:sz w:val="22"/>
            <w:szCs w:val="22"/>
            <w14:ligatures w14:val="standardContextual"/>
          </w:rPr>
          <w:tab/>
        </w:r>
        <w:r w:rsidRPr="00410559">
          <w:rPr>
            <w:rStyle w:val="Hyperlink"/>
            <w:noProof/>
          </w:rPr>
          <w:t>Promote dig-once policies by providing best practice guide for localities</w:t>
        </w:r>
        <w:r>
          <w:rPr>
            <w:noProof/>
            <w:webHidden/>
          </w:rPr>
          <w:tab/>
        </w:r>
        <w:r>
          <w:rPr>
            <w:noProof/>
            <w:webHidden/>
          </w:rPr>
          <w:fldChar w:fldCharType="begin"/>
        </w:r>
        <w:r>
          <w:rPr>
            <w:noProof/>
            <w:webHidden/>
          </w:rPr>
          <w:instrText xml:space="preserve"> PAGEREF _Toc150852686 \h </w:instrText>
        </w:r>
        <w:r>
          <w:rPr>
            <w:noProof/>
            <w:webHidden/>
          </w:rPr>
        </w:r>
        <w:r>
          <w:rPr>
            <w:noProof/>
            <w:webHidden/>
          </w:rPr>
          <w:fldChar w:fldCharType="separate"/>
        </w:r>
        <w:r>
          <w:rPr>
            <w:noProof/>
            <w:webHidden/>
          </w:rPr>
          <w:t>100</w:t>
        </w:r>
        <w:r>
          <w:rPr>
            <w:noProof/>
            <w:webHidden/>
          </w:rPr>
          <w:fldChar w:fldCharType="end"/>
        </w:r>
      </w:hyperlink>
    </w:p>
    <w:p w:rsidR="009F37AF" w:rsidRDefault="009F37AF" w14:paraId="58E1619A" w14:textId="3AA44A3B">
      <w:pPr>
        <w:pStyle w:val="TOC2"/>
        <w:rPr>
          <w:rFonts w:asciiTheme="minorHAnsi" w:hAnsiTheme="minorHAnsi" w:cstheme="minorBidi"/>
          <w:i w:val="0"/>
          <w:iCs w:val="0"/>
          <w:noProof/>
          <w:kern w:val="2"/>
          <w:sz w:val="22"/>
          <w:szCs w:val="22"/>
          <w14:ligatures w14:val="standardContextual"/>
        </w:rPr>
      </w:pPr>
      <w:hyperlink w:history="1" w:anchor="_Toc150852687">
        <w:r w:rsidRPr="00410559">
          <w:rPr>
            <w:rStyle w:val="Hyperlink"/>
            <w:noProof/>
          </w:rPr>
          <w:t>11.3</w:t>
        </w:r>
        <w:r>
          <w:rPr>
            <w:rFonts w:asciiTheme="minorHAnsi" w:hAnsiTheme="minorHAnsi" w:cstheme="minorBidi"/>
            <w:i w:val="0"/>
            <w:iCs w:val="0"/>
            <w:noProof/>
            <w:kern w:val="2"/>
            <w:sz w:val="22"/>
            <w:szCs w:val="22"/>
            <w14:ligatures w14:val="standardContextual"/>
          </w:rPr>
          <w:tab/>
        </w:r>
        <w:r w:rsidRPr="00410559">
          <w:rPr>
            <w:rStyle w:val="Hyperlink"/>
            <w:noProof/>
          </w:rPr>
          <w:t>Streamline permitting processes</w:t>
        </w:r>
        <w:r>
          <w:rPr>
            <w:noProof/>
            <w:webHidden/>
          </w:rPr>
          <w:tab/>
        </w:r>
        <w:r>
          <w:rPr>
            <w:noProof/>
            <w:webHidden/>
          </w:rPr>
          <w:fldChar w:fldCharType="begin"/>
        </w:r>
        <w:r>
          <w:rPr>
            <w:noProof/>
            <w:webHidden/>
          </w:rPr>
          <w:instrText xml:space="preserve"> PAGEREF _Toc150852687 \h </w:instrText>
        </w:r>
        <w:r>
          <w:rPr>
            <w:noProof/>
            <w:webHidden/>
          </w:rPr>
        </w:r>
        <w:r>
          <w:rPr>
            <w:noProof/>
            <w:webHidden/>
          </w:rPr>
          <w:fldChar w:fldCharType="separate"/>
        </w:r>
        <w:r>
          <w:rPr>
            <w:noProof/>
            <w:webHidden/>
          </w:rPr>
          <w:t>101</w:t>
        </w:r>
        <w:r>
          <w:rPr>
            <w:noProof/>
            <w:webHidden/>
          </w:rPr>
          <w:fldChar w:fldCharType="end"/>
        </w:r>
      </w:hyperlink>
    </w:p>
    <w:p w:rsidR="009F37AF" w:rsidRDefault="009F37AF" w14:paraId="596A4695" w14:textId="67E5650E">
      <w:pPr>
        <w:pStyle w:val="TOC3"/>
        <w:rPr>
          <w:rFonts w:asciiTheme="minorHAnsi" w:hAnsiTheme="minorHAnsi" w:cstheme="minorBidi"/>
          <w:noProof/>
          <w:kern w:val="2"/>
          <w:sz w:val="22"/>
          <w:szCs w:val="22"/>
          <w14:ligatures w14:val="standardContextual"/>
        </w:rPr>
      </w:pPr>
      <w:hyperlink w:history="1" w:anchor="_Toc150852688">
        <w:r w:rsidRPr="00410559">
          <w:rPr>
            <w:rStyle w:val="Hyperlink"/>
            <w:noProof/>
          </w:rPr>
          <w:t>11.3.1</w:t>
        </w:r>
        <w:r>
          <w:rPr>
            <w:rFonts w:asciiTheme="minorHAnsi" w:hAnsiTheme="minorHAnsi" w:cstheme="minorBidi"/>
            <w:noProof/>
            <w:kern w:val="2"/>
            <w:sz w:val="22"/>
            <w:szCs w:val="22"/>
            <w14:ligatures w14:val="standardContextual"/>
          </w:rPr>
          <w:tab/>
        </w:r>
        <w:r w:rsidRPr="00410559">
          <w:rPr>
            <w:rStyle w:val="Hyperlink"/>
            <w:noProof/>
          </w:rPr>
          <w:t>Optimize local permitting processes</w:t>
        </w:r>
        <w:r>
          <w:rPr>
            <w:noProof/>
            <w:webHidden/>
          </w:rPr>
          <w:tab/>
        </w:r>
        <w:r>
          <w:rPr>
            <w:noProof/>
            <w:webHidden/>
          </w:rPr>
          <w:fldChar w:fldCharType="begin"/>
        </w:r>
        <w:r>
          <w:rPr>
            <w:noProof/>
            <w:webHidden/>
          </w:rPr>
          <w:instrText xml:space="preserve"> PAGEREF _Toc150852688 \h </w:instrText>
        </w:r>
        <w:r>
          <w:rPr>
            <w:noProof/>
            <w:webHidden/>
          </w:rPr>
        </w:r>
        <w:r>
          <w:rPr>
            <w:noProof/>
            <w:webHidden/>
          </w:rPr>
          <w:fldChar w:fldCharType="separate"/>
        </w:r>
        <w:r>
          <w:rPr>
            <w:noProof/>
            <w:webHidden/>
          </w:rPr>
          <w:t>101</w:t>
        </w:r>
        <w:r>
          <w:rPr>
            <w:noProof/>
            <w:webHidden/>
          </w:rPr>
          <w:fldChar w:fldCharType="end"/>
        </w:r>
      </w:hyperlink>
    </w:p>
    <w:p w:rsidR="009F37AF" w:rsidRDefault="009F37AF" w14:paraId="5D22A2B6" w14:textId="4557E718">
      <w:pPr>
        <w:pStyle w:val="TOC3"/>
        <w:rPr>
          <w:rFonts w:asciiTheme="minorHAnsi" w:hAnsiTheme="minorHAnsi" w:cstheme="minorBidi"/>
          <w:noProof/>
          <w:kern w:val="2"/>
          <w:sz w:val="22"/>
          <w:szCs w:val="22"/>
          <w14:ligatures w14:val="standardContextual"/>
        </w:rPr>
      </w:pPr>
      <w:hyperlink w:history="1" w:anchor="_Toc150852689">
        <w:r w:rsidRPr="00410559">
          <w:rPr>
            <w:rStyle w:val="Hyperlink"/>
            <w:noProof/>
          </w:rPr>
          <w:t>11.3.2</w:t>
        </w:r>
        <w:r>
          <w:rPr>
            <w:rFonts w:asciiTheme="minorHAnsi" w:hAnsiTheme="minorHAnsi" w:cstheme="minorBidi"/>
            <w:noProof/>
            <w:kern w:val="2"/>
            <w:sz w:val="22"/>
            <w:szCs w:val="22"/>
            <w14:ligatures w14:val="standardContextual"/>
          </w:rPr>
          <w:tab/>
        </w:r>
        <w:r w:rsidRPr="00410559">
          <w:rPr>
            <w:rStyle w:val="Hyperlink"/>
            <w:noProof/>
          </w:rPr>
          <w:t>Streamline state permitting processes by developing fast-track permit and pre-approved construction methods</w:t>
        </w:r>
        <w:r>
          <w:rPr>
            <w:noProof/>
            <w:webHidden/>
          </w:rPr>
          <w:tab/>
        </w:r>
        <w:r>
          <w:rPr>
            <w:noProof/>
            <w:webHidden/>
          </w:rPr>
          <w:fldChar w:fldCharType="begin"/>
        </w:r>
        <w:r>
          <w:rPr>
            <w:noProof/>
            <w:webHidden/>
          </w:rPr>
          <w:instrText xml:space="preserve"> PAGEREF _Toc150852689 \h </w:instrText>
        </w:r>
        <w:r>
          <w:rPr>
            <w:noProof/>
            <w:webHidden/>
          </w:rPr>
        </w:r>
        <w:r>
          <w:rPr>
            <w:noProof/>
            <w:webHidden/>
          </w:rPr>
          <w:fldChar w:fldCharType="separate"/>
        </w:r>
        <w:r>
          <w:rPr>
            <w:noProof/>
            <w:webHidden/>
          </w:rPr>
          <w:t>101</w:t>
        </w:r>
        <w:r>
          <w:rPr>
            <w:noProof/>
            <w:webHidden/>
          </w:rPr>
          <w:fldChar w:fldCharType="end"/>
        </w:r>
      </w:hyperlink>
    </w:p>
    <w:p w:rsidR="009F37AF" w:rsidRDefault="009F37AF" w14:paraId="14C8FF21" w14:textId="6071E69E">
      <w:pPr>
        <w:pStyle w:val="TOC3"/>
        <w:rPr>
          <w:rFonts w:asciiTheme="minorHAnsi" w:hAnsiTheme="minorHAnsi" w:cstheme="minorBidi"/>
          <w:noProof/>
          <w:kern w:val="2"/>
          <w:sz w:val="22"/>
          <w:szCs w:val="22"/>
          <w14:ligatures w14:val="standardContextual"/>
        </w:rPr>
      </w:pPr>
      <w:hyperlink w:history="1" w:anchor="_Toc150852690">
        <w:r w:rsidRPr="00410559">
          <w:rPr>
            <w:rStyle w:val="Hyperlink"/>
            <w:noProof/>
          </w:rPr>
          <w:t>11.3.3</w:t>
        </w:r>
        <w:r>
          <w:rPr>
            <w:rFonts w:asciiTheme="minorHAnsi" w:hAnsiTheme="minorHAnsi" w:cstheme="minorBidi"/>
            <w:noProof/>
            <w:kern w:val="2"/>
            <w:sz w:val="22"/>
            <w:szCs w:val="22"/>
            <w14:ligatures w14:val="standardContextual"/>
          </w:rPr>
          <w:tab/>
        </w:r>
        <w:r w:rsidRPr="00410559">
          <w:rPr>
            <w:rStyle w:val="Hyperlink"/>
            <w:noProof/>
          </w:rPr>
          <w:t>Shrink federal permitting timelines by partnering with NTIA to discuss a streamlined “shot clock” permit process</w:t>
        </w:r>
        <w:r>
          <w:rPr>
            <w:noProof/>
            <w:webHidden/>
          </w:rPr>
          <w:tab/>
        </w:r>
        <w:r>
          <w:rPr>
            <w:noProof/>
            <w:webHidden/>
          </w:rPr>
          <w:fldChar w:fldCharType="begin"/>
        </w:r>
        <w:r>
          <w:rPr>
            <w:noProof/>
            <w:webHidden/>
          </w:rPr>
          <w:instrText xml:space="preserve"> PAGEREF _Toc150852690 \h </w:instrText>
        </w:r>
        <w:r>
          <w:rPr>
            <w:noProof/>
            <w:webHidden/>
          </w:rPr>
        </w:r>
        <w:r>
          <w:rPr>
            <w:noProof/>
            <w:webHidden/>
          </w:rPr>
          <w:fldChar w:fldCharType="separate"/>
        </w:r>
        <w:r>
          <w:rPr>
            <w:noProof/>
            <w:webHidden/>
          </w:rPr>
          <w:t>102</w:t>
        </w:r>
        <w:r>
          <w:rPr>
            <w:noProof/>
            <w:webHidden/>
          </w:rPr>
          <w:fldChar w:fldCharType="end"/>
        </w:r>
      </w:hyperlink>
    </w:p>
    <w:p w:rsidR="009F37AF" w:rsidRDefault="009F37AF" w14:paraId="7DF054C0" w14:textId="3C358512">
      <w:pPr>
        <w:pStyle w:val="TOC2"/>
        <w:rPr>
          <w:rFonts w:asciiTheme="minorHAnsi" w:hAnsiTheme="minorHAnsi" w:cstheme="minorBidi"/>
          <w:i w:val="0"/>
          <w:iCs w:val="0"/>
          <w:noProof/>
          <w:kern w:val="2"/>
          <w:sz w:val="22"/>
          <w:szCs w:val="22"/>
          <w14:ligatures w14:val="standardContextual"/>
        </w:rPr>
      </w:pPr>
      <w:hyperlink w:history="1" w:anchor="_Toc150852691">
        <w:r w:rsidRPr="00410559">
          <w:rPr>
            <w:rStyle w:val="Hyperlink"/>
            <w:noProof/>
          </w:rPr>
          <w:t>11.4</w:t>
        </w:r>
        <w:r>
          <w:rPr>
            <w:rFonts w:asciiTheme="minorHAnsi" w:hAnsiTheme="minorHAnsi" w:cstheme="minorBidi"/>
            <w:i w:val="0"/>
            <w:iCs w:val="0"/>
            <w:noProof/>
            <w:kern w:val="2"/>
            <w:sz w:val="22"/>
            <w:szCs w:val="22"/>
            <w14:ligatures w14:val="standardContextual"/>
          </w:rPr>
          <w:tab/>
        </w:r>
        <w:r w:rsidRPr="00410559">
          <w:rPr>
            <w:rStyle w:val="Hyperlink"/>
            <w:noProof/>
          </w:rPr>
          <w:t>Reduce construction costs</w:t>
        </w:r>
        <w:r>
          <w:rPr>
            <w:noProof/>
            <w:webHidden/>
          </w:rPr>
          <w:tab/>
        </w:r>
        <w:r>
          <w:rPr>
            <w:noProof/>
            <w:webHidden/>
          </w:rPr>
          <w:fldChar w:fldCharType="begin"/>
        </w:r>
        <w:r>
          <w:rPr>
            <w:noProof/>
            <w:webHidden/>
          </w:rPr>
          <w:instrText xml:space="preserve"> PAGEREF _Toc150852691 \h </w:instrText>
        </w:r>
        <w:r>
          <w:rPr>
            <w:noProof/>
            <w:webHidden/>
          </w:rPr>
        </w:r>
        <w:r>
          <w:rPr>
            <w:noProof/>
            <w:webHidden/>
          </w:rPr>
          <w:fldChar w:fldCharType="separate"/>
        </w:r>
        <w:r>
          <w:rPr>
            <w:noProof/>
            <w:webHidden/>
          </w:rPr>
          <w:t>102</w:t>
        </w:r>
        <w:r>
          <w:rPr>
            <w:noProof/>
            <w:webHidden/>
          </w:rPr>
          <w:fldChar w:fldCharType="end"/>
        </w:r>
      </w:hyperlink>
    </w:p>
    <w:p w:rsidR="009F37AF" w:rsidRDefault="009F37AF" w14:paraId="07F039B2" w14:textId="70B1619D">
      <w:pPr>
        <w:pStyle w:val="TOC3"/>
        <w:rPr>
          <w:rFonts w:asciiTheme="minorHAnsi" w:hAnsiTheme="minorHAnsi" w:cstheme="minorBidi"/>
          <w:noProof/>
          <w:kern w:val="2"/>
          <w:sz w:val="22"/>
          <w:szCs w:val="22"/>
          <w14:ligatures w14:val="standardContextual"/>
        </w:rPr>
      </w:pPr>
      <w:hyperlink w:history="1" w:anchor="_Toc150852692">
        <w:r w:rsidRPr="00410559">
          <w:rPr>
            <w:rStyle w:val="Hyperlink"/>
            <w:noProof/>
          </w:rPr>
          <w:t>11.4.1</w:t>
        </w:r>
        <w:r>
          <w:rPr>
            <w:rFonts w:asciiTheme="minorHAnsi" w:hAnsiTheme="minorHAnsi" w:cstheme="minorBidi"/>
            <w:noProof/>
            <w:kern w:val="2"/>
            <w:sz w:val="22"/>
            <w:szCs w:val="22"/>
            <w14:ligatures w14:val="standardContextual"/>
          </w:rPr>
          <w:tab/>
        </w:r>
        <w:r w:rsidRPr="00410559">
          <w:rPr>
            <w:rStyle w:val="Hyperlink"/>
            <w:noProof/>
          </w:rPr>
          <w:t>Encourage specialized equipment sharing</w:t>
        </w:r>
        <w:r>
          <w:rPr>
            <w:noProof/>
            <w:webHidden/>
          </w:rPr>
          <w:tab/>
        </w:r>
        <w:r>
          <w:rPr>
            <w:noProof/>
            <w:webHidden/>
          </w:rPr>
          <w:fldChar w:fldCharType="begin"/>
        </w:r>
        <w:r>
          <w:rPr>
            <w:noProof/>
            <w:webHidden/>
          </w:rPr>
          <w:instrText xml:space="preserve"> PAGEREF _Toc150852692 \h </w:instrText>
        </w:r>
        <w:r>
          <w:rPr>
            <w:noProof/>
            <w:webHidden/>
          </w:rPr>
        </w:r>
        <w:r>
          <w:rPr>
            <w:noProof/>
            <w:webHidden/>
          </w:rPr>
          <w:fldChar w:fldCharType="separate"/>
        </w:r>
        <w:r>
          <w:rPr>
            <w:noProof/>
            <w:webHidden/>
          </w:rPr>
          <w:t>102</w:t>
        </w:r>
        <w:r>
          <w:rPr>
            <w:noProof/>
            <w:webHidden/>
          </w:rPr>
          <w:fldChar w:fldCharType="end"/>
        </w:r>
      </w:hyperlink>
    </w:p>
    <w:p w:rsidR="009F37AF" w:rsidRDefault="009F37AF" w14:paraId="25E22387" w14:textId="08F4044E">
      <w:pPr>
        <w:pStyle w:val="TOC3"/>
        <w:rPr>
          <w:rFonts w:asciiTheme="minorHAnsi" w:hAnsiTheme="minorHAnsi" w:cstheme="minorBidi"/>
          <w:noProof/>
          <w:kern w:val="2"/>
          <w:sz w:val="22"/>
          <w:szCs w:val="22"/>
          <w14:ligatures w14:val="standardContextual"/>
        </w:rPr>
      </w:pPr>
      <w:hyperlink w:history="1" w:anchor="_Toc150852693">
        <w:r w:rsidRPr="00410559">
          <w:rPr>
            <w:rStyle w:val="Hyperlink"/>
            <w:noProof/>
          </w:rPr>
          <w:t>11.4.2</w:t>
        </w:r>
        <w:r>
          <w:rPr>
            <w:rFonts w:asciiTheme="minorHAnsi" w:hAnsiTheme="minorHAnsi" w:cstheme="minorBidi"/>
            <w:noProof/>
            <w:kern w:val="2"/>
            <w:sz w:val="22"/>
            <w:szCs w:val="22"/>
            <w14:ligatures w14:val="standardContextual"/>
          </w:rPr>
          <w:tab/>
        </w:r>
        <w:r w:rsidRPr="00410559">
          <w:rPr>
            <w:rStyle w:val="Hyperlink"/>
            <w:noProof/>
          </w:rPr>
          <w:t>Facilitate construction to and within buildings</w:t>
        </w:r>
        <w:r>
          <w:rPr>
            <w:noProof/>
            <w:webHidden/>
          </w:rPr>
          <w:tab/>
        </w:r>
        <w:r>
          <w:rPr>
            <w:noProof/>
            <w:webHidden/>
          </w:rPr>
          <w:fldChar w:fldCharType="begin"/>
        </w:r>
        <w:r>
          <w:rPr>
            <w:noProof/>
            <w:webHidden/>
          </w:rPr>
          <w:instrText xml:space="preserve"> PAGEREF _Toc150852693 \h </w:instrText>
        </w:r>
        <w:r>
          <w:rPr>
            <w:noProof/>
            <w:webHidden/>
          </w:rPr>
        </w:r>
        <w:r>
          <w:rPr>
            <w:noProof/>
            <w:webHidden/>
          </w:rPr>
          <w:fldChar w:fldCharType="separate"/>
        </w:r>
        <w:r>
          <w:rPr>
            <w:noProof/>
            <w:webHidden/>
          </w:rPr>
          <w:t>102</w:t>
        </w:r>
        <w:r>
          <w:rPr>
            <w:noProof/>
            <w:webHidden/>
          </w:rPr>
          <w:fldChar w:fldCharType="end"/>
        </w:r>
      </w:hyperlink>
    </w:p>
    <w:p w:rsidR="009F37AF" w:rsidRDefault="009F37AF" w14:paraId="6F79BEEB" w14:textId="359B882A">
      <w:pPr>
        <w:pStyle w:val="TOC2"/>
        <w:rPr>
          <w:rFonts w:asciiTheme="minorHAnsi" w:hAnsiTheme="minorHAnsi" w:cstheme="minorBidi"/>
          <w:i w:val="0"/>
          <w:iCs w:val="0"/>
          <w:noProof/>
          <w:kern w:val="2"/>
          <w:sz w:val="22"/>
          <w:szCs w:val="22"/>
          <w14:ligatures w14:val="standardContextual"/>
        </w:rPr>
      </w:pPr>
      <w:hyperlink w:history="1" w:anchor="_Toc150852694">
        <w:r w:rsidRPr="00410559">
          <w:rPr>
            <w:rStyle w:val="Hyperlink"/>
            <w:noProof/>
          </w:rPr>
          <w:t>11.5</w:t>
        </w:r>
        <w:r>
          <w:rPr>
            <w:rFonts w:asciiTheme="minorHAnsi" w:hAnsiTheme="minorHAnsi" w:cstheme="minorBidi"/>
            <w:i w:val="0"/>
            <w:iCs w:val="0"/>
            <w:noProof/>
            <w:kern w:val="2"/>
            <w:sz w:val="22"/>
            <w:szCs w:val="22"/>
            <w14:ligatures w14:val="standardContextual"/>
          </w:rPr>
          <w:tab/>
        </w:r>
        <w:r w:rsidRPr="00410559">
          <w:rPr>
            <w:rStyle w:val="Hyperlink"/>
            <w:noProof/>
          </w:rPr>
          <w:t>Reduce drop costs</w:t>
        </w:r>
        <w:r>
          <w:rPr>
            <w:noProof/>
            <w:webHidden/>
          </w:rPr>
          <w:tab/>
        </w:r>
        <w:r>
          <w:rPr>
            <w:noProof/>
            <w:webHidden/>
          </w:rPr>
          <w:fldChar w:fldCharType="begin"/>
        </w:r>
        <w:r>
          <w:rPr>
            <w:noProof/>
            <w:webHidden/>
          </w:rPr>
          <w:instrText xml:space="preserve"> PAGEREF _Toc150852694 \h </w:instrText>
        </w:r>
        <w:r>
          <w:rPr>
            <w:noProof/>
            <w:webHidden/>
          </w:rPr>
        </w:r>
        <w:r>
          <w:rPr>
            <w:noProof/>
            <w:webHidden/>
          </w:rPr>
          <w:fldChar w:fldCharType="separate"/>
        </w:r>
        <w:r>
          <w:rPr>
            <w:noProof/>
            <w:webHidden/>
          </w:rPr>
          <w:t>103</w:t>
        </w:r>
        <w:r>
          <w:rPr>
            <w:noProof/>
            <w:webHidden/>
          </w:rPr>
          <w:fldChar w:fldCharType="end"/>
        </w:r>
      </w:hyperlink>
    </w:p>
    <w:p w:rsidR="009F37AF" w:rsidRDefault="009F37AF" w14:paraId="2C9E2526" w14:textId="7032FA49">
      <w:pPr>
        <w:pStyle w:val="TOC2"/>
        <w:rPr>
          <w:rFonts w:asciiTheme="minorHAnsi" w:hAnsiTheme="minorHAnsi" w:cstheme="minorBidi"/>
          <w:i w:val="0"/>
          <w:iCs w:val="0"/>
          <w:noProof/>
          <w:kern w:val="2"/>
          <w:sz w:val="22"/>
          <w:szCs w:val="22"/>
          <w14:ligatures w14:val="standardContextual"/>
        </w:rPr>
      </w:pPr>
      <w:hyperlink w:history="1" w:anchor="_Toc150852695">
        <w:r w:rsidRPr="00410559">
          <w:rPr>
            <w:rStyle w:val="Hyperlink"/>
            <w:noProof/>
          </w:rPr>
          <w:t>11.6</w:t>
        </w:r>
        <w:r>
          <w:rPr>
            <w:rFonts w:asciiTheme="minorHAnsi" w:hAnsiTheme="minorHAnsi" w:cstheme="minorBidi"/>
            <w:i w:val="0"/>
            <w:iCs w:val="0"/>
            <w:noProof/>
            <w:kern w:val="2"/>
            <w:sz w:val="22"/>
            <w:szCs w:val="22"/>
            <w14:ligatures w14:val="standardContextual"/>
          </w:rPr>
          <w:tab/>
        </w:r>
        <w:r w:rsidRPr="00410559">
          <w:rPr>
            <w:rStyle w:val="Hyperlink"/>
            <w:noProof/>
          </w:rPr>
          <w:t>Reduce labor costs</w:t>
        </w:r>
        <w:r>
          <w:rPr>
            <w:noProof/>
            <w:webHidden/>
          </w:rPr>
          <w:tab/>
        </w:r>
        <w:r>
          <w:rPr>
            <w:noProof/>
            <w:webHidden/>
          </w:rPr>
          <w:fldChar w:fldCharType="begin"/>
        </w:r>
        <w:r>
          <w:rPr>
            <w:noProof/>
            <w:webHidden/>
          </w:rPr>
          <w:instrText xml:space="preserve"> PAGEREF _Toc150852695 \h </w:instrText>
        </w:r>
        <w:r>
          <w:rPr>
            <w:noProof/>
            <w:webHidden/>
          </w:rPr>
        </w:r>
        <w:r>
          <w:rPr>
            <w:noProof/>
            <w:webHidden/>
          </w:rPr>
          <w:fldChar w:fldCharType="separate"/>
        </w:r>
        <w:r>
          <w:rPr>
            <w:noProof/>
            <w:webHidden/>
          </w:rPr>
          <w:t>103</w:t>
        </w:r>
        <w:r>
          <w:rPr>
            <w:noProof/>
            <w:webHidden/>
          </w:rPr>
          <w:fldChar w:fldCharType="end"/>
        </w:r>
      </w:hyperlink>
    </w:p>
    <w:p w:rsidR="009F37AF" w:rsidRDefault="009F37AF" w14:paraId="4A03EC4F" w14:textId="6C960F01">
      <w:pPr>
        <w:pStyle w:val="TOC3"/>
        <w:rPr>
          <w:rFonts w:asciiTheme="minorHAnsi" w:hAnsiTheme="minorHAnsi" w:cstheme="minorBidi"/>
          <w:noProof/>
          <w:kern w:val="2"/>
          <w:sz w:val="22"/>
          <w:szCs w:val="22"/>
          <w14:ligatures w14:val="standardContextual"/>
        </w:rPr>
      </w:pPr>
      <w:hyperlink w:history="1" w:anchor="_Toc150852696">
        <w:r w:rsidRPr="00410559">
          <w:rPr>
            <w:rStyle w:val="Hyperlink"/>
            <w:noProof/>
          </w:rPr>
          <w:t>11.6.1</w:t>
        </w:r>
        <w:r>
          <w:rPr>
            <w:rFonts w:asciiTheme="minorHAnsi" w:hAnsiTheme="minorHAnsi" w:cstheme="minorBidi"/>
            <w:noProof/>
            <w:kern w:val="2"/>
            <w:sz w:val="22"/>
            <w:szCs w:val="22"/>
            <w14:ligatures w14:val="standardContextual"/>
          </w:rPr>
          <w:tab/>
        </w:r>
        <w:r w:rsidRPr="00410559">
          <w:rPr>
            <w:rStyle w:val="Hyperlink"/>
            <w:noProof/>
          </w:rPr>
          <w:t>Strike a balance between skilled and certified labor requirements and the cost of labor</w:t>
        </w:r>
        <w:r>
          <w:rPr>
            <w:noProof/>
            <w:webHidden/>
          </w:rPr>
          <w:tab/>
        </w:r>
        <w:r>
          <w:rPr>
            <w:noProof/>
            <w:webHidden/>
          </w:rPr>
          <w:fldChar w:fldCharType="begin"/>
        </w:r>
        <w:r>
          <w:rPr>
            <w:noProof/>
            <w:webHidden/>
          </w:rPr>
          <w:instrText xml:space="preserve"> PAGEREF _Toc150852696 \h </w:instrText>
        </w:r>
        <w:r>
          <w:rPr>
            <w:noProof/>
            <w:webHidden/>
          </w:rPr>
        </w:r>
        <w:r>
          <w:rPr>
            <w:noProof/>
            <w:webHidden/>
          </w:rPr>
          <w:fldChar w:fldCharType="separate"/>
        </w:r>
        <w:r>
          <w:rPr>
            <w:noProof/>
            <w:webHidden/>
          </w:rPr>
          <w:t>103</w:t>
        </w:r>
        <w:r>
          <w:rPr>
            <w:noProof/>
            <w:webHidden/>
          </w:rPr>
          <w:fldChar w:fldCharType="end"/>
        </w:r>
      </w:hyperlink>
    </w:p>
    <w:p w:rsidR="009F37AF" w:rsidRDefault="009F37AF" w14:paraId="138D73CF" w14:textId="089620EF">
      <w:pPr>
        <w:pStyle w:val="TOC3"/>
        <w:rPr>
          <w:rFonts w:asciiTheme="minorHAnsi" w:hAnsiTheme="minorHAnsi" w:cstheme="minorBidi"/>
          <w:noProof/>
          <w:kern w:val="2"/>
          <w:sz w:val="22"/>
          <w:szCs w:val="22"/>
          <w14:ligatures w14:val="standardContextual"/>
        </w:rPr>
      </w:pPr>
      <w:hyperlink w:history="1" w:anchor="_Toc150852697">
        <w:r w:rsidRPr="00410559">
          <w:rPr>
            <w:rStyle w:val="Hyperlink"/>
            <w:noProof/>
          </w:rPr>
          <w:t>11.6.2</w:t>
        </w:r>
        <w:r>
          <w:rPr>
            <w:rFonts w:asciiTheme="minorHAnsi" w:hAnsiTheme="minorHAnsi" w:cstheme="minorBidi"/>
            <w:noProof/>
            <w:kern w:val="2"/>
            <w:sz w:val="22"/>
            <w:szCs w:val="22"/>
            <w14:ligatures w14:val="standardContextual"/>
          </w:rPr>
          <w:tab/>
        </w:r>
        <w:r w:rsidRPr="00410559">
          <w:rPr>
            <w:rStyle w:val="Hyperlink"/>
            <w:noProof/>
          </w:rPr>
          <w:t>Increase supply of labor through workforce development initiatives</w:t>
        </w:r>
        <w:r>
          <w:rPr>
            <w:noProof/>
            <w:webHidden/>
          </w:rPr>
          <w:tab/>
        </w:r>
        <w:r>
          <w:rPr>
            <w:noProof/>
            <w:webHidden/>
          </w:rPr>
          <w:fldChar w:fldCharType="begin"/>
        </w:r>
        <w:r>
          <w:rPr>
            <w:noProof/>
            <w:webHidden/>
          </w:rPr>
          <w:instrText xml:space="preserve"> PAGEREF _Toc150852697 \h </w:instrText>
        </w:r>
        <w:r>
          <w:rPr>
            <w:noProof/>
            <w:webHidden/>
          </w:rPr>
        </w:r>
        <w:r>
          <w:rPr>
            <w:noProof/>
            <w:webHidden/>
          </w:rPr>
          <w:fldChar w:fldCharType="separate"/>
        </w:r>
        <w:r>
          <w:rPr>
            <w:noProof/>
            <w:webHidden/>
          </w:rPr>
          <w:t>103</w:t>
        </w:r>
        <w:r>
          <w:rPr>
            <w:noProof/>
            <w:webHidden/>
          </w:rPr>
          <w:fldChar w:fldCharType="end"/>
        </w:r>
      </w:hyperlink>
    </w:p>
    <w:p w:rsidR="009F37AF" w:rsidRDefault="009F37AF" w14:paraId="34A08F43" w14:textId="45BD37BF">
      <w:pPr>
        <w:pStyle w:val="TOC2"/>
        <w:rPr>
          <w:rFonts w:asciiTheme="minorHAnsi" w:hAnsiTheme="minorHAnsi" w:cstheme="minorBidi"/>
          <w:i w:val="0"/>
          <w:iCs w:val="0"/>
          <w:noProof/>
          <w:kern w:val="2"/>
          <w:sz w:val="22"/>
          <w:szCs w:val="22"/>
          <w14:ligatures w14:val="standardContextual"/>
        </w:rPr>
      </w:pPr>
      <w:hyperlink w:history="1" w:anchor="_Toc150852698">
        <w:r w:rsidRPr="00410559">
          <w:rPr>
            <w:rStyle w:val="Hyperlink"/>
            <w:noProof/>
          </w:rPr>
          <w:t>11.7</w:t>
        </w:r>
        <w:r>
          <w:rPr>
            <w:rFonts w:asciiTheme="minorHAnsi" w:hAnsiTheme="minorHAnsi" w:cstheme="minorBidi"/>
            <w:i w:val="0"/>
            <w:iCs w:val="0"/>
            <w:noProof/>
            <w:kern w:val="2"/>
            <w:sz w:val="22"/>
            <w:szCs w:val="22"/>
            <w14:ligatures w14:val="standardContextual"/>
          </w:rPr>
          <w:tab/>
        </w:r>
        <w:r w:rsidRPr="00410559">
          <w:rPr>
            <w:rStyle w:val="Hyperlink"/>
            <w:noProof/>
          </w:rPr>
          <w:t>Reduce overhead costs</w:t>
        </w:r>
        <w:r>
          <w:rPr>
            <w:noProof/>
            <w:webHidden/>
          </w:rPr>
          <w:tab/>
        </w:r>
        <w:r>
          <w:rPr>
            <w:noProof/>
            <w:webHidden/>
          </w:rPr>
          <w:fldChar w:fldCharType="begin"/>
        </w:r>
        <w:r>
          <w:rPr>
            <w:noProof/>
            <w:webHidden/>
          </w:rPr>
          <w:instrText xml:space="preserve"> PAGEREF _Toc150852698 \h </w:instrText>
        </w:r>
        <w:r>
          <w:rPr>
            <w:noProof/>
            <w:webHidden/>
          </w:rPr>
        </w:r>
        <w:r>
          <w:rPr>
            <w:noProof/>
            <w:webHidden/>
          </w:rPr>
          <w:fldChar w:fldCharType="separate"/>
        </w:r>
        <w:r>
          <w:rPr>
            <w:noProof/>
            <w:webHidden/>
          </w:rPr>
          <w:t>104</w:t>
        </w:r>
        <w:r>
          <w:rPr>
            <w:noProof/>
            <w:webHidden/>
          </w:rPr>
          <w:fldChar w:fldCharType="end"/>
        </w:r>
      </w:hyperlink>
    </w:p>
    <w:p w:rsidR="009F37AF" w:rsidRDefault="009F37AF" w14:paraId="0EA4C6A0" w14:textId="66C786D1">
      <w:pPr>
        <w:pStyle w:val="TOC3"/>
        <w:rPr>
          <w:rFonts w:asciiTheme="minorHAnsi" w:hAnsiTheme="minorHAnsi" w:cstheme="minorBidi"/>
          <w:noProof/>
          <w:kern w:val="2"/>
          <w:sz w:val="22"/>
          <w:szCs w:val="22"/>
          <w14:ligatures w14:val="standardContextual"/>
        </w:rPr>
      </w:pPr>
      <w:hyperlink w:history="1" w:anchor="_Toc150852699">
        <w:r w:rsidRPr="00410559">
          <w:rPr>
            <w:rStyle w:val="Hyperlink"/>
            <w:noProof/>
          </w:rPr>
          <w:t>11.7.1</w:t>
        </w:r>
        <w:r>
          <w:rPr>
            <w:rFonts w:asciiTheme="minorHAnsi" w:hAnsiTheme="minorHAnsi" w:cstheme="minorBidi"/>
            <w:noProof/>
            <w:kern w:val="2"/>
            <w:sz w:val="22"/>
            <w:szCs w:val="22"/>
            <w14:ligatures w14:val="standardContextual"/>
          </w:rPr>
          <w:tab/>
        </w:r>
        <w:r w:rsidRPr="00410559">
          <w:rPr>
            <w:rStyle w:val="Hyperlink"/>
            <w:noProof/>
          </w:rPr>
          <w:t>Adopt reasonable, compliance-focused regulatory and reporting requirements</w:t>
        </w:r>
        <w:r>
          <w:rPr>
            <w:noProof/>
            <w:webHidden/>
          </w:rPr>
          <w:tab/>
        </w:r>
        <w:r>
          <w:rPr>
            <w:noProof/>
            <w:webHidden/>
          </w:rPr>
          <w:fldChar w:fldCharType="begin"/>
        </w:r>
        <w:r>
          <w:rPr>
            <w:noProof/>
            <w:webHidden/>
          </w:rPr>
          <w:instrText xml:space="preserve"> PAGEREF _Toc150852699 \h </w:instrText>
        </w:r>
        <w:r>
          <w:rPr>
            <w:noProof/>
            <w:webHidden/>
          </w:rPr>
        </w:r>
        <w:r>
          <w:rPr>
            <w:noProof/>
            <w:webHidden/>
          </w:rPr>
          <w:fldChar w:fldCharType="separate"/>
        </w:r>
        <w:r>
          <w:rPr>
            <w:noProof/>
            <w:webHidden/>
          </w:rPr>
          <w:t>104</w:t>
        </w:r>
        <w:r>
          <w:rPr>
            <w:noProof/>
            <w:webHidden/>
          </w:rPr>
          <w:fldChar w:fldCharType="end"/>
        </w:r>
      </w:hyperlink>
    </w:p>
    <w:p w:rsidR="009F37AF" w:rsidRDefault="009F37AF" w14:paraId="62648DF6" w14:textId="7D9466C1">
      <w:pPr>
        <w:pStyle w:val="TOC3"/>
        <w:rPr>
          <w:rFonts w:asciiTheme="minorHAnsi" w:hAnsiTheme="minorHAnsi" w:cstheme="minorBidi"/>
          <w:noProof/>
          <w:kern w:val="2"/>
          <w:sz w:val="22"/>
          <w:szCs w:val="22"/>
          <w14:ligatures w14:val="standardContextual"/>
        </w:rPr>
      </w:pPr>
      <w:hyperlink w:history="1" w:anchor="_Toc150852700">
        <w:r w:rsidRPr="00410559">
          <w:rPr>
            <w:rStyle w:val="Hyperlink"/>
            <w:noProof/>
          </w:rPr>
          <w:t>11.7.2</w:t>
        </w:r>
        <w:r>
          <w:rPr>
            <w:rFonts w:asciiTheme="minorHAnsi" w:hAnsiTheme="minorHAnsi" w:cstheme="minorBidi"/>
            <w:noProof/>
            <w:kern w:val="2"/>
            <w:sz w:val="22"/>
            <w:szCs w:val="22"/>
            <w14:ligatures w14:val="standardContextual"/>
          </w:rPr>
          <w:tab/>
        </w:r>
        <w:r w:rsidRPr="00410559">
          <w:rPr>
            <w:rStyle w:val="Hyperlink"/>
            <w:noProof/>
          </w:rPr>
          <w:t>Create fast-track screening for environmental compliance</w:t>
        </w:r>
        <w:r>
          <w:rPr>
            <w:noProof/>
            <w:webHidden/>
          </w:rPr>
          <w:tab/>
        </w:r>
        <w:r>
          <w:rPr>
            <w:noProof/>
            <w:webHidden/>
          </w:rPr>
          <w:fldChar w:fldCharType="begin"/>
        </w:r>
        <w:r>
          <w:rPr>
            <w:noProof/>
            <w:webHidden/>
          </w:rPr>
          <w:instrText xml:space="preserve"> PAGEREF _Toc150852700 \h </w:instrText>
        </w:r>
        <w:r>
          <w:rPr>
            <w:noProof/>
            <w:webHidden/>
          </w:rPr>
        </w:r>
        <w:r>
          <w:rPr>
            <w:noProof/>
            <w:webHidden/>
          </w:rPr>
          <w:fldChar w:fldCharType="separate"/>
        </w:r>
        <w:r>
          <w:rPr>
            <w:noProof/>
            <w:webHidden/>
          </w:rPr>
          <w:t>104</w:t>
        </w:r>
        <w:r>
          <w:rPr>
            <w:noProof/>
            <w:webHidden/>
          </w:rPr>
          <w:fldChar w:fldCharType="end"/>
        </w:r>
      </w:hyperlink>
    </w:p>
    <w:p w:rsidR="009F37AF" w:rsidRDefault="009F37AF" w14:paraId="46A70C28" w14:textId="17A5ED39">
      <w:pPr>
        <w:pStyle w:val="TOC3"/>
        <w:rPr>
          <w:rFonts w:asciiTheme="minorHAnsi" w:hAnsiTheme="minorHAnsi" w:cstheme="minorBidi"/>
          <w:noProof/>
          <w:kern w:val="2"/>
          <w:sz w:val="22"/>
          <w:szCs w:val="22"/>
          <w14:ligatures w14:val="standardContextual"/>
        </w:rPr>
      </w:pPr>
      <w:hyperlink w:history="1" w:anchor="_Toc150852701">
        <w:r w:rsidRPr="00410559">
          <w:rPr>
            <w:rStyle w:val="Hyperlink"/>
            <w:noProof/>
          </w:rPr>
          <w:t>11.7.3</w:t>
        </w:r>
        <w:r>
          <w:rPr>
            <w:rFonts w:asciiTheme="minorHAnsi" w:hAnsiTheme="minorHAnsi" w:cstheme="minorBidi"/>
            <w:noProof/>
            <w:kern w:val="2"/>
            <w:sz w:val="22"/>
            <w:szCs w:val="22"/>
            <w14:ligatures w14:val="standardContextual"/>
          </w:rPr>
          <w:tab/>
        </w:r>
        <w:r w:rsidRPr="00410559">
          <w:rPr>
            <w:rStyle w:val="Hyperlink"/>
            <w:noProof/>
          </w:rPr>
          <w:t>Create an ISP technical assistance team</w:t>
        </w:r>
        <w:r>
          <w:rPr>
            <w:noProof/>
            <w:webHidden/>
          </w:rPr>
          <w:tab/>
        </w:r>
        <w:r>
          <w:rPr>
            <w:noProof/>
            <w:webHidden/>
          </w:rPr>
          <w:fldChar w:fldCharType="begin"/>
        </w:r>
        <w:r>
          <w:rPr>
            <w:noProof/>
            <w:webHidden/>
          </w:rPr>
          <w:instrText xml:space="preserve"> PAGEREF _Toc150852701 \h </w:instrText>
        </w:r>
        <w:r>
          <w:rPr>
            <w:noProof/>
            <w:webHidden/>
          </w:rPr>
        </w:r>
        <w:r>
          <w:rPr>
            <w:noProof/>
            <w:webHidden/>
          </w:rPr>
          <w:fldChar w:fldCharType="separate"/>
        </w:r>
        <w:r>
          <w:rPr>
            <w:noProof/>
            <w:webHidden/>
          </w:rPr>
          <w:t>104</w:t>
        </w:r>
        <w:r>
          <w:rPr>
            <w:noProof/>
            <w:webHidden/>
          </w:rPr>
          <w:fldChar w:fldCharType="end"/>
        </w:r>
      </w:hyperlink>
    </w:p>
    <w:p w:rsidR="009F37AF" w:rsidRDefault="009F37AF" w14:paraId="118A22B1" w14:textId="0AAF7BE8">
      <w:pPr>
        <w:pStyle w:val="TOC2"/>
        <w:rPr>
          <w:rFonts w:asciiTheme="minorHAnsi" w:hAnsiTheme="minorHAnsi" w:cstheme="minorBidi"/>
          <w:i w:val="0"/>
          <w:iCs w:val="0"/>
          <w:noProof/>
          <w:kern w:val="2"/>
          <w:sz w:val="22"/>
          <w:szCs w:val="22"/>
          <w14:ligatures w14:val="standardContextual"/>
        </w:rPr>
      </w:pPr>
      <w:hyperlink w:history="1" w:anchor="_Toc150852702">
        <w:r w:rsidRPr="00410559">
          <w:rPr>
            <w:rStyle w:val="Hyperlink"/>
            <w:noProof/>
          </w:rPr>
          <w:t>11.8</w:t>
        </w:r>
        <w:r>
          <w:rPr>
            <w:rFonts w:asciiTheme="minorHAnsi" w:hAnsiTheme="minorHAnsi" w:cstheme="minorBidi"/>
            <w:i w:val="0"/>
            <w:iCs w:val="0"/>
            <w:noProof/>
            <w:kern w:val="2"/>
            <w:sz w:val="22"/>
            <w:szCs w:val="22"/>
            <w14:ligatures w14:val="standardContextual"/>
          </w:rPr>
          <w:tab/>
        </w:r>
        <w:r w:rsidRPr="00410559">
          <w:rPr>
            <w:rStyle w:val="Hyperlink"/>
            <w:noProof/>
          </w:rPr>
          <w:t>Reduce materials costs</w:t>
        </w:r>
        <w:r>
          <w:rPr>
            <w:noProof/>
            <w:webHidden/>
          </w:rPr>
          <w:tab/>
        </w:r>
        <w:r>
          <w:rPr>
            <w:noProof/>
            <w:webHidden/>
          </w:rPr>
          <w:fldChar w:fldCharType="begin"/>
        </w:r>
        <w:r>
          <w:rPr>
            <w:noProof/>
            <w:webHidden/>
          </w:rPr>
          <w:instrText xml:space="preserve"> PAGEREF _Toc150852702 \h </w:instrText>
        </w:r>
        <w:r>
          <w:rPr>
            <w:noProof/>
            <w:webHidden/>
          </w:rPr>
        </w:r>
        <w:r>
          <w:rPr>
            <w:noProof/>
            <w:webHidden/>
          </w:rPr>
          <w:fldChar w:fldCharType="separate"/>
        </w:r>
        <w:r>
          <w:rPr>
            <w:noProof/>
            <w:webHidden/>
          </w:rPr>
          <w:t>104</w:t>
        </w:r>
        <w:r>
          <w:rPr>
            <w:noProof/>
            <w:webHidden/>
          </w:rPr>
          <w:fldChar w:fldCharType="end"/>
        </w:r>
      </w:hyperlink>
    </w:p>
    <w:p w:rsidR="009F37AF" w:rsidRDefault="009F37AF" w14:paraId="7B6190B3" w14:textId="48706AAC">
      <w:pPr>
        <w:pStyle w:val="TOC3"/>
        <w:rPr>
          <w:rFonts w:asciiTheme="minorHAnsi" w:hAnsiTheme="minorHAnsi" w:cstheme="minorBidi"/>
          <w:noProof/>
          <w:kern w:val="2"/>
          <w:sz w:val="22"/>
          <w:szCs w:val="22"/>
          <w14:ligatures w14:val="standardContextual"/>
        </w:rPr>
      </w:pPr>
      <w:hyperlink w:history="1" w:anchor="_Toc150852703">
        <w:r w:rsidRPr="00410559">
          <w:rPr>
            <w:rStyle w:val="Hyperlink"/>
            <w:noProof/>
          </w:rPr>
          <w:t>11.8.1</w:t>
        </w:r>
        <w:r>
          <w:rPr>
            <w:rFonts w:asciiTheme="minorHAnsi" w:hAnsiTheme="minorHAnsi" w:cstheme="minorBidi"/>
            <w:noProof/>
            <w:kern w:val="2"/>
            <w:sz w:val="22"/>
            <w:szCs w:val="22"/>
            <w14:ligatures w14:val="standardContextual"/>
          </w:rPr>
          <w:tab/>
        </w:r>
        <w:r w:rsidRPr="00410559">
          <w:rPr>
            <w:rStyle w:val="Hyperlink"/>
            <w:noProof/>
          </w:rPr>
          <w:t>Identify approved vendors compliant with BABA and negotiate discount rates</w:t>
        </w:r>
        <w:r>
          <w:rPr>
            <w:noProof/>
            <w:webHidden/>
          </w:rPr>
          <w:tab/>
        </w:r>
        <w:r>
          <w:rPr>
            <w:noProof/>
            <w:webHidden/>
          </w:rPr>
          <w:fldChar w:fldCharType="begin"/>
        </w:r>
        <w:r>
          <w:rPr>
            <w:noProof/>
            <w:webHidden/>
          </w:rPr>
          <w:instrText xml:space="preserve"> PAGEREF _Toc150852703 \h </w:instrText>
        </w:r>
        <w:r>
          <w:rPr>
            <w:noProof/>
            <w:webHidden/>
          </w:rPr>
        </w:r>
        <w:r>
          <w:rPr>
            <w:noProof/>
            <w:webHidden/>
          </w:rPr>
          <w:fldChar w:fldCharType="separate"/>
        </w:r>
        <w:r>
          <w:rPr>
            <w:noProof/>
            <w:webHidden/>
          </w:rPr>
          <w:t>104</w:t>
        </w:r>
        <w:r>
          <w:rPr>
            <w:noProof/>
            <w:webHidden/>
          </w:rPr>
          <w:fldChar w:fldCharType="end"/>
        </w:r>
      </w:hyperlink>
    </w:p>
    <w:p w:rsidR="009F37AF" w:rsidRDefault="009F37AF" w14:paraId="68F93044" w14:textId="54792555">
      <w:pPr>
        <w:pStyle w:val="TOC3"/>
        <w:rPr>
          <w:rFonts w:asciiTheme="minorHAnsi" w:hAnsiTheme="minorHAnsi" w:cstheme="minorBidi"/>
          <w:noProof/>
          <w:kern w:val="2"/>
          <w:sz w:val="22"/>
          <w:szCs w:val="22"/>
          <w14:ligatures w14:val="standardContextual"/>
        </w:rPr>
      </w:pPr>
      <w:hyperlink w:history="1" w:anchor="_Toc150852704">
        <w:r w:rsidRPr="00410559">
          <w:rPr>
            <w:rStyle w:val="Hyperlink"/>
            <w:noProof/>
          </w:rPr>
          <w:t>11.8.2</w:t>
        </w:r>
        <w:r>
          <w:rPr>
            <w:rFonts w:asciiTheme="minorHAnsi" w:hAnsiTheme="minorHAnsi" w:cstheme="minorBidi"/>
            <w:noProof/>
            <w:kern w:val="2"/>
            <w:sz w:val="22"/>
            <w:szCs w:val="22"/>
            <w14:ligatures w14:val="standardContextual"/>
          </w:rPr>
          <w:tab/>
        </w:r>
        <w:r w:rsidRPr="00410559">
          <w:rPr>
            <w:rStyle w:val="Hyperlink"/>
            <w:noProof/>
          </w:rPr>
          <w:t>Encourage awardees to form joint purchase coalitions and joint purchase agreements</w:t>
        </w:r>
        <w:r>
          <w:rPr>
            <w:noProof/>
            <w:webHidden/>
          </w:rPr>
          <w:tab/>
        </w:r>
        <w:r>
          <w:rPr>
            <w:noProof/>
            <w:webHidden/>
          </w:rPr>
          <w:fldChar w:fldCharType="begin"/>
        </w:r>
        <w:r>
          <w:rPr>
            <w:noProof/>
            <w:webHidden/>
          </w:rPr>
          <w:instrText xml:space="preserve"> PAGEREF _Toc150852704 \h </w:instrText>
        </w:r>
        <w:r>
          <w:rPr>
            <w:noProof/>
            <w:webHidden/>
          </w:rPr>
        </w:r>
        <w:r>
          <w:rPr>
            <w:noProof/>
            <w:webHidden/>
          </w:rPr>
          <w:fldChar w:fldCharType="separate"/>
        </w:r>
        <w:r>
          <w:rPr>
            <w:noProof/>
            <w:webHidden/>
          </w:rPr>
          <w:t>104</w:t>
        </w:r>
        <w:r>
          <w:rPr>
            <w:noProof/>
            <w:webHidden/>
          </w:rPr>
          <w:fldChar w:fldCharType="end"/>
        </w:r>
      </w:hyperlink>
    </w:p>
    <w:p w:rsidR="009F37AF" w:rsidRDefault="009F37AF" w14:paraId="3ABD89AE" w14:textId="40DABEC9">
      <w:pPr>
        <w:pStyle w:val="TOC1"/>
        <w:rPr>
          <w:rFonts w:asciiTheme="minorHAnsi" w:hAnsiTheme="minorHAnsi" w:cstheme="minorBidi"/>
          <w:b w:val="0"/>
          <w:bCs w:val="0"/>
          <w:noProof/>
          <w:kern w:val="2"/>
          <w:sz w:val="22"/>
          <w:szCs w:val="22"/>
          <w14:ligatures w14:val="standardContextual"/>
        </w:rPr>
      </w:pPr>
      <w:hyperlink w:history="1" w:anchor="_Toc150852705">
        <w:r w:rsidRPr="00410559">
          <w:rPr>
            <w:rStyle w:val="Hyperlink"/>
            <w:noProof/>
          </w:rPr>
          <w:t>12.</w:t>
        </w:r>
        <w:r>
          <w:rPr>
            <w:rFonts w:asciiTheme="minorHAnsi" w:hAnsiTheme="minorHAnsi" w:cstheme="minorBidi"/>
            <w:b w:val="0"/>
            <w:bCs w:val="0"/>
            <w:noProof/>
            <w:kern w:val="2"/>
            <w:sz w:val="22"/>
            <w:szCs w:val="22"/>
            <w14:ligatures w14:val="standardContextual"/>
          </w:rPr>
          <w:tab/>
        </w:r>
        <w:r w:rsidRPr="00410559">
          <w:rPr>
            <w:rStyle w:val="Hyperlink"/>
            <w:noProof/>
          </w:rPr>
          <w:t>Climate assessment (Requirement 15)</w:t>
        </w:r>
        <w:r>
          <w:rPr>
            <w:noProof/>
            <w:webHidden/>
          </w:rPr>
          <w:tab/>
        </w:r>
        <w:r>
          <w:rPr>
            <w:noProof/>
            <w:webHidden/>
          </w:rPr>
          <w:fldChar w:fldCharType="begin"/>
        </w:r>
        <w:r>
          <w:rPr>
            <w:noProof/>
            <w:webHidden/>
          </w:rPr>
          <w:instrText xml:space="preserve"> PAGEREF _Toc150852705 \h </w:instrText>
        </w:r>
        <w:r>
          <w:rPr>
            <w:noProof/>
            <w:webHidden/>
          </w:rPr>
        </w:r>
        <w:r>
          <w:rPr>
            <w:noProof/>
            <w:webHidden/>
          </w:rPr>
          <w:fldChar w:fldCharType="separate"/>
        </w:r>
        <w:r>
          <w:rPr>
            <w:noProof/>
            <w:webHidden/>
          </w:rPr>
          <w:t>105</w:t>
        </w:r>
        <w:r>
          <w:rPr>
            <w:noProof/>
            <w:webHidden/>
          </w:rPr>
          <w:fldChar w:fldCharType="end"/>
        </w:r>
      </w:hyperlink>
    </w:p>
    <w:p w:rsidR="009F37AF" w:rsidRDefault="009F37AF" w14:paraId="14579E0C" w14:textId="6038A2BF">
      <w:pPr>
        <w:pStyle w:val="TOC2"/>
        <w:rPr>
          <w:rFonts w:asciiTheme="minorHAnsi" w:hAnsiTheme="minorHAnsi" w:cstheme="minorBidi"/>
          <w:i w:val="0"/>
          <w:iCs w:val="0"/>
          <w:noProof/>
          <w:kern w:val="2"/>
          <w:sz w:val="22"/>
          <w:szCs w:val="22"/>
          <w14:ligatures w14:val="standardContextual"/>
        </w:rPr>
      </w:pPr>
      <w:hyperlink w:history="1" w:anchor="_Toc150852706">
        <w:r w:rsidRPr="00410559">
          <w:rPr>
            <w:rStyle w:val="Hyperlink"/>
            <w:noProof/>
          </w:rPr>
          <w:t>12.1</w:t>
        </w:r>
        <w:r>
          <w:rPr>
            <w:rFonts w:asciiTheme="minorHAnsi" w:hAnsiTheme="minorHAnsi" w:cstheme="minorBidi"/>
            <w:i w:val="0"/>
            <w:iCs w:val="0"/>
            <w:noProof/>
            <w:kern w:val="2"/>
            <w:sz w:val="22"/>
            <w:szCs w:val="22"/>
            <w14:ligatures w14:val="standardContextual"/>
          </w:rPr>
          <w:tab/>
        </w:r>
        <w:r w:rsidRPr="00410559">
          <w:rPr>
            <w:rStyle w:val="Hyperlink"/>
            <w:noProof/>
          </w:rPr>
          <w:t>Identifying geographic areas subject to an initial hazard screening</w:t>
        </w:r>
        <w:r>
          <w:rPr>
            <w:noProof/>
            <w:webHidden/>
          </w:rPr>
          <w:tab/>
        </w:r>
        <w:r>
          <w:rPr>
            <w:noProof/>
            <w:webHidden/>
          </w:rPr>
          <w:fldChar w:fldCharType="begin"/>
        </w:r>
        <w:r>
          <w:rPr>
            <w:noProof/>
            <w:webHidden/>
          </w:rPr>
          <w:instrText xml:space="preserve"> PAGEREF _Toc150852706 \h </w:instrText>
        </w:r>
        <w:r>
          <w:rPr>
            <w:noProof/>
            <w:webHidden/>
          </w:rPr>
        </w:r>
        <w:r>
          <w:rPr>
            <w:noProof/>
            <w:webHidden/>
          </w:rPr>
          <w:fldChar w:fldCharType="separate"/>
        </w:r>
        <w:r>
          <w:rPr>
            <w:noProof/>
            <w:webHidden/>
          </w:rPr>
          <w:t>105</w:t>
        </w:r>
        <w:r>
          <w:rPr>
            <w:noProof/>
            <w:webHidden/>
          </w:rPr>
          <w:fldChar w:fldCharType="end"/>
        </w:r>
      </w:hyperlink>
    </w:p>
    <w:p w:rsidR="009F37AF" w:rsidRDefault="009F37AF" w14:paraId="0056F0EE" w14:textId="0F642E14">
      <w:pPr>
        <w:pStyle w:val="TOC2"/>
        <w:rPr>
          <w:rFonts w:asciiTheme="minorHAnsi" w:hAnsiTheme="minorHAnsi" w:cstheme="minorBidi"/>
          <w:i w:val="0"/>
          <w:iCs w:val="0"/>
          <w:noProof/>
          <w:kern w:val="2"/>
          <w:sz w:val="22"/>
          <w:szCs w:val="22"/>
          <w14:ligatures w14:val="standardContextual"/>
        </w:rPr>
      </w:pPr>
      <w:hyperlink w:history="1" w:anchor="_Toc150852707">
        <w:r w:rsidRPr="00410559">
          <w:rPr>
            <w:rStyle w:val="Hyperlink"/>
            <w:noProof/>
          </w:rPr>
          <w:t>12.2</w:t>
        </w:r>
        <w:r>
          <w:rPr>
            <w:rFonts w:asciiTheme="minorHAnsi" w:hAnsiTheme="minorHAnsi" w:cstheme="minorBidi"/>
            <w:i w:val="0"/>
            <w:iCs w:val="0"/>
            <w:noProof/>
            <w:kern w:val="2"/>
            <w:sz w:val="22"/>
            <w:szCs w:val="22"/>
            <w14:ligatures w14:val="standardContextual"/>
          </w:rPr>
          <w:tab/>
        </w:r>
        <w:r w:rsidRPr="00410559">
          <w:rPr>
            <w:rStyle w:val="Hyperlink"/>
            <w:noProof/>
          </w:rPr>
          <w:t>Most important weather and climate hazards to account for and respond to in areas susceptible to climate-related risks</w:t>
        </w:r>
        <w:r>
          <w:rPr>
            <w:noProof/>
            <w:webHidden/>
          </w:rPr>
          <w:tab/>
        </w:r>
        <w:r>
          <w:rPr>
            <w:noProof/>
            <w:webHidden/>
          </w:rPr>
          <w:fldChar w:fldCharType="begin"/>
        </w:r>
        <w:r>
          <w:rPr>
            <w:noProof/>
            <w:webHidden/>
          </w:rPr>
          <w:instrText xml:space="preserve"> PAGEREF _Toc150852707 \h </w:instrText>
        </w:r>
        <w:r>
          <w:rPr>
            <w:noProof/>
            <w:webHidden/>
          </w:rPr>
        </w:r>
        <w:r>
          <w:rPr>
            <w:noProof/>
            <w:webHidden/>
          </w:rPr>
          <w:fldChar w:fldCharType="separate"/>
        </w:r>
        <w:r>
          <w:rPr>
            <w:noProof/>
            <w:webHidden/>
          </w:rPr>
          <w:t>108</w:t>
        </w:r>
        <w:r>
          <w:rPr>
            <w:noProof/>
            <w:webHidden/>
          </w:rPr>
          <w:fldChar w:fldCharType="end"/>
        </w:r>
      </w:hyperlink>
    </w:p>
    <w:p w:rsidR="009F37AF" w:rsidRDefault="009F37AF" w14:paraId="22658147" w14:textId="2B177C4A">
      <w:pPr>
        <w:pStyle w:val="TOC3"/>
        <w:rPr>
          <w:rFonts w:asciiTheme="minorHAnsi" w:hAnsiTheme="minorHAnsi" w:cstheme="minorBidi"/>
          <w:noProof/>
          <w:kern w:val="2"/>
          <w:sz w:val="22"/>
          <w:szCs w:val="22"/>
          <w14:ligatures w14:val="standardContextual"/>
        </w:rPr>
      </w:pPr>
      <w:hyperlink w:history="1" w:anchor="_Toc150852708">
        <w:r w:rsidRPr="00410559">
          <w:rPr>
            <w:rStyle w:val="Hyperlink"/>
            <w:noProof/>
          </w:rPr>
          <w:t>12.2.1</w:t>
        </w:r>
        <w:r>
          <w:rPr>
            <w:rFonts w:asciiTheme="minorHAnsi" w:hAnsiTheme="minorHAnsi" w:cstheme="minorBidi"/>
            <w:noProof/>
            <w:kern w:val="2"/>
            <w:sz w:val="22"/>
            <w:szCs w:val="22"/>
            <w14:ligatures w14:val="standardContextual"/>
          </w:rPr>
          <w:tab/>
        </w:r>
        <w:r w:rsidRPr="00410559">
          <w:rPr>
            <w:rStyle w:val="Hyperlink"/>
            <w:noProof/>
          </w:rPr>
          <w:t>Dam failures</w:t>
        </w:r>
        <w:r>
          <w:rPr>
            <w:noProof/>
            <w:webHidden/>
          </w:rPr>
          <w:tab/>
        </w:r>
        <w:r>
          <w:rPr>
            <w:noProof/>
            <w:webHidden/>
          </w:rPr>
          <w:fldChar w:fldCharType="begin"/>
        </w:r>
        <w:r>
          <w:rPr>
            <w:noProof/>
            <w:webHidden/>
          </w:rPr>
          <w:instrText xml:space="preserve"> PAGEREF _Toc150852708 \h </w:instrText>
        </w:r>
        <w:r>
          <w:rPr>
            <w:noProof/>
            <w:webHidden/>
          </w:rPr>
        </w:r>
        <w:r>
          <w:rPr>
            <w:noProof/>
            <w:webHidden/>
          </w:rPr>
          <w:fldChar w:fldCharType="separate"/>
        </w:r>
        <w:r>
          <w:rPr>
            <w:noProof/>
            <w:webHidden/>
          </w:rPr>
          <w:t>109</w:t>
        </w:r>
        <w:r>
          <w:rPr>
            <w:noProof/>
            <w:webHidden/>
          </w:rPr>
          <w:fldChar w:fldCharType="end"/>
        </w:r>
      </w:hyperlink>
    </w:p>
    <w:p w:rsidR="009F37AF" w:rsidRDefault="009F37AF" w14:paraId="2B1D37B8" w14:textId="5AAF8F3C">
      <w:pPr>
        <w:pStyle w:val="TOC3"/>
        <w:rPr>
          <w:rFonts w:asciiTheme="minorHAnsi" w:hAnsiTheme="minorHAnsi" w:cstheme="minorBidi"/>
          <w:noProof/>
          <w:kern w:val="2"/>
          <w:sz w:val="22"/>
          <w:szCs w:val="22"/>
          <w14:ligatures w14:val="standardContextual"/>
        </w:rPr>
      </w:pPr>
      <w:hyperlink w:history="1" w:anchor="_Toc150852709">
        <w:r w:rsidRPr="00410559">
          <w:rPr>
            <w:rStyle w:val="Hyperlink"/>
            <w:noProof/>
          </w:rPr>
          <w:t>12.2.2</w:t>
        </w:r>
        <w:r>
          <w:rPr>
            <w:rFonts w:asciiTheme="minorHAnsi" w:hAnsiTheme="minorHAnsi" w:cstheme="minorBidi"/>
            <w:noProof/>
            <w:kern w:val="2"/>
            <w:sz w:val="22"/>
            <w:szCs w:val="22"/>
            <w14:ligatures w14:val="standardContextual"/>
          </w:rPr>
          <w:tab/>
        </w:r>
        <w:r w:rsidRPr="00410559">
          <w:rPr>
            <w:rStyle w:val="Hyperlink"/>
            <w:noProof/>
          </w:rPr>
          <w:t>Drought</w:t>
        </w:r>
        <w:r>
          <w:rPr>
            <w:noProof/>
            <w:webHidden/>
          </w:rPr>
          <w:tab/>
        </w:r>
        <w:r>
          <w:rPr>
            <w:noProof/>
            <w:webHidden/>
          </w:rPr>
          <w:fldChar w:fldCharType="begin"/>
        </w:r>
        <w:r>
          <w:rPr>
            <w:noProof/>
            <w:webHidden/>
          </w:rPr>
          <w:instrText xml:space="preserve"> PAGEREF _Toc150852709 \h </w:instrText>
        </w:r>
        <w:r>
          <w:rPr>
            <w:noProof/>
            <w:webHidden/>
          </w:rPr>
        </w:r>
        <w:r>
          <w:rPr>
            <w:noProof/>
            <w:webHidden/>
          </w:rPr>
          <w:fldChar w:fldCharType="separate"/>
        </w:r>
        <w:r>
          <w:rPr>
            <w:noProof/>
            <w:webHidden/>
          </w:rPr>
          <w:t>109</w:t>
        </w:r>
        <w:r>
          <w:rPr>
            <w:noProof/>
            <w:webHidden/>
          </w:rPr>
          <w:fldChar w:fldCharType="end"/>
        </w:r>
      </w:hyperlink>
    </w:p>
    <w:p w:rsidR="009F37AF" w:rsidRDefault="009F37AF" w14:paraId="1AEF552E" w14:textId="6453C970">
      <w:pPr>
        <w:pStyle w:val="TOC3"/>
        <w:rPr>
          <w:rFonts w:asciiTheme="minorHAnsi" w:hAnsiTheme="minorHAnsi" w:cstheme="minorBidi"/>
          <w:noProof/>
          <w:kern w:val="2"/>
          <w:sz w:val="22"/>
          <w:szCs w:val="22"/>
          <w14:ligatures w14:val="standardContextual"/>
        </w:rPr>
      </w:pPr>
      <w:hyperlink w:history="1" w:anchor="_Toc150852710">
        <w:r w:rsidRPr="00410559">
          <w:rPr>
            <w:rStyle w:val="Hyperlink"/>
            <w:noProof/>
          </w:rPr>
          <w:t>12.2.3</w:t>
        </w:r>
        <w:r>
          <w:rPr>
            <w:rFonts w:asciiTheme="minorHAnsi" w:hAnsiTheme="minorHAnsi" w:cstheme="minorBidi"/>
            <w:noProof/>
            <w:kern w:val="2"/>
            <w:sz w:val="22"/>
            <w:szCs w:val="22"/>
            <w14:ligatures w14:val="standardContextual"/>
          </w:rPr>
          <w:tab/>
        </w:r>
        <w:r w:rsidRPr="00410559">
          <w:rPr>
            <w:rStyle w:val="Hyperlink"/>
            <w:noProof/>
          </w:rPr>
          <w:t>Earthquakes</w:t>
        </w:r>
        <w:r>
          <w:rPr>
            <w:noProof/>
            <w:webHidden/>
          </w:rPr>
          <w:tab/>
        </w:r>
        <w:r>
          <w:rPr>
            <w:noProof/>
            <w:webHidden/>
          </w:rPr>
          <w:fldChar w:fldCharType="begin"/>
        </w:r>
        <w:r>
          <w:rPr>
            <w:noProof/>
            <w:webHidden/>
          </w:rPr>
          <w:instrText xml:space="preserve"> PAGEREF _Toc150852710 \h </w:instrText>
        </w:r>
        <w:r>
          <w:rPr>
            <w:noProof/>
            <w:webHidden/>
          </w:rPr>
        </w:r>
        <w:r>
          <w:rPr>
            <w:noProof/>
            <w:webHidden/>
          </w:rPr>
          <w:fldChar w:fldCharType="separate"/>
        </w:r>
        <w:r>
          <w:rPr>
            <w:noProof/>
            <w:webHidden/>
          </w:rPr>
          <w:t>110</w:t>
        </w:r>
        <w:r>
          <w:rPr>
            <w:noProof/>
            <w:webHidden/>
          </w:rPr>
          <w:fldChar w:fldCharType="end"/>
        </w:r>
      </w:hyperlink>
    </w:p>
    <w:p w:rsidR="009F37AF" w:rsidRDefault="009F37AF" w14:paraId="6AA37630" w14:textId="32F2D5BA">
      <w:pPr>
        <w:pStyle w:val="TOC3"/>
        <w:rPr>
          <w:rFonts w:asciiTheme="minorHAnsi" w:hAnsiTheme="minorHAnsi" w:cstheme="minorBidi"/>
          <w:noProof/>
          <w:kern w:val="2"/>
          <w:sz w:val="22"/>
          <w:szCs w:val="22"/>
          <w14:ligatures w14:val="standardContextual"/>
        </w:rPr>
      </w:pPr>
      <w:hyperlink w:history="1" w:anchor="_Toc150852711">
        <w:r w:rsidRPr="00410559">
          <w:rPr>
            <w:rStyle w:val="Hyperlink"/>
            <w:noProof/>
          </w:rPr>
          <w:t>12.2.4</w:t>
        </w:r>
        <w:r>
          <w:rPr>
            <w:rFonts w:asciiTheme="minorHAnsi" w:hAnsiTheme="minorHAnsi" w:cstheme="minorBidi"/>
            <w:noProof/>
            <w:kern w:val="2"/>
            <w:sz w:val="22"/>
            <w:szCs w:val="22"/>
            <w14:ligatures w14:val="standardContextual"/>
          </w:rPr>
          <w:tab/>
        </w:r>
        <w:r w:rsidRPr="00410559">
          <w:rPr>
            <w:rStyle w:val="Hyperlink"/>
            <w:noProof/>
          </w:rPr>
          <w:t>Extreme temperatures</w:t>
        </w:r>
        <w:r>
          <w:rPr>
            <w:noProof/>
            <w:webHidden/>
          </w:rPr>
          <w:tab/>
        </w:r>
        <w:r>
          <w:rPr>
            <w:noProof/>
            <w:webHidden/>
          </w:rPr>
          <w:fldChar w:fldCharType="begin"/>
        </w:r>
        <w:r>
          <w:rPr>
            <w:noProof/>
            <w:webHidden/>
          </w:rPr>
          <w:instrText xml:space="preserve"> PAGEREF _Toc150852711 \h </w:instrText>
        </w:r>
        <w:r>
          <w:rPr>
            <w:noProof/>
            <w:webHidden/>
          </w:rPr>
        </w:r>
        <w:r>
          <w:rPr>
            <w:noProof/>
            <w:webHidden/>
          </w:rPr>
          <w:fldChar w:fldCharType="separate"/>
        </w:r>
        <w:r>
          <w:rPr>
            <w:noProof/>
            <w:webHidden/>
          </w:rPr>
          <w:t>112</w:t>
        </w:r>
        <w:r>
          <w:rPr>
            <w:noProof/>
            <w:webHidden/>
          </w:rPr>
          <w:fldChar w:fldCharType="end"/>
        </w:r>
      </w:hyperlink>
    </w:p>
    <w:p w:rsidR="009F37AF" w:rsidRDefault="009F37AF" w14:paraId="1BF9FD49" w14:textId="73AF2B61">
      <w:pPr>
        <w:pStyle w:val="TOC3"/>
        <w:rPr>
          <w:rFonts w:asciiTheme="minorHAnsi" w:hAnsiTheme="minorHAnsi" w:cstheme="minorBidi"/>
          <w:noProof/>
          <w:kern w:val="2"/>
          <w:sz w:val="22"/>
          <w:szCs w:val="22"/>
          <w14:ligatures w14:val="standardContextual"/>
        </w:rPr>
      </w:pPr>
      <w:hyperlink w:history="1" w:anchor="_Toc150852712">
        <w:r w:rsidRPr="00410559">
          <w:rPr>
            <w:rStyle w:val="Hyperlink"/>
            <w:noProof/>
          </w:rPr>
          <w:t>12.2.5</w:t>
        </w:r>
        <w:r>
          <w:rPr>
            <w:rFonts w:asciiTheme="minorHAnsi" w:hAnsiTheme="minorHAnsi" w:cstheme="minorBidi"/>
            <w:noProof/>
            <w:kern w:val="2"/>
            <w:sz w:val="22"/>
            <w:szCs w:val="22"/>
            <w14:ligatures w14:val="standardContextual"/>
          </w:rPr>
          <w:tab/>
        </w:r>
        <w:r w:rsidRPr="00410559">
          <w:rPr>
            <w:rStyle w:val="Hyperlink"/>
            <w:noProof/>
          </w:rPr>
          <w:t>Flooding</w:t>
        </w:r>
        <w:r>
          <w:rPr>
            <w:noProof/>
            <w:webHidden/>
          </w:rPr>
          <w:tab/>
        </w:r>
        <w:r>
          <w:rPr>
            <w:noProof/>
            <w:webHidden/>
          </w:rPr>
          <w:fldChar w:fldCharType="begin"/>
        </w:r>
        <w:r>
          <w:rPr>
            <w:noProof/>
            <w:webHidden/>
          </w:rPr>
          <w:instrText xml:space="preserve"> PAGEREF _Toc150852712 \h </w:instrText>
        </w:r>
        <w:r>
          <w:rPr>
            <w:noProof/>
            <w:webHidden/>
          </w:rPr>
        </w:r>
        <w:r>
          <w:rPr>
            <w:noProof/>
            <w:webHidden/>
          </w:rPr>
          <w:fldChar w:fldCharType="separate"/>
        </w:r>
        <w:r>
          <w:rPr>
            <w:noProof/>
            <w:webHidden/>
          </w:rPr>
          <w:t>116</w:t>
        </w:r>
        <w:r>
          <w:rPr>
            <w:noProof/>
            <w:webHidden/>
          </w:rPr>
          <w:fldChar w:fldCharType="end"/>
        </w:r>
      </w:hyperlink>
    </w:p>
    <w:p w:rsidR="009F37AF" w:rsidRDefault="009F37AF" w14:paraId="607697EF" w14:textId="504FA6DB">
      <w:pPr>
        <w:pStyle w:val="TOC3"/>
        <w:rPr>
          <w:rFonts w:asciiTheme="minorHAnsi" w:hAnsiTheme="minorHAnsi" w:cstheme="minorBidi"/>
          <w:noProof/>
          <w:kern w:val="2"/>
          <w:sz w:val="22"/>
          <w:szCs w:val="22"/>
          <w14:ligatures w14:val="standardContextual"/>
        </w:rPr>
      </w:pPr>
      <w:hyperlink w:history="1" w:anchor="_Toc150852713">
        <w:r w:rsidRPr="00410559">
          <w:rPr>
            <w:rStyle w:val="Hyperlink"/>
            <w:noProof/>
          </w:rPr>
          <w:t>12.2.6</w:t>
        </w:r>
        <w:r>
          <w:rPr>
            <w:rFonts w:asciiTheme="minorHAnsi" w:hAnsiTheme="minorHAnsi" w:cstheme="minorBidi"/>
            <w:noProof/>
            <w:kern w:val="2"/>
            <w:sz w:val="22"/>
            <w:szCs w:val="22"/>
            <w14:ligatures w14:val="standardContextual"/>
          </w:rPr>
          <w:tab/>
        </w:r>
        <w:r w:rsidRPr="00410559">
          <w:rPr>
            <w:rStyle w:val="Hyperlink"/>
            <w:noProof/>
          </w:rPr>
          <w:t>Hail</w:t>
        </w:r>
        <w:r>
          <w:rPr>
            <w:noProof/>
            <w:webHidden/>
          </w:rPr>
          <w:tab/>
        </w:r>
        <w:r>
          <w:rPr>
            <w:noProof/>
            <w:webHidden/>
          </w:rPr>
          <w:fldChar w:fldCharType="begin"/>
        </w:r>
        <w:r>
          <w:rPr>
            <w:noProof/>
            <w:webHidden/>
          </w:rPr>
          <w:instrText xml:space="preserve"> PAGEREF _Toc150852713 \h </w:instrText>
        </w:r>
        <w:r>
          <w:rPr>
            <w:noProof/>
            <w:webHidden/>
          </w:rPr>
        </w:r>
        <w:r>
          <w:rPr>
            <w:noProof/>
            <w:webHidden/>
          </w:rPr>
          <w:fldChar w:fldCharType="separate"/>
        </w:r>
        <w:r>
          <w:rPr>
            <w:noProof/>
            <w:webHidden/>
          </w:rPr>
          <w:t>119</w:t>
        </w:r>
        <w:r>
          <w:rPr>
            <w:noProof/>
            <w:webHidden/>
          </w:rPr>
          <w:fldChar w:fldCharType="end"/>
        </w:r>
      </w:hyperlink>
    </w:p>
    <w:p w:rsidR="009F37AF" w:rsidRDefault="009F37AF" w14:paraId="40AF916D" w14:textId="05ECBC3F">
      <w:pPr>
        <w:pStyle w:val="TOC3"/>
        <w:rPr>
          <w:rFonts w:asciiTheme="minorHAnsi" w:hAnsiTheme="minorHAnsi" w:cstheme="minorBidi"/>
          <w:noProof/>
          <w:kern w:val="2"/>
          <w:sz w:val="22"/>
          <w:szCs w:val="22"/>
          <w14:ligatures w14:val="standardContextual"/>
        </w:rPr>
      </w:pPr>
      <w:hyperlink w:history="1" w:anchor="_Toc150852714">
        <w:r w:rsidRPr="00410559">
          <w:rPr>
            <w:rStyle w:val="Hyperlink"/>
            <w:noProof/>
          </w:rPr>
          <w:t>12.2.7</w:t>
        </w:r>
        <w:r>
          <w:rPr>
            <w:rFonts w:asciiTheme="minorHAnsi" w:hAnsiTheme="minorHAnsi" w:cstheme="minorBidi"/>
            <w:noProof/>
            <w:kern w:val="2"/>
            <w:sz w:val="22"/>
            <w:szCs w:val="22"/>
            <w14:ligatures w14:val="standardContextual"/>
          </w:rPr>
          <w:tab/>
        </w:r>
        <w:r w:rsidRPr="00410559">
          <w:rPr>
            <w:rStyle w:val="Hyperlink"/>
            <w:noProof/>
          </w:rPr>
          <w:t>High winds</w:t>
        </w:r>
        <w:r>
          <w:rPr>
            <w:noProof/>
            <w:webHidden/>
          </w:rPr>
          <w:tab/>
        </w:r>
        <w:r>
          <w:rPr>
            <w:noProof/>
            <w:webHidden/>
          </w:rPr>
          <w:fldChar w:fldCharType="begin"/>
        </w:r>
        <w:r>
          <w:rPr>
            <w:noProof/>
            <w:webHidden/>
          </w:rPr>
          <w:instrText xml:space="preserve"> PAGEREF _Toc150852714 \h </w:instrText>
        </w:r>
        <w:r>
          <w:rPr>
            <w:noProof/>
            <w:webHidden/>
          </w:rPr>
        </w:r>
        <w:r>
          <w:rPr>
            <w:noProof/>
            <w:webHidden/>
          </w:rPr>
          <w:fldChar w:fldCharType="separate"/>
        </w:r>
        <w:r>
          <w:rPr>
            <w:noProof/>
            <w:webHidden/>
          </w:rPr>
          <w:t>121</w:t>
        </w:r>
        <w:r>
          <w:rPr>
            <w:noProof/>
            <w:webHidden/>
          </w:rPr>
          <w:fldChar w:fldCharType="end"/>
        </w:r>
      </w:hyperlink>
    </w:p>
    <w:p w:rsidR="009F37AF" w:rsidRDefault="009F37AF" w14:paraId="2A6AE821" w14:textId="4E590D25">
      <w:pPr>
        <w:pStyle w:val="TOC3"/>
        <w:rPr>
          <w:rFonts w:asciiTheme="minorHAnsi" w:hAnsiTheme="minorHAnsi" w:cstheme="minorBidi"/>
          <w:noProof/>
          <w:kern w:val="2"/>
          <w:sz w:val="22"/>
          <w:szCs w:val="22"/>
          <w14:ligatures w14:val="standardContextual"/>
        </w:rPr>
      </w:pPr>
      <w:hyperlink w:history="1" w:anchor="_Toc150852715">
        <w:r w:rsidRPr="00410559">
          <w:rPr>
            <w:rStyle w:val="Hyperlink"/>
            <w:noProof/>
          </w:rPr>
          <w:t>12.2.8</w:t>
        </w:r>
        <w:r>
          <w:rPr>
            <w:rFonts w:asciiTheme="minorHAnsi" w:hAnsiTheme="minorHAnsi" w:cstheme="minorBidi"/>
            <w:noProof/>
            <w:kern w:val="2"/>
            <w:sz w:val="22"/>
            <w:szCs w:val="22"/>
            <w14:ligatures w14:val="standardContextual"/>
          </w:rPr>
          <w:tab/>
        </w:r>
        <w:r w:rsidRPr="00410559">
          <w:rPr>
            <w:rStyle w:val="Hyperlink"/>
            <w:noProof/>
          </w:rPr>
          <w:t>Landslides</w:t>
        </w:r>
        <w:r>
          <w:rPr>
            <w:noProof/>
            <w:webHidden/>
          </w:rPr>
          <w:tab/>
        </w:r>
        <w:r>
          <w:rPr>
            <w:noProof/>
            <w:webHidden/>
          </w:rPr>
          <w:fldChar w:fldCharType="begin"/>
        </w:r>
        <w:r>
          <w:rPr>
            <w:noProof/>
            <w:webHidden/>
          </w:rPr>
          <w:instrText xml:space="preserve"> PAGEREF _Toc150852715 \h </w:instrText>
        </w:r>
        <w:r>
          <w:rPr>
            <w:noProof/>
            <w:webHidden/>
          </w:rPr>
        </w:r>
        <w:r>
          <w:rPr>
            <w:noProof/>
            <w:webHidden/>
          </w:rPr>
          <w:fldChar w:fldCharType="separate"/>
        </w:r>
        <w:r>
          <w:rPr>
            <w:noProof/>
            <w:webHidden/>
          </w:rPr>
          <w:t>127</w:t>
        </w:r>
        <w:r>
          <w:rPr>
            <w:noProof/>
            <w:webHidden/>
          </w:rPr>
          <w:fldChar w:fldCharType="end"/>
        </w:r>
      </w:hyperlink>
    </w:p>
    <w:p w:rsidR="009F37AF" w:rsidRDefault="009F37AF" w14:paraId="6257F22F" w14:textId="154EDF80">
      <w:pPr>
        <w:pStyle w:val="TOC3"/>
        <w:rPr>
          <w:rFonts w:asciiTheme="minorHAnsi" w:hAnsiTheme="minorHAnsi" w:cstheme="minorBidi"/>
          <w:noProof/>
          <w:kern w:val="2"/>
          <w:sz w:val="22"/>
          <w:szCs w:val="22"/>
          <w14:ligatures w14:val="standardContextual"/>
        </w:rPr>
      </w:pPr>
      <w:hyperlink w:history="1" w:anchor="_Toc150852716">
        <w:r w:rsidRPr="00410559">
          <w:rPr>
            <w:rStyle w:val="Hyperlink"/>
            <w:noProof/>
          </w:rPr>
          <w:t>12.2.9</w:t>
        </w:r>
        <w:r>
          <w:rPr>
            <w:rFonts w:asciiTheme="minorHAnsi" w:hAnsiTheme="minorHAnsi" w:cstheme="minorBidi"/>
            <w:noProof/>
            <w:kern w:val="2"/>
            <w:sz w:val="22"/>
            <w:szCs w:val="22"/>
            <w14:ligatures w14:val="standardContextual"/>
          </w:rPr>
          <w:tab/>
        </w:r>
        <w:r w:rsidRPr="00410559">
          <w:rPr>
            <w:rStyle w:val="Hyperlink"/>
            <w:noProof/>
          </w:rPr>
          <w:t>Lightning</w:t>
        </w:r>
        <w:r>
          <w:rPr>
            <w:noProof/>
            <w:webHidden/>
          </w:rPr>
          <w:tab/>
        </w:r>
        <w:r>
          <w:rPr>
            <w:noProof/>
            <w:webHidden/>
          </w:rPr>
          <w:fldChar w:fldCharType="begin"/>
        </w:r>
        <w:r>
          <w:rPr>
            <w:noProof/>
            <w:webHidden/>
          </w:rPr>
          <w:instrText xml:space="preserve"> PAGEREF _Toc150852716 \h </w:instrText>
        </w:r>
        <w:r>
          <w:rPr>
            <w:noProof/>
            <w:webHidden/>
          </w:rPr>
        </w:r>
        <w:r>
          <w:rPr>
            <w:noProof/>
            <w:webHidden/>
          </w:rPr>
          <w:fldChar w:fldCharType="separate"/>
        </w:r>
        <w:r>
          <w:rPr>
            <w:noProof/>
            <w:webHidden/>
          </w:rPr>
          <w:t>129</w:t>
        </w:r>
        <w:r>
          <w:rPr>
            <w:noProof/>
            <w:webHidden/>
          </w:rPr>
          <w:fldChar w:fldCharType="end"/>
        </w:r>
      </w:hyperlink>
    </w:p>
    <w:p w:rsidR="009F37AF" w:rsidRDefault="009F37AF" w14:paraId="62F2D7C1" w14:textId="63678695">
      <w:pPr>
        <w:pStyle w:val="TOC3"/>
        <w:rPr>
          <w:rFonts w:asciiTheme="minorHAnsi" w:hAnsiTheme="minorHAnsi" w:cstheme="minorBidi"/>
          <w:noProof/>
          <w:kern w:val="2"/>
          <w:sz w:val="22"/>
          <w:szCs w:val="22"/>
          <w14:ligatures w14:val="standardContextual"/>
        </w:rPr>
      </w:pPr>
      <w:hyperlink w:history="1" w:anchor="_Toc150852717">
        <w:r w:rsidRPr="00410559">
          <w:rPr>
            <w:rStyle w:val="Hyperlink"/>
            <w:noProof/>
          </w:rPr>
          <w:t>12.2.10</w:t>
        </w:r>
        <w:r>
          <w:rPr>
            <w:rFonts w:asciiTheme="minorHAnsi" w:hAnsiTheme="minorHAnsi" w:cstheme="minorBidi"/>
            <w:noProof/>
            <w:kern w:val="2"/>
            <w:sz w:val="22"/>
            <w:szCs w:val="22"/>
            <w14:ligatures w14:val="standardContextual"/>
          </w:rPr>
          <w:tab/>
        </w:r>
        <w:r w:rsidRPr="00410559">
          <w:rPr>
            <w:rStyle w:val="Hyperlink"/>
            <w:noProof/>
          </w:rPr>
          <w:t>Sea level rise and coastal land change</w:t>
        </w:r>
        <w:r>
          <w:rPr>
            <w:noProof/>
            <w:webHidden/>
          </w:rPr>
          <w:tab/>
        </w:r>
        <w:r>
          <w:rPr>
            <w:noProof/>
            <w:webHidden/>
          </w:rPr>
          <w:fldChar w:fldCharType="begin"/>
        </w:r>
        <w:r>
          <w:rPr>
            <w:noProof/>
            <w:webHidden/>
          </w:rPr>
          <w:instrText xml:space="preserve"> PAGEREF _Toc150852717 \h </w:instrText>
        </w:r>
        <w:r>
          <w:rPr>
            <w:noProof/>
            <w:webHidden/>
          </w:rPr>
        </w:r>
        <w:r>
          <w:rPr>
            <w:noProof/>
            <w:webHidden/>
          </w:rPr>
          <w:fldChar w:fldCharType="separate"/>
        </w:r>
        <w:r>
          <w:rPr>
            <w:noProof/>
            <w:webHidden/>
          </w:rPr>
          <w:t>131</w:t>
        </w:r>
        <w:r>
          <w:rPr>
            <w:noProof/>
            <w:webHidden/>
          </w:rPr>
          <w:fldChar w:fldCharType="end"/>
        </w:r>
      </w:hyperlink>
    </w:p>
    <w:p w:rsidR="009F37AF" w:rsidRDefault="009F37AF" w14:paraId="194BE96C" w14:textId="4D7222AA">
      <w:pPr>
        <w:pStyle w:val="TOC3"/>
        <w:rPr>
          <w:rFonts w:asciiTheme="minorHAnsi" w:hAnsiTheme="minorHAnsi" w:cstheme="minorBidi"/>
          <w:noProof/>
          <w:kern w:val="2"/>
          <w:sz w:val="22"/>
          <w:szCs w:val="22"/>
          <w14:ligatures w14:val="standardContextual"/>
        </w:rPr>
      </w:pPr>
      <w:hyperlink w:history="1" w:anchor="_Toc150852718">
        <w:r w:rsidRPr="00410559">
          <w:rPr>
            <w:rStyle w:val="Hyperlink"/>
            <w:noProof/>
          </w:rPr>
          <w:t>12.2.11</w:t>
        </w:r>
        <w:r>
          <w:rPr>
            <w:rFonts w:asciiTheme="minorHAnsi" w:hAnsiTheme="minorHAnsi" w:cstheme="minorBidi"/>
            <w:noProof/>
            <w:kern w:val="2"/>
            <w:sz w:val="22"/>
            <w:szCs w:val="22"/>
            <w14:ligatures w14:val="standardContextual"/>
          </w:rPr>
          <w:tab/>
        </w:r>
        <w:r w:rsidRPr="00410559">
          <w:rPr>
            <w:rStyle w:val="Hyperlink"/>
            <w:noProof/>
          </w:rPr>
          <w:t>Sinkholes and land subsidence</w:t>
        </w:r>
        <w:r>
          <w:rPr>
            <w:noProof/>
            <w:webHidden/>
          </w:rPr>
          <w:tab/>
        </w:r>
        <w:r>
          <w:rPr>
            <w:noProof/>
            <w:webHidden/>
          </w:rPr>
          <w:fldChar w:fldCharType="begin"/>
        </w:r>
        <w:r>
          <w:rPr>
            <w:noProof/>
            <w:webHidden/>
          </w:rPr>
          <w:instrText xml:space="preserve"> PAGEREF _Toc150852718 \h </w:instrText>
        </w:r>
        <w:r>
          <w:rPr>
            <w:noProof/>
            <w:webHidden/>
          </w:rPr>
        </w:r>
        <w:r>
          <w:rPr>
            <w:noProof/>
            <w:webHidden/>
          </w:rPr>
          <w:fldChar w:fldCharType="separate"/>
        </w:r>
        <w:r>
          <w:rPr>
            <w:noProof/>
            <w:webHidden/>
          </w:rPr>
          <w:t>131</w:t>
        </w:r>
        <w:r>
          <w:rPr>
            <w:noProof/>
            <w:webHidden/>
          </w:rPr>
          <w:fldChar w:fldCharType="end"/>
        </w:r>
      </w:hyperlink>
    </w:p>
    <w:p w:rsidR="009F37AF" w:rsidRDefault="009F37AF" w14:paraId="104693B4" w14:textId="0DE00A48">
      <w:pPr>
        <w:pStyle w:val="TOC3"/>
        <w:rPr>
          <w:rFonts w:asciiTheme="minorHAnsi" w:hAnsiTheme="minorHAnsi" w:cstheme="minorBidi"/>
          <w:noProof/>
          <w:kern w:val="2"/>
          <w:sz w:val="22"/>
          <w:szCs w:val="22"/>
          <w14:ligatures w14:val="standardContextual"/>
        </w:rPr>
      </w:pPr>
      <w:hyperlink w:history="1" w:anchor="_Toc150852719">
        <w:r w:rsidRPr="00410559">
          <w:rPr>
            <w:rStyle w:val="Hyperlink"/>
            <w:noProof/>
          </w:rPr>
          <w:t>12.2.12</w:t>
        </w:r>
        <w:r>
          <w:rPr>
            <w:rFonts w:asciiTheme="minorHAnsi" w:hAnsiTheme="minorHAnsi" w:cstheme="minorBidi"/>
            <w:noProof/>
            <w:kern w:val="2"/>
            <w:sz w:val="22"/>
            <w:szCs w:val="22"/>
            <w14:ligatures w14:val="standardContextual"/>
          </w:rPr>
          <w:tab/>
        </w:r>
        <w:r w:rsidRPr="00410559">
          <w:rPr>
            <w:rStyle w:val="Hyperlink"/>
            <w:noProof/>
          </w:rPr>
          <w:t>Wildfire</w:t>
        </w:r>
        <w:r>
          <w:rPr>
            <w:noProof/>
            <w:webHidden/>
          </w:rPr>
          <w:tab/>
        </w:r>
        <w:r>
          <w:rPr>
            <w:noProof/>
            <w:webHidden/>
          </w:rPr>
          <w:fldChar w:fldCharType="begin"/>
        </w:r>
        <w:r>
          <w:rPr>
            <w:noProof/>
            <w:webHidden/>
          </w:rPr>
          <w:instrText xml:space="preserve"> PAGEREF _Toc150852719 \h </w:instrText>
        </w:r>
        <w:r>
          <w:rPr>
            <w:noProof/>
            <w:webHidden/>
          </w:rPr>
        </w:r>
        <w:r>
          <w:rPr>
            <w:noProof/>
            <w:webHidden/>
          </w:rPr>
          <w:fldChar w:fldCharType="separate"/>
        </w:r>
        <w:r>
          <w:rPr>
            <w:noProof/>
            <w:webHidden/>
          </w:rPr>
          <w:t>132</w:t>
        </w:r>
        <w:r>
          <w:rPr>
            <w:noProof/>
            <w:webHidden/>
          </w:rPr>
          <w:fldChar w:fldCharType="end"/>
        </w:r>
      </w:hyperlink>
    </w:p>
    <w:p w:rsidR="009F37AF" w:rsidRDefault="009F37AF" w14:paraId="7E9D0E18" w14:textId="3E3E785C">
      <w:pPr>
        <w:pStyle w:val="TOC3"/>
        <w:rPr>
          <w:rFonts w:asciiTheme="minorHAnsi" w:hAnsiTheme="minorHAnsi" w:cstheme="minorBidi"/>
          <w:noProof/>
          <w:kern w:val="2"/>
          <w:sz w:val="22"/>
          <w:szCs w:val="22"/>
          <w14:ligatures w14:val="standardContextual"/>
        </w:rPr>
      </w:pPr>
      <w:hyperlink w:history="1" w:anchor="_Toc150852720">
        <w:r w:rsidRPr="00410559">
          <w:rPr>
            <w:rStyle w:val="Hyperlink"/>
            <w:noProof/>
          </w:rPr>
          <w:t>12.2.13</w:t>
        </w:r>
        <w:r>
          <w:rPr>
            <w:rFonts w:asciiTheme="minorHAnsi" w:hAnsiTheme="minorHAnsi" w:cstheme="minorBidi"/>
            <w:noProof/>
            <w:kern w:val="2"/>
            <w:sz w:val="22"/>
            <w:szCs w:val="22"/>
            <w14:ligatures w14:val="standardContextual"/>
          </w:rPr>
          <w:tab/>
        </w:r>
        <w:r w:rsidRPr="00410559">
          <w:rPr>
            <w:rStyle w:val="Hyperlink"/>
            <w:noProof/>
          </w:rPr>
          <w:t>Winter storms</w:t>
        </w:r>
        <w:r>
          <w:rPr>
            <w:noProof/>
            <w:webHidden/>
          </w:rPr>
          <w:tab/>
        </w:r>
        <w:r>
          <w:rPr>
            <w:noProof/>
            <w:webHidden/>
          </w:rPr>
          <w:fldChar w:fldCharType="begin"/>
        </w:r>
        <w:r>
          <w:rPr>
            <w:noProof/>
            <w:webHidden/>
          </w:rPr>
          <w:instrText xml:space="preserve"> PAGEREF _Toc150852720 \h </w:instrText>
        </w:r>
        <w:r>
          <w:rPr>
            <w:noProof/>
            <w:webHidden/>
          </w:rPr>
        </w:r>
        <w:r>
          <w:rPr>
            <w:noProof/>
            <w:webHidden/>
          </w:rPr>
          <w:fldChar w:fldCharType="separate"/>
        </w:r>
        <w:r>
          <w:rPr>
            <w:noProof/>
            <w:webHidden/>
          </w:rPr>
          <w:t>134</w:t>
        </w:r>
        <w:r>
          <w:rPr>
            <w:noProof/>
            <w:webHidden/>
          </w:rPr>
          <w:fldChar w:fldCharType="end"/>
        </w:r>
      </w:hyperlink>
    </w:p>
    <w:p w:rsidR="009F37AF" w:rsidRDefault="009F37AF" w14:paraId="6A32A747" w14:textId="37C246EA">
      <w:pPr>
        <w:pStyle w:val="TOC2"/>
        <w:rPr>
          <w:rFonts w:asciiTheme="minorHAnsi" w:hAnsiTheme="minorHAnsi" w:cstheme="minorBidi"/>
          <w:i w:val="0"/>
          <w:iCs w:val="0"/>
          <w:noProof/>
          <w:kern w:val="2"/>
          <w:sz w:val="22"/>
          <w:szCs w:val="22"/>
          <w14:ligatures w14:val="standardContextual"/>
        </w:rPr>
      </w:pPr>
      <w:hyperlink w:history="1" w:anchor="_Toc150852721">
        <w:r w:rsidRPr="00410559">
          <w:rPr>
            <w:rStyle w:val="Hyperlink"/>
            <w:noProof/>
          </w:rPr>
          <w:t>12.3</w:t>
        </w:r>
        <w:r>
          <w:rPr>
            <w:rFonts w:asciiTheme="minorHAnsi" w:hAnsiTheme="minorHAnsi" w:cstheme="minorBidi"/>
            <w:i w:val="0"/>
            <w:iCs w:val="0"/>
            <w:noProof/>
            <w:kern w:val="2"/>
            <w:sz w:val="22"/>
            <w:szCs w:val="22"/>
            <w14:ligatures w14:val="standardContextual"/>
          </w:rPr>
          <w:tab/>
        </w:r>
        <w:r w:rsidRPr="00410559">
          <w:rPr>
            <w:rStyle w:val="Hyperlink"/>
            <w:noProof/>
          </w:rPr>
          <w:t>Projected weather and climate risks to new BEAD-funded broadband infrastructure</w:t>
        </w:r>
        <w:r>
          <w:rPr>
            <w:noProof/>
            <w:webHidden/>
          </w:rPr>
          <w:tab/>
        </w:r>
        <w:r>
          <w:rPr>
            <w:noProof/>
            <w:webHidden/>
          </w:rPr>
          <w:fldChar w:fldCharType="begin"/>
        </w:r>
        <w:r>
          <w:rPr>
            <w:noProof/>
            <w:webHidden/>
          </w:rPr>
          <w:instrText xml:space="preserve"> PAGEREF _Toc150852721 \h </w:instrText>
        </w:r>
        <w:r>
          <w:rPr>
            <w:noProof/>
            <w:webHidden/>
          </w:rPr>
        </w:r>
        <w:r>
          <w:rPr>
            <w:noProof/>
            <w:webHidden/>
          </w:rPr>
          <w:fldChar w:fldCharType="separate"/>
        </w:r>
        <w:r>
          <w:rPr>
            <w:noProof/>
            <w:webHidden/>
          </w:rPr>
          <w:t>138</w:t>
        </w:r>
        <w:r>
          <w:rPr>
            <w:noProof/>
            <w:webHidden/>
          </w:rPr>
          <w:fldChar w:fldCharType="end"/>
        </w:r>
      </w:hyperlink>
    </w:p>
    <w:p w:rsidR="009F37AF" w:rsidRDefault="009F37AF" w14:paraId="344832AC" w14:textId="430DF1B6">
      <w:pPr>
        <w:pStyle w:val="TOC2"/>
        <w:rPr>
          <w:rFonts w:asciiTheme="minorHAnsi" w:hAnsiTheme="minorHAnsi" w:cstheme="minorBidi"/>
          <w:i w:val="0"/>
          <w:iCs w:val="0"/>
          <w:noProof/>
          <w:kern w:val="2"/>
          <w:sz w:val="22"/>
          <w:szCs w:val="22"/>
          <w14:ligatures w14:val="standardContextual"/>
        </w:rPr>
      </w:pPr>
      <w:hyperlink w:history="1" w:anchor="_Toc150852722">
        <w:r w:rsidRPr="00410559">
          <w:rPr>
            <w:rStyle w:val="Hyperlink"/>
            <w:noProof/>
          </w:rPr>
          <w:t>12.4</w:t>
        </w:r>
        <w:r>
          <w:rPr>
            <w:rFonts w:asciiTheme="minorHAnsi" w:hAnsiTheme="minorHAnsi" w:cstheme="minorBidi"/>
            <w:i w:val="0"/>
            <w:iCs w:val="0"/>
            <w:noProof/>
            <w:kern w:val="2"/>
            <w:sz w:val="22"/>
            <w:szCs w:val="22"/>
            <w14:ligatures w14:val="standardContextual"/>
          </w:rPr>
          <w:tab/>
        </w:r>
        <w:r w:rsidRPr="00410559">
          <w:rPr>
            <w:rStyle w:val="Hyperlink"/>
            <w:noProof/>
          </w:rPr>
          <w:t>Avoidance and mitigation of weather and climate risks</w:t>
        </w:r>
        <w:r>
          <w:rPr>
            <w:noProof/>
            <w:webHidden/>
          </w:rPr>
          <w:tab/>
        </w:r>
        <w:r>
          <w:rPr>
            <w:noProof/>
            <w:webHidden/>
          </w:rPr>
          <w:fldChar w:fldCharType="begin"/>
        </w:r>
        <w:r>
          <w:rPr>
            <w:noProof/>
            <w:webHidden/>
          </w:rPr>
          <w:instrText xml:space="preserve"> PAGEREF _Toc150852722 \h </w:instrText>
        </w:r>
        <w:r>
          <w:rPr>
            <w:noProof/>
            <w:webHidden/>
          </w:rPr>
        </w:r>
        <w:r>
          <w:rPr>
            <w:noProof/>
            <w:webHidden/>
          </w:rPr>
          <w:fldChar w:fldCharType="separate"/>
        </w:r>
        <w:r>
          <w:rPr>
            <w:noProof/>
            <w:webHidden/>
          </w:rPr>
          <w:t>138</w:t>
        </w:r>
        <w:r>
          <w:rPr>
            <w:noProof/>
            <w:webHidden/>
          </w:rPr>
          <w:fldChar w:fldCharType="end"/>
        </w:r>
      </w:hyperlink>
    </w:p>
    <w:p w:rsidR="009F37AF" w:rsidRDefault="009F37AF" w14:paraId="50CCCF31" w14:textId="104A9888">
      <w:pPr>
        <w:pStyle w:val="TOC3"/>
        <w:rPr>
          <w:rFonts w:asciiTheme="minorHAnsi" w:hAnsiTheme="minorHAnsi" w:cstheme="minorBidi"/>
          <w:noProof/>
          <w:kern w:val="2"/>
          <w:sz w:val="22"/>
          <w:szCs w:val="22"/>
          <w14:ligatures w14:val="standardContextual"/>
        </w:rPr>
      </w:pPr>
      <w:hyperlink w:history="1" w:anchor="_Toc150852723">
        <w:r w:rsidRPr="00410559">
          <w:rPr>
            <w:rStyle w:val="Hyperlink"/>
            <w:noProof/>
          </w:rPr>
          <w:t>12.4.1</w:t>
        </w:r>
        <w:r>
          <w:rPr>
            <w:rFonts w:asciiTheme="minorHAnsi" w:hAnsiTheme="minorHAnsi" w:cstheme="minorBidi"/>
            <w:noProof/>
            <w:kern w:val="2"/>
            <w:sz w:val="22"/>
            <w:szCs w:val="22"/>
            <w14:ligatures w14:val="standardContextual"/>
          </w:rPr>
          <w:tab/>
        </w:r>
        <w:r w:rsidRPr="00410559">
          <w:rPr>
            <w:rStyle w:val="Hyperlink"/>
            <w:noProof/>
          </w:rPr>
          <w:t>Hazard mitigation for anticipated BEAD-funded projects in Alabama</w:t>
        </w:r>
        <w:r>
          <w:rPr>
            <w:noProof/>
            <w:webHidden/>
          </w:rPr>
          <w:tab/>
        </w:r>
        <w:r>
          <w:rPr>
            <w:noProof/>
            <w:webHidden/>
          </w:rPr>
          <w:fldChar w:fldCharType="begin"/>
        </w:r>
        <w:r>
          <w:rPr>
            <w:noProof/>
            <w:webHidden/>
          </w:rPr>
          <w:instrText xml:space="preserve"> PAGEREF _Toc150852723 \h </w:instrText>
        </w:r>
        <w:r>
          <w:rPr>
            <w:noProof/>
            <w:webHidden/>
          </w:rPr>
        </w:r>
        <w:r>
          <w:rPr>
            <w:noProof/>
            <w:webHidden/>
          </w:rPr>
          <w:fldChar w:fldCharType="separate"/>
        </w:r>
        <w:r>
          <w:rPr>
            <w:noProof/>
            <w:webHidden/>
          </w:rPr>
          <w:t>139</w:t>
        </w:r>
        <w:r>
          <w:rPr>
            <w:noProof/>
            <w:webHidden/>
          </w:rPr>
          <w:fldChar w:fldCharType="end"/>
        </w:r>
      </w:hyperlink>
    </w:p>
    <w:p w:rsidR="009F37AF" w:rsidRDefault="009F37AF" w14:paraId="5C357B6B" w14:textId="58270EC3">
      <w:pPr>
        <w:pStyle w:val="TOC3"/>
        <w:rPr>
          <w:rFonts w:asciiTheme="minorHAnsi" w:hAnsiTheme="minorHAnsi" w:cstheme="minorBidi"/>
          <w:noProof/>
          <w:kern w:val="2"/>
          <w:sz w:val="22"/>
          <w:szCs w:val="22"/>
          <w14:ligatures w14:val="standardContextual"/>
        </w:rPr>
      </w:pPr>
      <w:hyperlink w:history="1" w:anchor="_Toc150852724">
        <w:r w:rsidRPr="00410559">
          <w:rPr>
            <w:rStyle w:val="Hyperlink"/>
            <w:noProof/>
          </w:rPr>
          <w:t>12.4.2</w:t>
        </w:r>
        <w:r>
          <w:rPr>
            <w:rFonts w:asciiTheme="minorHAnsi" w:hAnsiTheme="minorHAnsi" w:cstheme="minorBidi"/>
            <w:noProof/>
            <w:kern w:val="2"/>
            <w:sz w:val="22"/>
            <w:szCs w:val="22"/>
            <w14:ligatures w14:val="standardContextual"/>
          </w:rPr>
          <w:tab/>
        </w:r>
        <w:r w:rsidRPr="00410559">
          <w:rPr>
            <w:rStyle w:val="Hyperlink"/>
            <w:noProof/>
          </w:rPr>
          <w:t>Adopted risk mitigation processes</w:t>
        </w:r>
        <w:r>
          <w:rPr>
            <w:noProof/>
            <w:webHidden/>
          </w:rPr>
          <w:tab/>
        </w:r>
        <w:r>
          <w:rPr>
            <w:noProof/>
            <w:webHidden/>
          </w:rPr>
          <w:fldChar w:fldCharType="begin"/>
        </w:r>
        <w:r>
          <w:rPr>
            <w:noProof/>
            <w:webHidden/>
          </w:rPr>
          <w:instrText xml:space="preserve"> PAGEREF _Toc150852724 \h </w:instrText>
        </w:r>
        <w:r>
          <w:rPr>
            <w:noProof/>
            <w:webHidden/>
          </w:rPr>
        </w:r>
        <w:r>
          <w:rPr>
            <w:noProof/>
            <w:webHidden/>
          </w:rPr>
          <w:fldChar w:fldCharType="separate"/>
        </w:r>
        <w:r>
          <w:rPr>
            <w:noProof/>
            <w:webHidden/>
          </w:rPr>
          <w:t>140</w:t>
        </w:r>
        <w:r>
          <w:rPr>
            <w:noProof/>
            <w:webHidden/>
          </w:rPr>
          <w:fldChar w:fldCharType="end"/>
        </w:r>
      </w:hyperlink>
    </w:p>
    <w:p w:rsidR="009F37AF" w:rsidRDefault="009F37AF" w14:paraId="0ACC91F0" w14:textId="163F82B5">
      <w:pPr>
        <w:pStyle w:val="TOC2"/>
        <w:rPr>
          <w:rFonts w:asciiTheme="minorHAnsi" w:hAnsiTheme="minorHAnsi" w:cstheme="minorBidi"/>
          <w:i w:val="0"/>
          <w:iCs w:val="0"/>
          <w:noProof/>
          <w:kern w:val="2"/>
          <w:sz w:val="22"/>
          <w:szCs w:val="22"/>
          <w14:ligatures w14:val="standardContextual"/>
        </w:rPr>
      </w:pPr>
      <w:hyperlink w:history="1" w:anchor="_Toc150852725">
        <w:r w:rsidRPr="00410559">
          <w:rPr>
            <w:rStyle w:val="Hyperlink"/>
            <w:noProof/>
          </w:rPr>
          <w:t>12.5</w:t>
        </w:r>
        <w:r>
          <w:rPr>
            <w:rFonts w:asciiTheme="minorHAnsi" w:hAnsiTheme="minorHAnsi" w:cstheme="minorBidi"/>
            <w:i w:val="0"/>
            <w:iCs w:val="0"/>
            <w:noProof/>
            <w:kern w:val="2"/>
            <w:sz w:val="22"/>
            <w:szCs w:val="22"/>
            <w14:ligatures w14:val="standardContextual"/>
          </w:rPr>
          <w:tab/>
        </w:r>
        <w:r w:rsidRPr="00410559">
          <w:rPr>
            <w:rStyle w:val="Hyperlink"/>
            <w:noProof/>
          </w:rPr>
          <w:t>Plan for completing the climate assessment process over the life of the program</w:t>
        </w:r>
        <w:r>
          <w:rPr>
            <w:noProof/>
            <w:webHidden/>
          </w:rPr>
          <w:tab/>
        </w:r>
        <w:r>
          <w:rPr>
            <w:noProof/>
            <w:webHidden/>
          </w:rPr>
          <w:fldChar w:fldCharType="begin"/>
        </w:r>
        <w:r>
          <w:rPr>
            <w:noProof/>
            <w:webHidden/>
          </w:rPr>
          <w:instrText xml:space="preserve"> PAGEREF _Toc150852725 \h </w:instrText>
        </w:r>
        <w:r>
          <w:rPr>
            <w:noProof/>
            <w:webHidden/>
          </w:rPr>
        </w:r>
        <w:r>
          <w:rPr>
            <w:noProof/>
            <w:webHidden/>
          </w:rPr>
          <w:fldChar w:fldCharType="separate"/>
        </w:r>
        <w:r>
          <w:rPr>
            <w:noProof/>
            <w:webHidden/>
          </w:rPr>
          <w:t>140</w:t>
        </w:r>
        <w:r>
          <w:rPr>
            <w:noProof/>
            <w:webHidden/>
          </w:rPr>
          <w:fldChar w:fldCharType="end"/>
        </w:r>
      </w:hyperlink>
    </w:p>
    <w:p w:rsidR="009F37AF" w:rsidRDefault="009F37AF" w14:paraId="65076466" w14:textId="1F016DB1">
      <w:pPr>
        <w:pStyle w:val="TOC1"/>
        <w:rPr>
          <w:rFonts w:asciiTheme="minorHAnsi" w:hAnsiTheme="minorHAnsi" w:cstheme="minorBidi"/>
          <w:b w:val="0"/>
          <w:bCs w:val="0"/>
          <w:noProof/>
          <w:kern w:val="2"/>
          <w:sz w:val="22"/>
          <w:szCs w:val="22"/>
          <w14:ligatures w14:val="standardContextual"/>
        </w:rPr>
      </w:pPr>
      <w:hyperlink w:history="1" w:anchor="_Toc150852726">
        <w:r w:rsidRPr="00410559">
          <w:rPr>
            <w:rStyle w:val="Hyperlink"/>
            <w:noProof/>
          </w:rPr>
          <w:t>13.</w:t>
        </w:r>
        <w:r>
          <w:rPr>
            <w:rFonts w:asciiTheme="minorHAnsi" w:hAnsiTheme="minorHAnsi" w:cstheme="minorBidi"/>
            <w:b w:val="0"/>
            <w:bCs w:val="0"/>
            <w:noProof/>
            <w:kern w:val="2"/>
            <w:sz w:val="22"/>
            <w:szCs w:val="22"/>
            <w14:ligatures w14:val="standardContextual"/>
          </w:rPr>
          <w:tab/>
        </w:r>
        <w:r w:rsidRPr="00410559">
          <w:rPr>
            <w:rStyle w:val="Hyperlink"/>
            <w:noProof/>
          </w:rPr>
          <w:t>Low-cost broadband service option (Requirement 16)</w:t>
        </w:r>
        <w:r>
          <w:rPr>
            <w:noProof/>
            <w:webHidden/>
          </w:rPr>
          <w:tab/>
        </w:r>
        <w:r>
          <w:rPr>
            <w:noProof/>
            <w:webHidden/>
          </w:rPr>
          <w:fldChar w:fldCharType="begin"/>
        </w:r>
        <w:r>
          <w:rPr>
            <w:noProof/>
            <w:webHidden/>
          </w:rPr>
          <w:instrText xml:space="preserve"> PAGEREF _Toc150852726 \h </w:instrText>
        </w:r>
        <w:r>
          <w:rPr>
            <w:noProof/>
            <w:webHidden/>
          </w:rPr>
        </w:r>
        <w:r>
          <w:rPr>
            <w:noProof/>
            <w:webHidden/>
          </w:rPr>
          <w:fldChar w:fldCharType="separate"/>
        </w:r>
        <w:r>
          <w:rPr>
            <w:noProof/>
            <w:webHidden/>
          </w:rPr>
          <w:t>142</w:t>
        </w:r>
        <w:r>
          <w:rPr>
            <w:noProof/>
            <w:webHidden/>
          </w:rPr>
          <w:fldChar w:fldCharType="end"/>
        </w:r>
      </w:hyperlink>
    </w:p>
    <w:p w:rsidR="009F37AF" w:rsidRDefault="009F37AF" w14:paraId="67A39071" w14:textId="6B29B982">
      <w:pPr>
        <w:pStyle w:val="TOC2"/>
        <w:rPr>
          <w:rFonts w:asciiTheme="minorHAnsi" w:hAnsiTheme="minorHAnsi" w:cstheme="minorBidi"/>
          <w:i w:val="0"/>
          <w:iCs w:val="0"/>
          <w:noProof/>
          <w:kern w:val="2"/>
          <w:sz w:val="22"/>
          <w:szCs w:val="22"/>
          <w14:ligatures w14:val="standardContextual"/>
        </w:rPr>
      </w:pPr>
      <w:hyperlink w:history="1" w:anchor="_Toc150852727">
        <w:r w:rsidRPr="00410559">
          <w:rPr>
            <w:rStyle w:val="Hyperlink"/>
            <w:noProof/>
          </w:rPr>
          <w:t>13.1</w:t>
        </w:r>
        <w:r>
          <w:rPr>
            <w:rFonts w:asciiTheme="minorHAnsi" w:hAnsiTheme="minorHAnsi" w:cstheme="minorBidi"/>
            <w:i w:val="0"/>
            <w:iCs w:val="0"/>
            <w:noProof/>
            <w:kern w:val="2"/>
            <w:sz w:val="22"/>
            <w:szCs w:val="22"/>
            <w14:ligatures w14:val="standardContextual"/>
          </w:rPr>
          <w:tab/>
        </w:r>
        <w:r w:rsidRPr="00410559">
          <w:rPr>
            <w:rStyle w:val="Hyperlink"/>
            <w:noProof/>
          </w:rPr>
          <w:t>Low-cost broadband service option that must be offered by Alabama BEAD subgrantees</w:t>
        </w:r>
        <w:r>
          <w:rPr>
            <w:noProof/>
            <w:webHidden/>
          </w:rPr>
          <w:tab/>
        </w:r>
        <w:r>
          <w:rPr>
            <w:noProof/>
            <w:webHidden/>
          </w:rPr>
          <w:fldChar w:fldCharType="begin"/>
        </w:r>
        <w:r>
          <w:rPr>
            <w:noProof/>
            <w:webHidden/>
          </w:rPr>
          <w:instrText xml:space="preserve"> PAGEREF _Toc150852727 \h </w:instrText>
        </w:r>
        <w:r>
          <w:rPr>
            <w:noProof/>
            <w:webHidden/>
          </w:rPr>
        </w:r>
        <w:r>
          <w:rPr>
            <w:noProof/>
            <w:webHidden/>
          </w:rPr>
          <w:fldChar w:fldCharType="separate"/>
        </w:r>
        <w:r>
          <w:rPr>
            <w:noProof/>
            <w:webHidden/>
          </w:rPr>
          <w:t>144</w:t>
        </w:r>
        <w:r>
          <w:rPr>
            <w:noProof/>
            <w:webHidden/>
          </w:rPr>
          <w:fldChar w:fldCharType="end"/>
        </w:r>
      </w:hyperlink>
    </w:p>
    <w:p w:rsidR="009F37AF" w:rsidRDefault="009F37AF" w14:paraId="08E934C4" w14:textId="4F0ADD10">
      <w:pPr>
        <w:pStyle w:val="TOC2"/>
        <w:rPr>
          <w:rFonts w:asciiTheme="minorHAnsi" w:hAnsiTheme="minorHAnsi" w:cstheme="minorBidi"/>
          <w:i w:val="0"/>
          <w:iCs w:val="0"/>
          <w:noProof/>
          <w:kern w:val="2"/>
          <w:sz w:val="22"/>
          <w:szCs w:val="22"/>
          <w14:ligatures w14:val="standardContextual"/>
        </w:rPr>
      </w:pPr>
      <w:hyperlink w:history="1" w:anchor="_Toc150852728">
        <w:r w:rsidRPr="00410559">
          <w:rPr>
            <w:rStyle w:val="Hyperlink"/>
            <w:noProof/>
          </w:rPr>
          <w:t>13.2</w:t>
        </w:r>
        <w:r>
          <w:rPr>
            <w:rFonts w:asciiTheme="minorHAnsi" w:hAnsiTheme="minorHAnsi" w:cstheme="minorBidi"/>
            <w:i w:val="0"/>
            <w:iCs w:val="0"/>
            <w:noProof/>
            <w:kern w:val="2"/>
            <w:sz w:val="22"/>
            <w:szCs w:val="22"/>
            <w14:ligatures w14:val="standardContextual"/>
          </w:rPr>
          <w:tab/>
        </w:r>
        <w:r w:rsidRPr="00410559">
          <w:rPr>
            <w:rStyle w:val="Hyperlink"/>
            <w:noProof/>
          </w:rPr>
          <w:t>Incentivizing lower-cost offerings</w:t>
        </w:r>
        <w:r>
          <w:rPr>
            <w:noProof/>
            <w:webHidden/>
          </w:rPr>
          <w:tab/>
        </w:r>
        <w:r>
          <w:rPr>
            <w:noProof/>
            <w:webHidden/>
          </w:rPr>
          <w:fldChar w:fldCharType="begin"/>
        </w:r>
        <w:r>
          <w:rPr>
            <w:noProof/>
            <w:webHidden/>
          </w:rPr>
          <w:instrText xml:space="preserve"> PAGEREF _Toc150852728 \h </w:instrText>
        </w:r>
        <w:r>
          <w:rPr>
            <w:noProof/>
            <w:webHidden/>
          </w:rPr>
        </w:r>
        <w:r>
          <w:rPr>
            <w:noProof/>
            <w:webHidden/>
          </w:rPr>
          <w:fldChar w:fldCharType="separate"/>
        </w:r>
        <w:r>
          <w:rPr>
            <w:noProof/>
            <w:webHidden/>
          </w:rPr>
          <w:t>147</w:t>
        </w:r>
        <w:r>
          <w:rPr>
            <w:noProof/>
            <w:webHidden/>
          </w:rPr>
          <w:fldChar w:fldCharType="end"/>
        </w:r>
      </w:hyperlink>
    </w:p>
    <w:p w:rsidR="009F37AF" w:rsidRDefault="009F37AF" w14:paraId="759A0463" w14:textId="091D7918">
      <w:pPr>
        <w:pStyle w:val="TOC2"/>
        <w:rPr>
          <w:rFonts w:asciiTheme="minorHAnsi" w:hAnsiTheme="minorHAnsi" w:cstheme="minorBidi"/>
          <w:i w:val="0"/>
          <w:iCs w:val="0"/>
          <w:noProof/>
          <w:kern w:val="2"/>
          <w:sz w:val="22"/>
          <w:szCs w:val="22"/>
          <w14:ligatures w14:val="standardContextual"/>
        </w:rPr>
      </w:pPr>
      <w:hyperlink w:history="1" w:anchor="_Toc150852729">
        <w:r w:rsidRPr="00410559">
          <w:rPr>
            <w:rStyle w:val="Hyperlink"/>
            <w:noProof/>
          </w:rPr>
          <w:t>13.3</w:t>
        </w:r>
        <w:r>
          <w:rPr>
            <w:rFonts w:asciiTheme="minorHAnsi" w:hAnsiTheme="minorHAnsi" w:cstheme="minorBidi"/>
            <w:i w:val="0"/>
            <w:iCs w:val="0"/>
            <w:noProof/>
            <w:kern w:val="2"/>
            <w:sz w:val="22"/>
            <w:szCs w:val="22"/>
            <w14:ligatures w14:val="standardContextual"/>
          </w:rPr>
          <w:tab/>
        </w:r>
        <w:r w:rsidRPr="00410559">
          <w:rPr>
            <w:rStyle w:val="Hyperlink"/>
            <w:noProof/>
          </w:rPr>
          <w:t>Certification</w:t>
        </w:r>
        <w:r>
          <w:rPr>
            <w:noProof/>
            <w:webHidden/>
          </w:rPr>
          <w:tab/>
        </w:r>
        <w:r>
          <w:rPr>
            <w:noProof/>
            <w:webHidden/>
          </w:rPr>
          <w:fldChar w:fldCharType="begin"/>
        </w:r>
        <w:r>
          <w:rPr>
            <w:noProof/>
            <w:webHidden/>
          </w:rPr>
          <w:instrText xml:space="preserve"> PAGEREF _Toc150852729 \h </w:instrText>
        </w:r>
        <w:r>
          <w:rPr>
            <w:noProof/>
            <w:webHidden/>
          </w:rPr>
        </w:r>
        <w:r>
          <w:rPr>
            <w:noProof/>
            <w:webHidden/>
          </w:rPr>
          <w:fldChar w:fldCharType="separate"/>
        </w:r>
        <w:r>
          <w:rPr>
            <w:noProof/>
            <w:webHidden/>
          </w:rPr>
          <w:t>147</w:t>
        </w:r>
        <w:r>
          <w:rPr>
            <w:noProof/>
            <w:webHidden/>
          </w:rPr>
          <w:fldChar w:fldCharType="end"/>
        </w:r>
      </w:hyperlink>
    </w:p>
    <w:p w:rsidR="009F37AF" w:rsidRDefault="009F37AF" w14:paraId="30A74B38" w14:textId="69EC388E">
      <w:pPr>
        <w:pStyle w:val="TOC1"/>
        <w:rPr>
          <w:rFonts w:asciiTheme="minorHAnsi" w:hAnsiTheme="minorHAnsi" w:cstheme="minorBidi"/>
          <w:b w:val="0"/>
          <w:bCs w:val="0"/>
          <w:noProof/>
          <w:kern w:val="2"/>
          <w:sz w:val="22"/>
          <w:szCs w:val="22"/>
          <w14:ligatures w14:val="standardContextual"/>
        </w:rPr>
      </w:pPr>
      <w:hyperlink w:history="1" w:anchor="_Toc150852730">
        <w:r w:rsidRPr="00410559">
          <w:rPr>
            <w:rStyle w:val="Hyperlink"/>
            <w:noProof/>
          </w:rPr>
          <w:t>14.</w:t>
        </w:r>
        <w:r>
          <w:rPr>
            <w:rFonts w:asciiTheme="minorHAnsi" w:hAnsiTheme="minorHAnsi" w:cstheme="minorBidi"/>
            <w:b w:val="0"/>
            <w:bCs w:val="0"/>
            <w:noProof/>
            <w:kern w:val="2"/>
            <w:sz w:val="22"/>
            <w:szCs w:val="22"/>
            <w14:ligatures w14:val="standardContextual"/>
          </w:rPr>
          <w:tab/>
        </w:r>
        <w:r w:rsidRPr="00410559">
          <w:rPr>
            <w:rStyle w:val="Hyperlink"/>
            <w:noProof/>
          </w:rPr>
          <w:t>Middle-class affordability plan</w:t>
        </w:r>
        <w:r>
          <w:rPr>
            <w:noProof/>
            <w:webHidden/>
          </w:rPr>
          <w:tab/>
        </w:r>
        <w:r>
          <w:rPr>
            <w:noProof/>
            <w:webHidden/>
          </w:rPr>
          <w:fldChar w:fldCharType="begin"/>
        </w:r>
        <w:r>
          <w:rPr>
            <w:noProof/>
            <w:webHidden/>
          </w:rPr>
          <w:instrText xml:space="preserve"> PAGEREF _Toc150852730 \h </w:instrText>
        </w:r>
        <w:r>
          <w:rPr>
            <w:noProof/>
            <w:webHidden/>
          </w:rPr>
        </w:r>
        <w:r>
          <w:rPr>
            <w:noProof/>
            <w:webHidden/>
          </w:rPr>
          <w:fldChar w:fldCharType="separate"/>
        </w:r>
        <w:r>
          <w:rPr>
            <w:noProof/>
            <w:webHidden/>
          </w:rPr>
          <w:t>148</w:t>
        </w:r>
        <w:r>
          <w:rPr>
            <w:noProof/>
            <w:webHidden/>
          </w:rPr>
          <w:fldChar w:fldCharType="end"/>
        </w:r>
      </w:hyperlink>
    </w:p>
    <w:p w:rsidR="009F37AF" w:rsidRDefault="009F37AF" w14:paraId="1CFD638F" w14:textId="1884168A">
      <w:pPr>
        <w:pStyle w:val="TOC1"/>
        <w:rPr>
          <w:rFonts w:asciiTheme="minorHAnsi" w:hAnsiTheme="minorHAnsi" w:cstheme="minorBidi"/>
          <w:b w:val="0"/>
          <w:bCs w:val="0"/>
          <w:noProof/>
          <w:kern w:val="2"/>
          <w:sz w:val="22"/>
          <w:szCs w:val="22"/>
          <w14:ligatures w14:val="standardContextual"/>
        </w:rPr>
      </w:pPr>
      <w:hyperlink w:history="1" w:anchor="_Toc150852731">
        <w:r w:rsidRPr="00410559">
          <w:rPr>
            <w:rStyle w:val="Hyperlink"/>
            <w:noProof/>
          </w:rPr>
          <w:t>15.</w:t>
        </w:r>
        <w:r>
          <w:rPr>
            <w:rFonts w:asciiTheme="minorHAnsi" w:hAnsiTheme="minorHAnsi" w:cstheme="minorBidi"/>
            <w:b w:val="0"/>
            <w:bCs w:val="0"/>
            <w:noProof/>
            <w:kern w:val="2"/>
            <w:sz w:val="22"/>
            <w:szCs w:val="22"/>
            <w14:ligatures w14:val="standardContextual"/>
          </w:rPr>
          <w:tab/>
        </w:r>
        <w:r w:rsidRPr="00410559">
          <w:rPr>
            <w:rStyle w:val="Hyperlink"/>
            <w:noProof/>
          </w:rPr>
          <w:t>Use of 20 percent of funding (Requirement 17)</w:t>
        </w:r>
        <w:r>
          <w:rPr>
            <w:noProof/>
            <w:webHidden/>
          </w:rPr>
          <w:tab/>
        </w:r>
        <w:r>
          <w:rPr>
            <w:noProof/>
            <w:webHidden/>
          </w:rPr>
          <w:fldChar w:fldCharType="begin"/>
        </w:r>
        <w:r>
          <w:rPr>
            <w:noProof/>
            <w:webHidden/>
          </w:rPr>
          <w:instrText xml:space="preserve"> PAGEREF _Toc150852731 \h </w:instrText>
        </w:r>
        <w:r>
          <w:rPr>
            <w:noProof/>
            <w:webHidden/>
          </w:rPr>
        </w:r>
        <w:r>
          <w:rPr>
            <w:noProof/>
            <w:webHidden/>
          </w:rPr>
          <w:fldChar w:fldCharType="separate"/>
        </w:r>
        <w:r>
          <w:rPr>
            <w:noProof/>
            <w:webHidden/>
          </w:rPr>
          <w:t>152</w:t>
        </w:r>
        <w:r>
          <w:rPr>
            <w:noProof/>
            <w:webHidden/>
          </w:rPr>
          <w:fldChar w:fldCharType="end"/>
        </w:r>
      </w:hyperlink>
    </w:p>
    <w:p w:rsidR="009F37AF" w:rsidRDefault="009F37AF" w14:paraId="3FE131FA" w14:textId="16EE2F9F">
      <w:pPr>
        <w:pStyle w:val="TOC2"/>
        <w:rPr>
          <w:rFonts w:asciiTheme="minorHAnsi" w:hAnsiTheme="minorHAnsi" w:cstheme="minorBidi"/>
          <w:i w:val="0"/>
          <w:iCs w:val="0"/>
          <w:noProof/>
          <w:kern w:val="2"/>
          <w:sz w:val="22"/>
          <w:szCs w:val="22"/>
          <w14:ligatures w14:val="standardContextual"/>
        </w:rPr>
      </w:pPr>
      <w:hyperlink w:history="1" w:anchor="_Toc150852732">
        <w:r w:rsidRPr="00410559">
          <w:rPr>
            <w:rStyle w:val="Hyperlink"/>
            <w:noProof/>
          </w:rPr>
          <w:t>15.1</w:t>
        </w:r>
        <w:r>
          <w:rPr>
            <w:rFonts w:asciiTheme="minorHAnsi" w:hAnsiTheme="minorHAnsi" w:cstheme="minorBidi"/>
            <w:i w:val="0"/>
            <w:iCs w:val="0"/>
            <w:noProof/>
            <w:kern w:val="2"/>
            <w:sz w:val="22"/>
            <w:szCs w:val="22"/>
            <w14:ligatures w14:val="standardContextual"/>
          </w:rPr>
          <w:tab/>
        </w:r>
        <w:r w:rsidRPr="00410559">
          <w:rPr>
            <w:rStyle w:val="Hyperlink"/>
            <w:noProof/>
          </w:rPr>
          <w:t>Planned use of funds requested</w:t>
        </w:r>
        <w:r>
          <w:rPr>
            <w:noProof/>
            <w:webHidden/>
          </w:rPr>
          <w:tab/>
        </w:r>
        <w:r>
          <w:rPr>
            <w:noProof/>
            <w:webHidden/>
          </w:rPr>
          <w:fldChar w:fldCharType="begin"/>
        </w:r>
        <w:r>
          <w:rPr>
            <w:noProof/>
            <w:webHidden/>
          </w:rPr>
          <w:instrText xml:space="preserve"> PAGEREF _Toc150852732 \h </w:instrText>
        </w:r>
        <w:r>
          <w:rPr>
            <w:noProof/>
            <w:webHidden/>
          </w:rPr>
        </w:r>
        <w:r>
          <w:rPr>
            <w:noProof/>
            <w:webHidden/>
          </w:rPr>
          <w:fldChar w:fldCharType="separate"/>
        </w:r>
        <w:r>
          <w:rPr>
            <w:noProof/>
            <w:webHidden/>
          </w:rPr>
          <w:t>152</w:t>
        </w:r>
        <w:r>
          <w:rPr>
            <w:noProof/>
            <w:webHidden/>
          </w:rPr>
          <w:fldChar w:fldCharType="end"/>
        </w:r>
      </w:hyperlink>
    </w:p>
    <w:p w:rsidR="009F37AF" w:rsidRDefault="009F37AF" w14:paraId="3D47132B" w14:textId="769B1D0F">
      <w:pPr>
        <w:pStyle w:val="TOC2"/>
        <w:rPr>
          <w:rFonts w:asciiTheme="minorHAnsi" w:hAnsiTheme="minorHAnsi" w:cstheme="minorBidi"/>
          <w:i w:val="0"/>
          <w:iCs w:val="0"/>
          <w:noProof/>
          <w:kern w:val="2"/>
          <w:sz w:val="22"/>
          <w:szCs w:val="22"/>
          <w14:ligatures w14:val="standardContextual"/>
        </w:rPr>
      </w:pPr>
      <w:hyperlink w:history="1" w:anchor="_Toc150852733">
        <w:r w:rsidRPr="00410559">
          <w:rPr>
            <w:rStyle w:val="Hyperlink"/>
            <w:noProof/>
          </w:rPr>
          <w:t>15.2</w:t>
        </w:r>
        <w:r>
          <w:rPr>
            <w:rFonts w:asciiTheme="minorHAnsi" w:hAnsiTheme="minorHAnsi" w:cstheme="minorBidi"/>
            <w:i w:val="0"/>
            <w:iCs w:val="0"/>
            <w:noProof/>
            <w:kern w:val="2"/>
            <w:sz w:val="22"/>
            <w:szCs w:val="22"/>
            <w14:ligatures w14:val="standardContextual"/>
          </w:rPr>
          <w:tab/>
        </w:r>
        <w:r w:rsidRPr="00410559">
          <w:rPr>
            <w:rStyle w:val="Hyperlink"/>
            <w:noProof/>
          </w:rPr>
          <w:t>Amount of Initial Proposal Funding Request</w:t>
        </w:r>
        <w:r>
          <w:rPr>
            <w:noProof/>
            <w:webHidden/>
          </w:rPr>
          <w:tab/>
        </w:r>
        <w:r>
          <w:rPr>
            <w:noProof/>
            <w:webHidden/>
          </w:rPr>
          <w:fldChar w:fldCharType="begin"/>
        </w:r>
        <w:r>
          <w:rPr>
            <w:noProof/>
            <w:webHidden/>
          </w:rPr>
          <w:instrText xml:space="preserve"> PAGEREF _Toc150852733 \h </w:instrText>
        </w:r>
        <w:r>
          <w:rPr>
            <w:noProof/>
            <w:webHidden/>
          </w:rPr>
        </w:r>
        <w:r>
          <w:rPr>
            <w:noProof/>
            <w:webHidden/>
          </w:rPr>
          <w:fldChar w:fldCharType="separate"/>
        </w:r>
        <w:r>
          <w:rPr>
            <w:noProof/>
            <w:webHidden/>
          </w:rPr>
          <w:t>153</w:t>
        </w:r>
        <w:r>
          <w:rPr>
            <w:noProof/>
            <w:webHidden/>
          </w:rPr>
          <w:fldChar w:fldCharType="end"/>
        </w:r>
      </w:hyperlink>
    </w:p>
    <w:p w:rsidR="009F37AF" w:rsidRDefault="009F37AF" w14:paraId="6AB7402B" w14:textId="05D4D01A">
      <w:pPr>
        <w:pStyle w:val="TOC2"/>
        <w:rPr>
          <w:rFonts w:asciiTheme="minorHAnsi" w:hAnsiTheme="minorHAnsi" w:cstheme="minorBidi"/>
          <w:i w:val="0"/>
          <w:iCs w:val="0"/>
          <w:noProof/>
          <w:kern w:val="2"/>
          <w:sz w:val="22"/>
          <w:szCs w:val="22"/>
          <w14:ligatures w14:val="standardContextual"/>
        </w:rPr>
      </w:pPr>
      <w:hyperlink w:history="1" w:anchor="_Toc150852734">
        <w:r w:rsidRPr="00410559">
          <w:rPr>
            <w:rStyle w:val="Hyperlink"/>
            <w:noProof/>
          </w:rPr>
          <w:t>15.3</w:t>
        </w:r>
        <w:r>
          <w:rPr>
            <w:rFonts w:asciiTheme="minorHAnsi" w:hAnsiTheme="minorHAnsi" w:cstheme="minorBidi"/>
            <w:i w:val="0"/>
            <w:iCs w:val="0"/>
            <w:noProof/>
            <w:kern w:val="2"/>
            <w:sz w:val="22"/>
            <w:szCs w:val="22"/>
            <w14:ligatures w14:val="standardContextual"/>
          </w:rPr>
          <w:tab/>
        </w:r>
        <w:r w:rsidRPr="00410559">
          <w:rPr>
            <w:rStyle w:val="Hyperlink"/>
            <w:noProof/>
          </w:rPr>
          <w:t>Certification</w:t>
        </w:r>
        <w:r>
          <w:rPr>
            <w:noProof/>
            <w:webHidden/>
          </w:rPr>
          <w:tab/>
        </w:r>
        <w:r>
          <w:rPr>
            <w:noProof/>
            <w:webHidden/>
          </w:rPr>
          <w:fldChar w:fldCharType="begin"/>
        </w:r>
        <w:r>
          <w:rPr>
            <w:noProof/>
            <w:webHidden/>
          </w:rPr>
          <w:instrText xml:space="preserve"> PAGEREF _Toc150852734 \h </w:instrText>
        </w:r>
        <w:r>
          <w:rPr>
            <w:noProof/>
            <w:webHidden/>
          </w:rPr>
        </w:r>
        <w:r>
          <w:rPr>
            <w:noProof/>
            <w:webHidden/>
          </w:rPr>
          <w:fldChar w:fldCharType="separate"/>
        </w:r>
        <w:r>
          <w:rPr>
            <w:noProof/>
            <w:webHidden/>
          </w:rPr>
          <w:t>153</w:t>
        </w:r>
        <w:r>
          <w:rPr>
            <w:noProof/>
            <w:webHidden/>
          </w:rPr>
          <w:fldChar w:fldCharType="end"/>
        </w:r>
      </w:hyperlink>
    </w:p>
    <w:p w:rsidR="009F37AF" w:rsidRDefault="009F37AF" w14:paraId="1325B2E0" w14:textId="36CD83BD">
      <w:pPr>
        <w:pStyle w:val="TOC1"/>
        <w:rPr>
          <w:rFonts w:asciiTheme="minorHAnsi" w:hAnsiTheme="minorHAnsi" w:cstheme="minorBidi"/>
          <w:b w:val="0"/>
          <w:bCs w:val="0"/>
          <w:noProof/>
          <w:kern w:val="2"/>
          <w:sz w:val="22"/>
          <w:szCs w:val="22"/>
          <w14:ligatures w14:val="standardContextual"/>
        </w:rPr>
      </w:pPr>
      <w:hyperlink w:history="1" w:anchor="_Toc150852735">
        <w:r w:rsidRPr="00410559">
          <w:rPr>
            <w:rStyle w:val="Hyperlink"/>
            <w:noProof/>
          </w:rPr>
          <w:t>16.</w:t>
        </w:r>
        <w:r>
          <w:rPr>
            <w:rFonts w:asciiTheme="minorHAnsi" w:hAnsiTheme="minorHAnsi" w:cstheme="minorBidi"/>
            <w:b w:val="0"/>
            <w:bCs w:val="0"/>
            <w:noProof/>
            <w:kern w:val="2"/>
            <w:sz w:val="22"/>
            <w:szCs w:val="22"/>
            <w14:ligatures w14:val="standardContextual"/>
          </w:rPr>
          <w:tab/>
        </w:r>
        <w:r w:rsidRPr="00410559">
          <w:rPr>
            <w:rStyle w:val="Hyperlink"/>
            <w:noProof/>
          </w:rPr>
          <w:t>Eligible Entity regulatory approach (Requirement 18)</w:t>
        </w:r>
        <w:r>
          <w:rPr>
            <w:noProof/>
            <w:webHidden/>
          </w:rPr>
          <w:tab/>
        </w:r>
        <w:r>
          <w:rPr>
            <w:noProof/>
            <w:webHidden/>
          </w:rPr>
          <w:fldChar w:fldCharType="begin"/>
        </w:r>
        <w:r>
          <w:rPr>
            <w:noProof/>
            <w:webHidden/>
          </w:rPr>
          <w:instrText xml:space="preserve"> PAGEREF _Toc150852735 \h </w:instrText>
        </w:r>
        <w:r>
          <w:rPr>
            <w:noProof/>
            <w:webHidden/>
          </w:rPr>
        </w:r>
        <w:r>
          <w:rPr>
            <w:noProof/>
            <w:webHidden/>
          </w:rPr>
          <w:fldChar w:fldCharType="separate"/>
        </w:r>
        <w:r>
          <w:rPr>
            <w:noProof/>
            <w:webHidden/>
          </w:rPr>
          <w:t>154</w:t>
        </w:r>
        <w:r>
          <w:rPr>
            <w:noProof/>
            <w:webHidden/>
          </w:rPr>
          <w:fldChar w:fldCharType="end"/>
        </w:r>
      </w:hyperlink>
    </w:p>
    <w:p w:rsidR="009F37AF" w:rsidRDefault="009F37AF" w14:paraId="284BFB84" w14:textId="57F1A723">
      <w:pPr>
        <w:pStyle w:val="TOC2"/>
        <w:rPr>
          <w:rFonts w:asciiTheme="minorHAnsi" w:hAnsiTheme="minorHAnsi" w:cstheme="minorBidi"/>
          <w:i w:val="0"/>
          <w:iCs w:val="0"/>
          <w:noProof/>
          <w:kern w:val="2"/>
          <w:sz w:val="22"/>
          <w:szCs w:val="22"/>
          <w14:ligatures w14:val="standardContextual"/>
        </w:rPr>
      </w:pPr>
      <w:hyperlink w:history="1" w:anchor="_Toc150852736">
        <w:r w:rsidRPr="00410559">
          <w:rPr>
            <w:rStyle w:val="Hyperlink"/>
            <w:noProof/>
          </w:rPr>
          <w:t>16.1</w:t>
        </w:r>
        <w:r>
          <w:rPr>
            <w:rFonts w:asciiTheme="minorHAnsi" w:hAnsiTheme="minorHAnsi" w:cstheme="minorBidi"/>
            <w:i w:val="0"/>
            <w:iCs w:val="0"/>
            <w:noProof/>
            <w:kern w:val="2"/>
            <w:sz w:val="22"/>
            <w:szCs w:val="22"/>
            <w14:ligatures w14:val="standardContextual"/>
          </w:rPr>
          <w:tab/>
        </w:r>
        <w:r w:rsidRPr="00410559">
          <w:rPr>
            <w:rStyle w:val="Hyperlink"/>
            <w:noProof/>
          </w:rPr>
          <w:t>Alabama laws imposing requirements on certain public sector providers</w:t>
        </w:r>
        <w:r>
          <w:rPr>
            <w:noProof/>
            <w:webHidden/>
          </w:rPr>
          <w:tab/>
        </w:r>
        <w:r>
          <w:rPr>
            <w:noProof/>
            <w:webHidden/>
          </w:rPr>
          <w:fldChar w:fldCharType="begin"/>
        </w:r>
        <w:r>
          <w:rPr>
            <w:noProof/>
            <w:webHidden/>
          </w:rPr>
          <w:instrText xml:space="preserve"> PAGEREF _Toc150852736 \h </w:instrText>
        </w:r>
        <w:r>
          <w:rPr>
            <w:noProof/>
            <w:webHidden/>
          </w:rPr>
        </w:r>
        <w:r>
          <w:rPr>
            <w:noProof/>
            <w:webHidden/>
          </w:rPr>
          <w:fldChar w:fldCharType="separate"/>
        </w:r>
        <w:r>
          <w:rPr>
            <w:noProof/>
            <w:webHidden/>
          </w:rPr>
          <w:t>156</w:t>
        </w:r>
        <w:r>
          <w:rPr>
            <w:noProof/>
            <w:webHidden/>
          </w:rPr>
          <w:fldChar w:fldCharType="end"/>
        </w:r>
      </w:hyperlink>
    </w:p>
    <w:p w:rsidR="009F37AF" w:rsidRDefault="009F37AF" w14:paraId="05FCBD04" w14:textId="66DE1E28">
      <w:pPr>
        <w:pStyle w:val="TOC2"/>
        <w:rPr>
          <w:rFonts w:asciiTheme="minorHAnsi" w:hAnsiTheme="minorHAnsi" w:cstheme="minorBidi"/>
          <w:i w:val="0"/>
          <w:iCs w:val="0"/>
          <w:noProof/>
          <w:kern w:val="2"/>
          <w:sz w:val="22"/>
          <w:szCs w:val="22"/>
          <w14:ligatures w14:val="standardContextual"/>
        </w:rPr>
      </w:pPr>
      <w:hyperlink w:history="1" w:anchor="_Toc150852737">
        <w:r w:rsidRPr="00410559">
          <w:rPr>
            <w:rStyle w:val="Hyperlink"/>
            <w:noProof/>
          </w:rPr>
          <w:t>16.2</w:t>
        </w:r>
        <w:r>
          <w:rPr>
            <w:rFonts w:asciiTheme="minorHAnsi" w:hAnsiTheme="minorHAnsi" w:cstheme="minorBidi"/>
            <w:i w:val="0"/>
            <w:iCs w:val="0"/>
            <w:noProof/>
            <w:kern w:val="2"/>
            <w:sz w:val="22"/>
            <w:szCs w:val="22"/>
            <w14:ligatures w14:val="standardContextual"/>
          </w:rPr>
          <w:tab/>
        </w:r>
        <w:r w:rsidRPr="00410559">
          <w:rPr>
            <w:rStyle w:val="Hyperlink"/>
            <w:noProof/>
          </w:rPr>
          <w:t>Optional attachment</w:t>
        </w:r>
        <w:r>
          <w:rPr>
            <w:noProof/>
            <w:webHidden/>
          </w:rPr>
          <w:tab/>
        </w:r>
        <w:r>
          <w:rPr>
            <w:noProof/>
            <w:webHidden/>
          </w:rPr>
          <w:fldChar w:fldCharType="begin"/>
        </w:r>
        <w:r>
          <w:rPr>
            <w:noProof/>
            <w:webHidden/>
          </w:rPr>
          <w:instrText xml:space="preserve"> PAGEREF _Toc150852737 \h </w:instrText>
        </w:r>
        <w:r>
          <w:rPr>
            <w:noProof/>
            <w:webHidden/>
          </w:rPr>
        </w:r>
        <w:r>
          <w:rPr>
            <w:noProof/>
            <w:webHidden/>
          </w:rPr>
          <w:fldChar w:fldCharType="separate"/>
        </w:r>
        <w:r>
          <w:rPr>
            <w:noProof/>
            <w:webHidden/>
          </w:rPr>
          <w:t>156</w:t>
        </w:r>
        <w:r>
          <w:rPr>
            <w:noProof/>
            <w:webHidden/>
          </w:rPr>
          <w:fldChar w:fldCharType="end"/>
        </w:r>
      </w:hyperlink>
    </w:p>
    <w:p w:rsidR="009F37AF" w:rsidRDefault="009F37AF" w14:paraId="4BEBEF8F" w14:textId="37926F6A">
      <w:pPr>
        <w:pStyle w:val="TOC1"/>
        <w:rPr>
          <w:rFonts w:asciiTheme="minorHAnsi" w:hAnsiTheme="minorHAnsi" w:cstheme="minorBidi"/>
          <w:b w:val="0"/>
          <w:bCs w:val="0"/>
          <w:noProof/>
          <w:kern w:val="2"/>
          <w:sz w:val="22"/>
          <w:szCs w:val="22"/>
          <w14:ligatures w14:val="standardContextual"/>
        </w:rPr>
      </w:pPr>
      <w:hyperlink w:history="1" w:anchor="_Toc150852738">
        <w:r w:rsidRPr="00410559">
          <w:rPr>
            <w:rStyle w:val="Hyperlink"/>
            <w:noProof/>
          </w:rPr>
          <w:t>17.</w:t>
        </w:r>
        <w:r>
          <w:rPr>
            <w:rFonts w:asciiTheme="minorHAnsi" w:hAnsiTheme="minorHAnsi" w:cstheme="minorBidi"/>
            <w:b w:val="0"/>
            <w:bCs w:val="0"/>
            <w:noProof/>
            <w:kern w:val="2"/>
            <w:sz w:val="22"/>
            <w:szCs w:val="22"/>
            <w14:ligatures w14:val="standardContextual"/>
          </w:rPr>
          <w:tab/>
        </w:r>
        <w:r w:rsidRPr="00410559">
          <w:rPr>
            <w:rStyle w:val="Hyperlink"/>
            <w:noProof/>
          </w:rPr>
          <w:t>Certification of compliance with BEAD requirements (Requirement 19)</w:t>
        </w:r>
        <w:r>
          <w:rPr>
            <w:noProof/>
            <w:webHidden/>
          </w:rPr>
          <w:tab/>
        </w:r>
        <w:r>
          <w:rPr>
            <w:noProof/>
            <w:webHidden/>
          </w:rPr>
          <w:fldChar w:fldCharType="begin"/>
        </w:r>
        <w:r>
          <w:rPr>
            <w:noProof/>
            <w:webHidden/>
          </w:rPr>
          <w:instrText xml:space="preserve"> PAGEREF _Toc150852738 \h </w:instrText>
        </w:r>
        <w:r>
          <w:rPr>
            <w:noProof/>
            <w:webHidden/>
          </w:rPr>
        </w:r>
        <w:r>
          <w:rPr>
            <w:noProof/>
            <w:webHidden/>
          </w:rPr>
          <w:fldChar w:fldCharType="separate"/>
        </w:r>
        <w:r>
          <w:rPr>
            <w:noProof/>
            <w:webHidden/>
          </w:rPr>
          <w:t>157</w:t>
        </w:r>
        <w:r>
          <w:rPr>
            <w:noProof/>
            <w:webHidden/>
          </w:rPr>
          <w:fldChar w:fldCharType="end"/>
        </w:r>
      </w:hyperlink>
    </w:p>
    <w:p w:rsidR="009F37AF" w:rsidRDefault="009F37AF" w14:paraId="35522820" w14:textId="75CDEBD4">
      <w:pPr>
        <w:pStyle w:val="TOC2"/>
        <w:rPr>
          <w:rFonts w:asciiTheme="minorHAnsi" w:hAnsiTheme="minorHAnsi" w:cstheme="minorBidi"/>
          <w:i w:val="0"/>
          <w:iCs w:val="0"/>
          <w:noProof/>
          <w:kern w:val="2"/>
          <w:sz w:val="22"/>
          <w:szCs w:val="22"/>
          <w14:ligatures w14:val="standardContextual"/>
        </w:rPr>
      </w:pPr>
      <w:hyperlink w:history="1" w:anchor="_Toc150852739">
        <w:r w:rsidRPr="00410559">
          <w:rPr>
            <w:rStyle w:val="Hyperlink"/>
            <w:noProof/>
          </w:rPr>
          <w:t>17.1</w:t>
        </w:r>
        <w:r>
          <w:rPr>
            <w:rFonts w:asciiTheme="minorHAnsi" w:hAnsiTheme="minorHAnsi" w:cstheme="minorBidi"/>
            <w:i w:val="0"/>
            <w:iCs w:val="0"/>
            <w:noProof/>
            <w:kern w:val="2"/>
            <w:sz w:val="22"/>
            <w:szCs w:val="22"/>
            <w14:ligatures w14:val="standardContextual"/>
          </w:rPr>
          <w:tab/>
        </w:r>
        <w:r w:rsidRPr="00410559">
          <w:rPr>
            <w:rStyle w:val="Hyperlink"/>
            <w:noProof/>
          </w:rPr>
          <w:t>Certification of compliance</w:t>
        </w:r>
        <w:r>
          <w:rPr>
            <w:noProof/>
            <w:webHidden/>
          </w:rPr>
          <w:tab/>
        </w:r>
        <w:r>
          <w:rPr>
            <w:noProof/>
            <w:webHidden/>
          </w:rPr>
          <w:fldChar w:fldCharType="begin"/>
        </w:r>
        <w:r>
          <w:rPr>
            <w:noProof/>
            <w:webHidden/>
          </w:rPr>
          <w:instrText xml:space="preserve"> PAGEREF _Toc150852739 \h </w:instrText>
        </w:r>
        <w:r>
          <w:rPr>
            <w:noProof/>
            <w:webHidden/>
          </w:rPr>
        </w:r>
        <w:r>
          <w:rPr>
            <w:noProof/>
            <w:webHidden/>
          </w:rPr>
          <w:fldChar w:fldCharType="separate"/>
        </w:r>
        <w:r>
          <w:rPr>
            <w:noProof/>
            <w:webHidden/>
          </w:rPr>
          <w:t>157</w:t>
        </w:r>
        <w:r>
          <w:rPr>
            <w:noProof/>
            <w:webHidden/>
          </w:rPr>
          <w:fldChar w:fldCharType="end"/>
        </w:r>
      </w:hyperlink>
    </w:p>
    <w:p w:rsidR="009F37AF" w:rsidRDefault="009F37AF" w14:paraId="2BDA3209" w14:textId="7B3F2922">
      <w:pPr>
        <w:pStyle w:val="TOC2"/>
        <w:rPr>
          <w:rFonts w:asciiTheme="minorHAnsi" w:hAnsiTheme="minorHAnsi" w:cstheme="minorBidi"/>
          <w:i w:val="0"/>
          <w:iCs w:val="0"/>
          <w:noProof/>
          <w:kern w:val="2"/>
          <w:sz w:val="22"/>
          <w:szCs w:val="22"/>
          <w14:ligatures w14:val="standardContextual"/>
        </w:rPr>
      </w:pPr>
      <w:hyperlink w:history="1" w:anchor="_Toc150852740">
        <w:r w:rsidRPr="00410559">
          <w:rPr>
            <w:rStyle w:val="Hyperlink"/>
            <w:noProof/>
          </w:rPr>
          <w:t>17.2</w:t>
        </w:r>
        <w:r>
          <w:rPr>
            <w:rFonts w:asciiTheme="minorHAnsi" w:hAnsiTheme="minorHAnsi" w:cstheme="minorBidi"/>
            <w:i w:val="0"/>
            <w:iCs w:val="0"/>
            <w:noProof/>
            <w:kern w:val="2"/>
            <w:sz w:val="22"/>
            <w:szCs w:val="22"/>
            <w14:ligatures w14:val="standardContextual"/>
          </w:rPr>
          <w:tab/>
        </w:r>
        <w:r w:rsidRPr="00410559">
          <w:rPr>
            <w:rStyle w:val="Hyperlink"/>
            <w:noProof/>
          </w:rPr>
          <w:t>Subgrantee accountability procedures compliance</w:t>
        </w:r>
        <w:r>
          <w:rPr>
            <w:noProof/>
            <w:webHidden/>
          </w:rPr>
          <w:tab/>
        </w:r>
        <w:r>
          <w:rPr>
            <w:noProof/>
            <w:webHidden/>
          </w:rPr>
          <w:fldChar w:fldCharType="begin"/>
        </w:r>
        <w:r>
          <w:rPr>
            <w:noProof/>
            <w:webHidden/>
          </w:rPr>
          <w:instrText xml:space="preserve"> PAGEREF _Toc150852740 \h </w:instrText>
        </w:r>
        <w:r>
          <w:rPr>
            <w:noProof/>
            <w:webHidden/>
          </w:rPr>
        </w:r>
        <w:r>
          <w:rPr>
            <w:noProof/>
            <w:webHidden/>
          </w:rPr>
          <w:fldChar w:fldCharType="separate"/>
        </w:r>
        <w:r>
          <w:rPr>
            <w:noProof/>
            <w:webHidden/>
          </w:rPr>
          <w:t>157</w:t>
        </w:r>
        <w:r>
          <w:rPr>
            <w:noProof/>
            <w:webHidden/>
          </w:rPr>
          <w:fldChar w:fldCharType="end"/>
        </w:r>
      </w:hyperlink>
    </w:p>
    <w:p w:rsidR="009F37AF" w:rsidRDefault="009F37AF" w14:paraId="6CBE5803" w14:textId="55EC59A2">
      <w:pPr>
        <w:pStyle w:val="TOC3"/>
        <w:rPr>
          <w:rFonts w:asciiTheme="minorHAnsi" w:hAnsiTheme="minorHAnsi" w:cstheme="minorBidi"/>
          <w:noProof/>
          <w:kern w:val="2"/>
          <w:sz w:val="22"/>
          <w:szCs w:val="22"/>
          <w14:ligatures w14:val="standardContextual"/>
        </w:rPr>
      </w:pPr>
      <w:hyperlink w:history="1" w:anchor="_Toc150852741">
        <w:r w:rsidRPr="00410559">
          <w:rPr>
            <w:rStyle w:val="Hyperlink"/>
            <w:noProof/>
          </w:rPr>
          <w:t>17.2.1</w:t>
        </w:r>
        <w:r>
          <w:rPr>
            <w:rFonts w:asciiTheme="minorHAnsi" w:hAnsiTheme="minorHAnsi" w:cstheme="minorBidi"/>
            <w:noProof/>
            <w:kern w:val="2"/>
            <w:sz w:val="22"/>
            <w:szCs w:val="22"/>
            <w14:ligatures w14:val="standardContextual"/>
          </w:rPr>
          <w:tab/>
        </w:r>
        <w:r w:rsidRPr="00410559">
          <w:rPr>
            <w:rStyle w:val="Hyperlink"/>
            <w:noProof/>
          </w:rPr>
          <w:t>Overview</w:t>
        </w:r>
        <w:r>
          <w:rPr>
            <w:noProof/>
            <w:webHidden/>
          </w:rPr>
          <w:tab/>
        </w:r>
        <w:r>
          <w:rPr>
            <w:noProof/>
            <w:webHidden/>
          </w:rPr>
          <w:fldChar w:fldCharType="begin"/>
        </w:r>
        <w:r>
          <w:rPr>
            <w:noProof/>
            <w:webHidden/>
          </w:rPr>
          <w:instrText xml:space="preserve"> PAGEREF _Toc150852741 \h </w:instrText>
        </w:r>
        <w:r>
          <w:rPr>
            <w:noProof/>
            <w:webHidden/>
          </w:rPr>
        </w:r>
        <w:r>
          <w:rPr>
            <w:noProof/>
            <w:webHidden/>
          </w:rPr>
          <w:fldChar w:fldCharType="separate"/>
        </w:r>
        <w:r>
          <w:rPr>
            <w:noProof/>
            <w:webHidden/>
          </w:rPr>
          <w:t>157</w:t>
        </w:r>
        <w:r>
          <w:rPr>
            <w:noProof/>
            <w:webHidden/>
          </w:rPr>
          <w:fldChar w:fldCharType="end"/>
        </w:r>
      </w:hyperlink>
    </w:p>
    <w:p w:rsidR="009F37AF" w:rsidRDefault="009F37AF" w14:paraId="5D4355A3" w14:textId="04B828D9">
      <w:pPr>
        <w:pStyle w:val="TOC3"/>
        <w:rPr>
          <w:rFonts w:asciiTheme="minorHAnsi" w:hAnsiTheme="minorHAnsi" w:cstheme="minorBidi"/>
          <w:noProof/>
          <w:kern w:val="2"/>
          <w:sz w:val="22"/>
          <w:szCs w:val="22"/>
          <w14:ligatures w14:val="standardContextual"/>
        </w:rPr>
      </w:pPr>
      <w:hyperlink w:history="1" w:anchor="_Toc150852742">
        <w:r w:rsidRPr="00410559">
          <w:rPr>
            <w:rStyle w:val="Hyperlink"/>
            <w:noProof/>
          </w:rPr>
          <w:t>17.2.2</w:t>
        </w:r>
        <w:r>
          <w:rPr>
            <w:rFonts w:asciiTheme="minorHAnsi" w:hAnsiTheme="minorHAnsi" w:cstheme="minorBidi"/>
            <w:noProof/>
            <w:kern w:val="2"/>
            <w:sz w:val="22"/>
            <w:szCs w:val="22"/>
            <w14:ligatures w14:val="standardContextual"/>
          </w:rPr>
          <w:tab/>
        </w:r>
        <w:r w:rsidRPr="00410559">
          <w:rPr>
            <w:rStyle w:val="Hyperlink"/>
            <w:noProof/>
          </w:rPr>
          <w:t>Risk-based monitoring</w:t>
        </w:r>
        <w:r>
          <w:rPr>
            <w:noProof/>
            <w:webHidden/>
          </w:rPr>
          <w:tab/>
        </w:r>
        <w:r>
          <w:rPr>
            <w:noProof/>
            <w:webHidden/>
          </w:rPr>
          <w:fldChar w:fldCharType="begin"/>
        </w:r>
        <w:r>
          <w:rPr>
            <w:noProof/>
            <w:webHidden/>
          </w:rPr>
          <w:instrText xml:space="preserve"> PAGEREF _Toc150852742 \h </w:instrText>
        </w:r>
        <w:r>
          <w:rPr>
            <w:noProof/>
            <w:webHidden/>
          </w:rPr>
        </w:r>
        <w:r>
          <w:rPr>
            <w:noProof/>
            <w:webHidden/>
          </w:rPr>
          <w:fldChar w:fldCharType="separate"/>
        </w:r>
        <w:r>
          <w:rPr>
            <w:noProof/>
            <w:webHidden/>
          </w:rPr>
          <w:t>157</w:t>
        </w:r>
        <w:r>
          <w:rPr>
            <w:noProof/>
            <w:webHidden/>
          </w:rPr>
          <w:fldChar w:fldCharType="end"/>
        </w:r>
      </w:hyperlink>
    </w:p>
    <w:p w:rsidR="009F37AF" w:rsidRDefault="009F37AF" w14:paraId="7B393371" w14:textId="7BDF2BDA">
      <w:pPr>
        <w:pStyle w:val="TOC3"/>
        <w:rPr>
          <w:rFonts w:asciiTheme="minorHAnsi" w:hAnsiTheme="minorHAnsi" w:cstheme="minorBidi"/>
          <w:noProof/>
          <w:kern w:val="2"/>
          <w:sz w:val="22"/>
          <w:szCs w:val="22"/>
          <w14:ligatures w14:val="standardContextual"/>
        </w:rPr>
      </w:pPr>
      <w:hyperlink w:history="1" w:anchor="_Toc150852743">
        <w:r w:rsidRPr="00410559">
          <w:rPr>
            <w:rStyle w:val="Hyperlink"/>
            <w:noProof/>
          </w:rPr>
          <w:t>17.2.3</w:t>
        </w:r>
        <w:r>
          <w:rPr>
            <w:rFonts w:asciiTheme="minorHAnsi" w:hAnsiTheme="minorHAnsi" w:cstheme="minorBidi"/>
            <w:noProof/>
            <w:kern w:val="2"/>
            <w:sz w:val="22"/>
            <w:szCs w:val="22"/>
            <w14:ligatures w14:val="standardContextual"/>
          </w:rPr>
          <w:tab/>
        </w:r>
        <w:r w:rsidRPr="00410559">
          <w:rPr>
            <w:rStyle w:val="Hyperlink"/>
            <w:noProof/>
          </w:rPr>
          <w:t>Fraud, waste, and abuse</w:t>
        </w:r>
        <w:r>
          <w:rPr>
            <w:noProof/>
            <w:webHidden/>
          </w:rPr>
          <w:tab/>
        </w:r>
        <w:r>
          <w:rPr>
            <w:noProof/>
            <w:webHidden/>
          </w:rPr>
          <w:fldChar w:fldCharType="begin"/>
        </w:r>
        <w:r>
          <w:rPr>
            <w:noProof/>
            <w:webHidden/>
          </w:rPr>
          <w:instrText xml:space="preserve"> PAGEREF _Toc150852743 \h </w:instrText>
        </w:r>
        <w:r>
          <w:rPr>
            <w:noProof/>
            <w:webHidden/>
          </w:rPr>
        </w:r>
        <w:r>
          <w:rPr>
            <w:noProof/>
            <w:webHidden/>
          </w:rPr>
          <w:fldChar w:fldCharType="separate"/>
        </w:r>
        <w:r>
          <w:rPr>
            <w:noProof/>
            <w:webHidden/>
          </w:rPr>
          <w:t>158</w:t>
        </w:r>
        <w:r>
          <w:rPr>
            <w:noProof/>
            <w:webHidden/>
          </w:rPr>
          <w:fldChar w:fldCharType="end"/>
        </w:r>
      </w:hyperlink>
    </w:p>
    <w:p w:rsidR="009F37AF" w:rsidRDefault="009F37AF" w14:paraId="5C775F19" w14:textId="658B8D8C">
      <w:pPr>
        <w:pStyle w:val="TOC3"/>
        <w:rPr>
          <w:rFonts w:asciiTheme="minorHAnsi" w:hAnsiTheme="minorHAnsi" w:cstheme="minorBidi"/>
          <w:noProof/>
          <w:kern w:val="2"/>
          <w:sz w:val="22"/>
          <w:szCs w:val="22"/>
          <w14:ligatures w14:val="standardContextual"/>
        </w:rPr>
      </w:pPr>
      <w:hyperlink w:history="1" w:anchor="_Toc150852744">
        <w:r w:rsidRPr="00410559">
          <w:rPr>
            <w:rStyle w:val="Hyperlink"/>
            <w:noProof/>
          </w:rPr>
          <w:t>17.2.4</w:t>
        </w:r>
        <w:r>
          <w:rPr>
            <w:rFonts w:asciiTheme="minorHAnsi" w:hAnsiTheme="minorHAnsi" w:cstheme="minorBidi"/>
            <w:noProof/>
            <w:kern w:val="2"/>
            <w:sz w:val="22"/>
            <w:szCs w:val="22"/>
            <w14:ligatures w14:val="standardContextual"/>
          </w:rPr>
          <w:tab/>
        </w:r>
        <w:r w:rsidRPr="00410559">
          <w:rPr>
            <w:rStyle w:val="Hyperlink"/>
            <w:noProof/>
          </w:rPr>
          <w:t>Distribution of funds on a reimbursement basis</w:t>
        </w:r>
        <w:r>
          <w:rPr>
            <w:noProof/>
            <w:webHidden/>
          </w:rPr>
          <w:tab/>
        </w:r>
        <w:r>
          <w:rPr>
            <w:noProof/>
            <w:webHidden/>
          </w:rPr>
          <w:fldChar w:fldCharType="begin"/>
        </w:r>
        <w:r>
          <w:rPr>
            <w:noProof/>
            <w:webHidden/>
          </w:rPr>
          <w:instrText xml:space="preserve"> PAGEREF _Toc150852744 \h </w:instrText>
        </w:r>
        <w:r>
          <w:rPr>
            <w:noProof/>
            <w:webHidden/>
          </w:rPr>
        </w:r>
        <w:r>
          <w:rPr>
            <w:noProof/>
            <w:webHidden/>
          </w:rPr>
          <w:fldChar w:fldCharType="separate"/>
        </w:r>
        <w:r>
          <w:rPr>
            <w:noProof/>
            <w:webHidden/>
          </w:rPr>
          <w:t>158</w:t>
        </w:r>
        <w:r>
          <w:rPr>
            <w:noProof/>
            <w:webHidden/>
          </w:rPr>
          <w:fldChar w:fldCharType="end"/>
        </w:r>
      </w:hyperlink>
    </w:p>
    <w:p w:rsidR="009F37AF" w:rsidRDefault="009F37AF" w14:paraId="6A883565" w14:textId="3B2E6BFF">
      <w:pPr>
        <w:pStyle w:val="TOC3"/>
        <w:rPr>
          <w:rFonts w:asciiTheme="minorHAnsi" w:hAnsiTheme="minorHAnsi" w:cstheme="minorBidi"/>
          <w:noProof/>
          <w:kern w:val="2"/>
          <w:sz w:val="22"/>
          <w:szCs w:val="22"/>
          <w14:ligatures w14:val="standardContextual"/>
        </w:rPr>
      </w:pPr>
      <w:hyperlink w:history="1" w:anchor="_Toc150852745">
        <w:r w:rsidRPr="00410559">
          <w:rPr>
            <w:rStyle w:val="Hyperlink"/>
            <w:noProof/>
          </w:rPr>
          <w:t>17.2.5</w:t>
        </w:r>
        <w:r>
          <w:rPr>
            <w:rFonts w:asciiTheme="minorHAnsi" w:hAnsiTheme="minorHAnsi" w:cstheme="minorBidi"/>
            <w:noProof/>
            <w:kern w:val="2"/>
            <w:sz w:val="22"/>
            <w:szCs w:val="22"/>
            <w14:ligatures w14:val="standardContextual"/>
          </w:rPr>
          <w:tab/>
        </w:r>
        <w:r w:rsidRPr="00410559">
          <w:rPr>
            <w:rStyle w:val="Hyperlink"/>
            <w:noProof/>
          </w:rPr>
          <w:t>Clawback provisions</w:t>
        </w:r>
        <w:r>
          <w:rPr>
            <w:noProof/>
            <w:webHidden/>
          </w:rPr>
          <w:tab/>
        </w:r>
        <w:r>
          <w:rPr>
            <w:noProof/>
            <w:webHidden/>
          </w:rPr>
          <w:fldChar w:fldCharType="begin"/>
        </w:r>
        <w:r>
          <w:rPr>
            <w:noProof/>
            <w:webHidden/>
          </w:rPr>
          <w:instrText xml:space="preserve"> PAGEREF _Toc150852745 \h </w:instrText>
        </w:r>
        <w:r>
          <w:rPr>
            <w:noProof/>
            <w:webHidden/>
          </w:rPr>
        </w:r>
        <w:r>
          <w:rPr>
            <w:noProof/>
            <w:webHidden/>
          </w:rPr>
          <w:fldChar w:fldCharType="separate"/>
        </w:r>
        <w:r>
          <w:rPr>
            <w:noProof/>
            <w:webHidden/>
          </w:rPr>
          <w:t>159</w:t>
        </w:r>
        <w:r>
          <w:rPr>
            <w:noProof/>
            <w:webHidden/>
          </w:rPr>
          <w:fldChar w:fldCharType="end"/>
        </w:r>
      </w:hyperlink>
    </w:p>
    <w:p w:rsidR="009F37AF" w:rsidRDefault="009F37AF" w14:paraId="06755270" w14:textId="2990A353">
      <w:pPr>
        <w:pStyle w:val="TOC3"/>
        <w:rPr>
          <w:rFonts w:asciiTheme="minorHAnsi" w:hAnsiTheme="minorHAnsi" w:cstheme="minorBidi"/>
          <w:noProof/>
          <w:kern w:val="2"/>
          <w:sz w:val="22"/>
          <w:szCs w:val="22"/>
          <w14:ligatures w14:val="standardContextual"/>
        </w:rPr>
      </w:pPr>
      <w:hyperlink w:history="1" w:anchor="_Toc150852746">
        <w:r w:rsidRPr="00410559">
          <w:rPr>
            <w:rStyle w:val="Hyperlink"/>
            <w:noProof/>
          </w:rPr>
          <w:t>17.2.6</w:t>
        </w:r>
        <w:r>
          <w:rPr>
            <w:rFonts w:asciiTheme="minorHAnsi" w:hAnsiTheme="minorHAnsi" w:cstheme="minorBidi"/>
            <w:noProof/>
            <w:kern w:val="2"/>
            <w:sz w:val="22"/>
            <w:szCs w:val="22"/>
            <w14:ligatures w14:val="standardContextual"/>
          </w:rPr>
          <w:tab/>
        </w:r>
        <w:r w:rsidRPr="00410559">
          <w:rPr>
            <w:rStyle w:val="Hyperlink"/>
            <w:noProof/>
          </w:rPr>
          <w:t>Timely reporting requirements</w:t>
        </w:r>
        <w:r>
          <w:rPr>
            <w:noProof/>
            <w:webHidden/>
          </w:rPr>
          <w:tab/>
        </w:r>
        <w:r>
          <w:rPr>
            <w:noProof/>
            <w:webHidden/>
          </w:rPr>
          <w:fldChar w:fldCharType="begin"/>
        </w:r>
        <w:r>
          <w:rPr>
            <w:noProof/>
            <w:webHidden/>
          </w:rPr>
          <w:instrText xml:space="preserve"> PAGEREF _Toc150852746 \h </w:instrText>
        </w:r>
        <w:r>
          <w:rPr>
            <w:noProof/>
            <w:webHidden/>
          </w:rPr>
        </w:r>
        <w:r>
          <w:rPr>
            <w:noProof/>
            <w:webHidden/>
          </w:rPr>
          <w:fldChar w:fldCharType="separate"/>
        </w:r>
        <w:r>
          <w:rPr>
            <w:noProof/>
            <w:webHidden/>
          </w:rPr>
          <w:t>159</w:t>
        </w:r>
        <w:r>
          <w:rPr>
            <w:noProof/>
            <w:webHidden/>
          </w:rPr>
          <w:fldChar w:fldCharType="end"/>
        </w:r>
      </w:hyperlink>
    </w:p>
    <w:p w:rsidR="009F37AF" w:rsidRDefault="009F37AF" w14:paraId="5DE857FF" w14:textId="354B6986">
      <w:pPr>
        <w:pStyle w:val="TOC3"/>
        <w:rPr>
          <w:rFonts w:asciiTheme="minorHAnsi" w:hAnsiTheme="minorHAnsi" w:cstheme="minorBidi"/>
          <w:noProof/>
          <w:kern w:val="2"/>
          <w:sz w:val="22"/>
          <w:szCs w:val="22"/>
          <w14:ligatures w14:val="standardContextual"/>
        </w:rPr>
      </w:pPr>
      <w:hyperlink w:history="1" w:anchor="_Toc150852747">
        <w:r w:rsidRPr="00410559">
          <w:rPr>
            <w:rStyle w:val="Hyperlink"/>
            <w:noProof/>
          </w:rPr>
          <w:t>17.2.7</w:t>
        </w:r>
        <w:r>
          <w:rPr>
            <w:rFonts w:asciiTheme="minorHAnsi" w:hAnsiTheme="minorHAnsi" w:cstheme="minorBidi"/>
            <w:noProof/>
            <w:kern w:val="2"/>
            <w:sz w:val="22"/>
            <w:szCs w:val="22"/>
            <w14:ligatures w14:val="standardContextual"/>
          </w:rPr>
          <w:tab/>
        </w:r>
        <w:r w:rsidRPr="00410559">
          <w:rPr>
            <w:rStyle w:val="Hyperlink"/>
            <w:noProof/>
          </w:rPr>
          <w:t>Robust subgrantee monitoring</w:t>
        </w:r>
        <w:r>
          <w:rPr>
            <w:noProof/>
            <w:webHidden/>
          </w:rPr>
          <w:tab/>
        </w:r>
        <w:r>
          <w:rPr>
            <w:noProof/>
            <w:webHidden/>
          </w:rPr>
          <w:fldChar w:fldCharType="begin"/>
        </w:r>
        <w:r>
          <w:rPr>
            <w:noProof/>
            <w:webHidden/>
          </w:rPr>
          <w:instrText xml:space="preserve"> PAGEREF _Toc150852747 \h </w:instrText>
        </w:r>
        <w:r>
          <w:rPr>
            <w:noProof/>
            <w:webHidden/>
          </w:rPr>
        </w:r>
        <w:r>
          <w:rPr>
            <w:noProof/>
            <w:webHidden/>
          </w:rPr>
          <w:fldChar w:fldCharType="separate"/>
        </w:r>
        <w:r>
          <w:rPr>
            <w:noProof/>
            <w:webHidden/>
          </w:rPr>
          <w:t>159</w:t>
        </w:r>
        <w:r>
          <w:rPr>
            <w:noProof/>
            <w:webHidden/>
          </w:rPr>
          <w:fldChar w:fldCharType="end"/>
        </w:r>
      </w:hyperlink>
    </w:p>
    <w:p w:rsidR="009F37AF" w:rsidRDefault="009F37AF" w14:paraId="3584AC27" w14:textId="72B7606C">
      <w:pPr>
        <w:pStyle w:val="TOC2"/>
        <w:rPr>
          <w:rFonts w:asciiTheme="minorHAnsi" w:hAnsiTheme="minorHAnsi" w:cstheme="minorBidi"/>
          <w:i w:val="0"/>
          <w:iCs w:val="0"/>
          <w:noProof/>
          <w:kern w:val="2"/>
          <w:sz w:val="22"/>
          <w:szCs w:val="22"/>
          <w14:ligatures w14:val="standardContextual"/>
        </w:rPr>
      </w:pPr>
      <w:hyperlink w:history="1" w:anchor="_Toc150852748">
        <w:r w:rsidRPr="00410559">
          <w:rPr>
            <w:rStyle w:val="Hyperlink"/>
            <w:noProof/>
          </w:rPr>
          <w:t>17.3</w:t>
        </w:r>
        <w:r>
          <w:rPr>
            <w:rFonts w:asciiTheme="minorHAnsi" w:hAnsiTheme="minorHAnsi" w:cstheme="minorBidi"/>
            <w:i w:val="0"/>
            <w:iCs w:val="0"/>
            <w:noProof/>
            <w:kern w:val="2"/>
            <w:sz w:val="22"/>
            <w:szCs w:val="22"/>
            <w14:ligatures w14:val="standardContextual"/>
          </w:rPr>
          <w:tab/>
        </w:r>
        <w:r w:rsidRPr="00410559">
          <w:rPr>
            <w:rStyle w:val="Hyperlink"/>
            <w:noProof/>
          </w:rPr>
          <w:t>Certification of nondiscrimination and civil rights compliance</w:t>
        </w:r>
        <w:r>
          <w:rPr>
            <w:noProof/>
            <w:webHidden/>
          </w:rPr>
          <w:tab/>
        </w:r>
        <w:r>
          <w:rPr>
            <w:noProof/>
            <w:webHidden/>
          </w:rPr>
          <w:fldChar w:fldCharType="begin"/>
        </w:r>
        <w:r>
          <w:rPr>
            <w:noProof/>
            <w:webHidden/>
          </w:rPr>
          <w:instrText xml:space="preserve"> PAGEREF _Toc150852748 \h </w:instrText>
        </w:r>
        <w:r>
          <w:rPr>
            <w:noProof/>
            <w:webHidden/>
          </w:rPr>
        </w:r>
        <w:r>
          <w:rPr>
            <w:noProof/>
            <w:webHidden/>
          </w:rPr>
          <w:fldChar w:fldCharType="separate"/>
        </w:r>
        <w:r>
          <w:rPr>
            <w:noProof/>
            <w:webHidden/>
          </w:rPr>
          <w:t>160</w:t>
        </w:r>
        <w:r>
          <w:rPr>
            <w:noProof/>
            <w:webHidden/>
          </w:rPr>
          <w:fldChar w:fldCharType="end"/>
        </w:r>
      </w:hyperlink>
    </w:p>
    <w:p w:rsidR="009F37AF" w:rsidRDefault="009F37AF" w14:paraId="3DCD17D4" w14:textId="5747CA75">
      <w:pPr>
        <w:pStyle w:val="TOC2"/>
        <w:rPr>
          <w:rFonts w:asciiTheme="minorHAnsi" w:hAnsiTheme="minorHAnsi" w:cstheme="minorBidi"/>
          <w:i w:val="0"/>
          <w:iCs w:val="0"/>
          <w:noProof/>
          <w:kern w:val="2"/>
          <w:sz w:val="22"/>
          <w:szCs w:val="22"/>
          <w14:ligatures w14:val="standardContextual"/>
        </w:rPr>
      </w:pPr>
      <w:hyperlink w:history="1" w:anchor="_Toc150852749">
        <w:r w:rsidRPr="00410559">
          <w:rPr>
            <w:rStyle w:val="Hyperlink"/>
            <w:noProof/>
          </w:rPr>
          <w:t>17.4</w:t>
        </w:r>
        <w:r>
          <w:rPr>
            <w:rFonts w:asciiTheme="minorHAnsi" w:hAnsiTheme="minorHAnsi" w:cstheme="minorBidi"/>
            <w:i w:val="0"/>
            <w:iCs w:val="0"/>
            <w:noProof/>
            <w:kern w:val="2"/>
            <w:sz w:val="22"/>
            <w:szCs w:val="22"/>
            <w14:ligatures w14:val="standardContextual"/>
          </w:rPr>
          <w:tab/>
        </w:r>
        <w:r w:rsidRPr="00410559">
          <w:rPr>
            <w:rStyle w:val="Hyperlink"/>
            <w:noProof/>
          </w:rPr>
          <w:t>Certification of cybersecurity and supply chain risk management compliance</w:t>
        </w:r>
        <w:r>
          <w:rPr>
            <w:noProof/>
            <w:webHidden/>
          </w:rPr>
          <w:tab/>
        </w:r>
        <w:r>
          <w:rPr>
            <w:noProof/>
            <w:webHidden/>
          </w:rPr>
          <w:fldChar w:fldCharType="begin"/>
        </w:r>
        <w:r>
          <w:rPr>
            <w:noProof/>
            <w:webHidden/>
          </w:rPr>
          <w:instrText xml:space="preserve"> PAGEREF _Toc150852749 \h </w:instrText>
        </w:r>
        <w:r>
          <w:rPr>
            <w:noProof/>
            <w:webHidden/>
          </w:rPr>
        </w:r>
        <w:r>
          <w:rPr>
            <w:noProof/>
            <w:webHidden/>
          </w:rPr>
          <w:fldChar w:fldCharType="separate"/>
        </w:r>
        <w:r>
          <w:rPr>
            <w:noProof/>
            <w:webHidden/>
          </w:rPr>
          <w:t>161</w:t>
        </w:r>
        <w:r>
          <w:rPr>
            <w:noProof/>
            <w:webHidden/>
          </w:rPr>
          <w:fldChar w:fldCharType="end"/>
        </w:r>
      </w:hyperlink>
    </w:p>
    <w:p w:rsidR="009F37AF" w:rsidRDefault="009F37AF" w14:paraId="0017FAAF" w14:textId="239BC1BB">
      <w:pPr>
        <w:pStyle w:val="TOC1"/>
        <w:rPr>
          <w:rFonts w:asciiTheme="minorHAnsi" w:hAnsiTheme="minorHAnsi" w:cstheme="minorBidi"/>
          <w:b w:val="0"/>
          <w:bCs w:val="0"/>
          <w:noProof/>
          <w:kern w:val="2"/>
          <w:sz w:val="22"/>
          <w:szCs w:val="22"/>
          <w14:ligatures w14:val="standardContextual"/>
        </w:rPr>
      </w:pPr>
      <w:hyperlink w:history="1" w:anchor="_Toc150852750">
        <w:r w:rsidRPr="00410559">
          <w:rPr>
            <w:rStyle w:val="Hyperlink"/>
            <w:noProof/>
          </w:rPr>
          <w:t>Appendix A: Local coordination tracker tool</w:t>
        </w:r>
        <w:r>
          <w:rPr>
            <w:noProof/>
            <w:webHidden/>
          </w:rPr>
          <w:tab/>
        </w:r>
        <w:r>
          <w:rPr>
            <w:noProof/>
            <w:webHidden/>
          </w:rPr>
          <w:fldChar w:fldCharType="begin"/>
        </w:r>
        <w:r>
          <w:rPr>
            <w:noProof/>
            <w:webHidden/>
          </w:rPr>
          <w:instrText xml:space="preserve"> PAGEREF _Toc150852750 \h </w:instrText>
        </w:r>
        <w:r>
          <w:rPr>
            <w:noProof/>
            <w:webHidden/>
          </w:rPr>
        </w:r>
        <w:r>
          <w:rPr>
            <w:noProof/>
            <w:webHidden/>
          </w:rPr>
          <w:fldChar w:fldCharType="separate"/>
        </w:r>
        <w:r>
          <w:rPr>
            <w:noProof/>
            <w:webHidden/>
          </w:rPr>
          <w:t>163</w:t>
        </w:r>
        <w:r>
          <w:rPr>
            <w:noProof/>
            <w:webHidden/>
          </w:rPr>
          <w:fldChar w:fldCharType="end"/>
        </w:r>
      </w:hyperlink>
    </w:p>
    <w:p w:rsidR="009F37AF" w:rsidRDefault="009F37AF" w14:paraId="32F8B6CF" w14:textId="3A8BCF78">
      <w:pPr>
        <w:pStyle w:val="TOC1"/>
        <w:rPr>
          <w:rFonts w:asciiTheme="minorHAnsi" w:hAnsiTheme="minorHAnsi" w:cstheme="minorBidi"/>
          <w:b w:val="0"/>
          <w:bCs w:val="0"/>
          <w:noProof/>
          <w:kern w:val="2"/>
          <w:sz w:val="22"/>
          <w:szCs w:val="22"/>
          <w14:ligatures w14:val="standardContextual"/>
        </w:rPr>
      </w:pPr>
      <w:hyperlink w:history="1" w:anchor="_Toc150852751">
        <w:r w:rsidRPr="00410559">
          <w:rPr>
            <w:rStyle w:val="Hyperlink"/>
            <w:noProof/>
          </w:rPr>
          <w:t>Appendix B: Federally-recognized Tribe correspondence</w:t>
        </w:r>
        <w:r>
          <w:rPr>
            <w:noProof/>
            <w:webHidden/>
          </w:rPr>
          <w:tab/>
        </w:r>
        <w:r>
          <w:rPr>
            <w:noProof/>
            <w:webHidden/>
          </w:rPr>
          <w:fldChar w:fldCharType="begin"/>
        </w:r>
        <w:r>
          <w:rPr>
            <w:noProof/>
            <w:webHidden/>
          </w:rPr>
          <w:instrText xml:space="preserve"> PAGEREF _Toc150852751 \h </w:instrText>
        </w:r>
        <w:r>
          <w:rPr>
            <w:noProof/>
            <w:webHidden/>
          </w:rPr>
        </w:r>
        <w:r>
          <w:rPr>
            <w:noProof/>
            <w:webHidden/>
          </w:rPr>
          <w:fldChar w:fldCharType="separate"/>
        </w:r>
        <w:r>
          <w:rPr>
            <w:noProof/>
            <w:webHidden/>
          </w:rPr>
          <w:t>164</w:t>
        </w:r>
        <w:r>
          <w:rPr>
            <w:noProof/>
            <w:webHidden/>
          </w:rPr>
          <w:fldChar w:fldCharType="end"/>
        </w:r>
      </w:hyperlink>
    </w:p>
    <w:p w:rsidR="009F37AF" w:rsidRDefault="009F37AF" w14:paraId="0A89F5A0" w14:textId="0FC77777">
      <w:pPr>
        <w:pStyle w:val="TOC1"/>
        <w:rPr>
          <w:rFonts w:asciiTheme="minorHAnsi" w:hAnsiTheme="minorHAnsi" w:cstheme="minorBidi"/>
          <w:b w:val="0"/>
          <w:bCs w:val="0"/>
          <w:noProof/>
          <w:kern w:val="2"/>
          <w:sz w:val="22"/>
          <w:szCs w:val="22"/>
          <w14:ligatures w14:val="standardContextual"/>
        </w:rPr>
      </w:pPr>
      <w:hyperlink w:history="1" w:anchor="_Toc150852752">
        <w:r w:rsidRPr="00410559">
          <w:rPr>
            <w:rStyle w:val="Hyperlink"/>
            <w:noProof/>
          </w:rPr>
          <w:t>Appendix C: Contributors on workforce considerations</w:t>
        </w:r>
        <w:r>
          <w:rPr>
            <w:noProof/>
            <w:webHidden/>
          </w:rPr>
          <w:tab/>
        </w:r>
        <w:r>
          <w:rPr>
            <w:noProof/>
            <w:webHidden/>
          </w:rPr>
          <w:fldChar w:fldCharType="begin"/>
        </w:r>
        <w:r>
          <w:rPr>
            <w:noProof/>
            <w:webHidden/>
          </w:rPr>
          <w:instrText xml:space="preserve"> PAGEREF _Toc150852752 \h </w:instrText>
        </w:r>
        <w:r>
          <w:rPr>
            <w:noProof/>
            <w:webHidden/>
          </w:rPr>
        </w:r>
        <w:r>
          <w:rPr>
            <w:noProof/>
            <w:webHidden/>
          </w:rPr>
          <w:fldChar w:fldCharType="separate"/>
        </w:r>
        <w:r>
          <w:rPr>
            <w:noProof/>
            <w:webHidden/>
          </w:rPr>
          <w:t>165</w:t>
        </w:r>
        <w:r>
          <w:rPr>
            <w:noProof/>
            <w:webHidden/>
          </w:rPr>
          <w:fldChar w:fldCharType="end"/>
        </w:r>
      </w:hyperlink>
    </w:p>
    <w:p w:rsidR="009F37AF" w:rsidRDefault="009F37AF" w14:paraId="69A0B4BE" w14:textId="17553C38">
      <w:pPr>
        <w:pStyle w:val="TOC1"/>
        <w:rPr>
          <w:rFonts w:asciiTheme="minorHAnsi" w:hAnsiTheme="minorHAnsi" w:cstheme="minorBidi"/>
          <w:b w:val="0"/>
          <w:bCs w:val="0"/>
          <w:noProof/>
          <w:kern w:val="2"/>
          <w:sz w:val="22"/>
          <w:szCs w:val="22"/>
          <w14:ligatures w14:val="standardContextual"/>
        </w:rPr>
      </w:pPr>
      <w:hyperlink w:history="1" w:anchor="_Toc150852753">
        <w:r w:rsidRPr="00410559">
          <w:rPr>
            <w:rStyle w:val="Hyperlink"/>
            <w:noProof/>
          </w:rPr>
          <w:t>Appendix D: Summary of subgrantee selection process</w:t>
        </w:r>
        <w:r>
          <w:rPr>
            <w:noProof/>
            <w:webHidden/>
          </w:rPr>
          <w:tab/>
        </w:r>
        <w:r>
          <w:rPr>
            <w:noProof/>
            <w:webHidden/>
          </w:rPr>
          <w:fldChar w:fldCharType="begin"/>
        </w:r>
        <w:r>
          <w:rPr>
            <w:noProof/>
            <w:webHidden/>
          </w:rPr>
          <w:instrText xml:space="preserve"> PAGEREF _Toc150852753 \h </w:instrText>
        </w:r>
        <w:r>
          <w:rPr>
            <w:noProof/>
            <w:webHidden/>
          </w:rPr>
        </w:r>
        <w:r>
          <w:rPr>
            <w:noProof/>
            <w:webHidden/>
          </w:rPr>
          <w:fldChar w:fldCharType="separate"/>
        </w:r>
        <w:r>
          <w:rPr>
            <w:noProof/>
            <w:webHidden/>
          </w:rPr>
          <w:t>167</w:t>
        </w:r>
        <w:r>
          <w:rPr>
            <w:noProof/>
            <w:webHidden/>
          </w:rPr>
          <w:fldChar w:fldCharType="end"/>
        </w:r>
      </w:hyperlink>
    </w:p>
    <w:p w:rsidR="009F37AF" w:rsidRDefault="009F37AF" w14:paraId="5542D103" w14:textId="7366DD22">
      <w:pPr>
        <w:pStyle w:val="TOC1"/>
        <w:rPr>
          <w:rFonts w:asciiTheme="minorHAnsi" w:hAnsiTheme="minorHAnsi" w:cstheme="minorBidi"/>
          <w:b w:val="0"/>
          <w:bCs w:val="0"/>
          <w:noProof/>
          <w:kern w:val="2"/>
          <w:sz w:val="22"/>
          <w:szCs w:val="22"/>
          <w14:ligatures w14:val="standardContextual"/>
        </w:rPr>
      </w:pPr>
      <w:hyperlink w:history="1" w:anchor="_Toc150852754">
        <w:r w:rsidRPr="00410559">
          <w:rPr>
            <w:rStyle w:val="Hyperlink"/>
            <w:noProof/>
          </w:rPr>
          <w:t>Appendix E: Proposed scoring rubric for subgrantee selection process</w:t>
        </w:r>
        <w:r>
          <w:rPr>
            <w:noProof/>
            <w:webHidden/>
          </w:rPr>
          <w:tab/>
        </w:r>
        <w:r>
          <w:rPr>
            <w:noProof/>
            <w:webHidden/>
          </w:rPr>
          <w:fldChar w:fldCharType="begin"/>
        </w:r>
        <w:r>
          <w:rPr>
            <w:noProof/>
            <w:webHidden/>
          </w:rPr>
          <w:instrText xml:space="preserve"> PAGEREF _Toc150852754 \h </w:instrText>
        </w:r>
        <w:r>
          <w:rPr>
            <w:noProof/>
            <w:webHidden/>
          </w:rPr>
        </w:r>
        <w:r>
          <w:rPr>
            <w:noProof/>
            <w:webHidden/>
          </w:rPr>
          <w:fldChar w:fldCharType="separate"/>
        </w:r>
        <w:r>
          <w:rPr>
            <w:noProof/>
            <w:webHidden/>
          </w:rPr>
          <w:t>172</w:t>
        </w:r>
        <w:r>
          <w:rPr>
            <w:noProof/>
            <w:webHidden/>
          </w:rPr>
          <w:fldChar w:fldCharType="end"/>
        </w:r>
      </w:hyperlink>
    </w:p>
    <w:p w:rsidR="008D7DE6" w:rsidP="006A5670" w:rsidRDefault="00F567F7" w14:paraId="435DB031" w14:textId="7F5940D2">
      <w:r w:rsidRPr="00F567F7">
        <w:fldChar w:fldCharType="end"/>
      </w:r>
    </w:p>
    <w:p w:rsidR="00CC1466" w:rsidRDefault="00CC1466" w14:paraId="7C9DE9A7" w14:textId="77777777">
      <w:pPr>
        <w:jc w:val="left"/>
        <w:rPr>
          <w:rFonts w:ascii="Georgia" w:hAnsi="Georgia" w:eastAsiaTheme="majorEastAsia" w:cstheme="majorBidi"/>
          <w:b/>
          <w:bCs/>
          <w:color w:val="242451"/>
          <w:sz w:val="28"/>
          <w:szCs w:val="28"/>
          <w:lang w:eastAsia="ja-JP"/>
        </w:rPr>
      </w:pPr>
      <w:bookmarkStart w:name="_Toc147385524" w:id="0"/>
      <w:r>
        <w:br w:type="page"/>
      </w:r>
    </w:p>
    <w:bookmarkEnd w:id="0"/>
    <w:p w:rsidRPr="0063471D" w:rsidR="004E360F" w:rsidP="004E360F" w:rsidRDefault="004E360F" w14:paraId="74EB04C6" w14:textId="77777777">
      <w:pPr>
        <w:spacing w:after="0" w:line="240" w:lineRule="auto"/>
        <w:rPr>
          <w:rFonts w:ascii="Georgia" w:hAnsi="Georgia"/>
          <w:b/>
          <w:bCs/>
          <w:color w:val="002060"/>
          <w:sz w:val="28"/>
          <w:szCs w:val="28"/>
        </w:rPr>
      </w:pPr>
      <w:r w:rsidRPr="6F0A15FC">
        <w:rPr>
          <w:rFonts w:ascii="Georgia" w:hAnsi="Georgia"/>
          <w:b/>
          <w:bCs/>
          <w:color w:val="002060"/>
          <w:sz w:val="28"/>
          <w:szCs w:val="28"/>
        </w:rPr>
        <w:t>Figures</w:t>
      </w:r>
    </w:p>
    <w:p w:rsidR="00101F1B" w:rsidRDefault="00333C81" w14:paraId="18AE9126" w14:textId="63BAB03F">
      <w:pPr>
        <w:pStyle w:val="TableofFigures"/>
        <w:tabs>
          <w:tab w:val="right" w:leader="dot" w:pos="9350"/>
        </w:tabs>
        <w:rPr>
          <w:rFonts w:asciiTheme="minorHAnsi" w:hAnsiTheme="minorHAnsi" w:cstheme="minorBidi"/>
          <w:b w:val="0"/>
          <w:bCs w:val="0"/>
          <w:noProof/>
          <w:kern w:val="2"/>
          <w:sz w:val="22"/>
          <w:szCs w:val="22"/>
          <w14:ligatures w14:val="standardContextual"/>
        </w:rPr>
      </w:pPr>
      <w:r>
        <w:fldChar w:fldCharType="begin"/>
      </w:r>
      <w:r>
        <w:instrText xml:space="preserve"> TOC \h \z \c "Figure" </w:instrText>
      </w:r>
      <w:r>
        <w:fldChar w:fldCharType="separate"/>
      </w:r>
      <w:hyperlink w:history="1" w:anchor="_Toc150852755">
        <w:r w:rsidRPr="007207D9" w:rsidR="00101F1B">
          <w:rPr>
            <w:rStyle w:val="Hyperlink"/>
            <w:noProof/>
          </w:rPr>
          <w:t>Figure 1: Alabama broadband technical assistance outreach to counties</w:t>
        </w:r>
        <w:r w:rsidR="00101F1B">
          <w:rPr>
            <w:noProof/>
            <w:webHidden/>
          </w:rPr>
          <w:tab/>
        </w:r>
        <w:r w:rsidR="00101F1B">
          <w:rPr>
            <w:noProof/>
            <w:webHidden/>
          </w:rPr>
          <w:fldChar w:fldCharType="begin"/>
        </w:r>
        <w:r w:rsidR="00101F1B">
          <w:rPr>
            <w:noProof/>
            <w:webHidden/>
          </w:rPr>
          <w:instrText xml:space="preserve"> PAGEREF _Toc150852755 \h </w:instrText>
        </w:r>
        <w:r w:rsidR="00101F1B">
          <w:rPr>
            <w:noProof/>
            <w:webHidden/>
          </w:rPr>
        </w:r>
        <w:r w:rsidR="00101F1B">
          <w:rPr>
            <w:noProof/>
            <w:webHidden/>
          </w:rPr>
          <w:fldChar w:fldCharType="separate"/>
        </w:r>
        <w:r w:rsidR="00101F1B">
          <w:rPr>
            <w:noProof/>
            <w:webHidden/>
          </w:rPr>
          <w:t>8</w:t>
        </w:r>
        <w:r w:rsidR="00101F1B">
          <w:rPr>
            <w:noProof/>
            <w:webHidden/>
          </w:rPr>
          <w:fldChar w:fldCharType="end"/>
        </w:r>
      </w:hyperlink>
    </w:p>
    <w:p w:rsidR="00101F1B" w:rsidRDefault="00101F1B" w14:paraId="7C0330C6" w14:textId="2CC095A7">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56">
        <w:r w:rsidRPr="007207D9">
          <w:rPr>
            <w:rStyle w:val="Hyperlink"/>
            <w:noProof/>
          </w:rPr>
          <w:t>Figure 2: ADECA resident survey dates by region</w:t>
        </w:r>
        <w:r>
          <w:rPr>
            <w:noProof/>
            <w:webHidden/>
          </w:rPr>
          <w:tab/>
        </w:r>
        <w:r>
          <w:rPr>
            <w:noProof/>
            <w:webHidden/>
          </w:rPr>
          <w:fldChar w:fldCharType="begin"/>
        </w:r>
        <w:r>
          <w:rPr>
            <w:noProof/>
            <w:webHidden/>
          </w:rPr>
          <w:instrText xml:space="preserve"> PAGEREF _Toc150852756 \h </w:instrText>
        </w:r>
        <w:r>
          <w:rPr>
            <w:noProof/>
            <w:webHidden/>
          </w:rPr>
        </w:r>
        <w:r>
          <w:rPr>
            <w:noProof/>
            <w:webHidden/>
          </w:rPr>
          <w:fldChar w:fldCharType="separate"/>
        </w:r>
        <w:r>
          <w:rPr>
            <w:noProof/>
            <w:webHidden/>
          </w:rPr>
          <w:t>10</w:t>
        </w:r>
        <w:r>
          <w:rPr>
            <w:noProof/>
            <w:webHidden/>
          </w:rPr>
          <w:fldChar w:fldCharType="end"/>
        </w:r>
      </w:hyperlink>
    </w:p>
    <w:p w:rsidR="00101F1B" w:rsidRDefault="00101F1B" w14:paraId="21731132" w14:textId="51ABD6B6">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57">
        <w:r w:rsidRPr="007207D9">
          <w:rPr>
            <w:rStyle w:val="Hyperlink"/>
            <w:noProof/>
          </w:rPr>
          <w:t>Figure 3: 30-minute drive time around Alabama institutions training roles relevant to in-the-field broadband construction</w:t>
        </w:r>
        <w:r>
          <w:rPr>
            <w:noProof/>
            <w:webHidden/>
          </w:rPr>
          <w:tab/>
        </w:r>
        <w:r>
          <w:rPr>
            <w:noProof/>
            <w:webHidden/>
          </w:rPr>
          <w:fldChar w:fldCharType="begin"/>
        </w:r>
        <w:r>
          <w:rPr>
            <w:noProof/>
            <w:webHidden/>
          </w:rPr>
          <w:instrText xml:space="preserve"> PAGEREF _Toc150852757 \h </w:instrText>
        </w:r>
        <w:r>
          <w:rPr>
            <w:noProof/>
            <w:webHidden/>
          </w:rPr>
        </w:r>
        <w:r>
          <w:rPr>
            <w:noProof/>
            <w:webHidden/>
          </w:rPr>
          <w:fldChar w:fldCharType="separate"/>
        </w:r>
        <w:r>
          <w:rPr>
            <w:noProof/>
            <w:webHidden/>
          </w:rPr>
          <w:t>81</w:t>
        </w:r>
        <w:r>
          <w:rPr>
            <w:noProof/>
            <w:webHidden/>
          </w:rPr>
          <w:fldChar w:fldCharType="end"/>
        </w:r>
      </w:hyperlink>
    </w:p>
    <w:p w:rsidR="00101F1B" w:rsidRDefault="00101F1B" w14:paraId="566768FB" w14:textId="3567B8FC">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58">
        <w:r w:rsidRPr="007207D9">
          <w:rPr>
            <w:rStyle w:val="Hyperlink"/>
            <w:noProof/>
          </w:rPr>
          <w:t>Figure 4: Composite county hazard risk scores in Alabama</w:t>
        </w:r>
        <w:r>
          <w:rPr>
            <w:noProof/>
            <w:webHidden/>
          </w:rPr>
          <w:tab/>
        </w:r>
        <w:r>
          <w:rPr>
            <w:noProof/>
            <w:webHidden/>
          </w:rPr>
          <w:fldChar w:fldCharType="begin"/>
        </w:r>
        <w:r>
          <w:rPr>
            <w:noProof/>
            <w:webHidden/>
          </w:rPr>
          <w:instrText xml:space="preserve"> PAGEREF _Toc150852758 \h </w:instrText>
        </w:r>
        <w:r>
          <w:rPr>
            <w:noProof/>
            <w:webHidden/>
          </w:rPr>
        </w:r>
        <w:r>
          <w:rPr>
            <w:noProof/>
            <w:webHidden/>
          </w:rPr>
          <w:fldChar w:fldCharType="separate"/>
        </w:r>
        <w:r>
          <w:rPr>
            <w:noProof/>
            <w:webHidden/>
          </w:rPr>
          <w:t>107</w:t>
        </w:r>
        <w:r>
          <w:rPr>
            <w:noProof/>
            <w:webHidden/>
          </w:rPr>
          <w:fldChar w:fldCharType="end"/>
        </w:r>
      </w:hyperlink>
    </w:p>
    <w:p w:rsidR="00101F1B" w:rsidRDefault="00101F1B" w14:paraId="58333967" w14:textId="19FE7639">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59">
        <w:r w:rsidRPr="007207D9">
          <w:rPr>
            <w:rStyle w:val="Hyperlink"/>
            <w:noProof/>
          </w:rPr>
          <w:t>Figure 5: Risk of earthquakes in Alabama</w:t>
        </w:r>
        <w:r>
          <w:rPr>
            <w:noProof/>
            <w:webHidden/>
          </w:rPr>
          <w:tab/>
        </w:r>
        <w:r>
          <w:rPr>
            <w:noProof/>
            <w:webHidden/>
          </w:rPr>
          <w:fldChar w:fldCharType="begin"/>
        </w:r>
        <w:r>
          <w:rPr>
            <w:noProof/>
            <w:webHidden/>
          </w:rPr>
          <w:instrText xml:space="preserve"> PAGEREF _Toc150852759 \h </w:instrText>
        </w:r>
        <w:r>
          <w:rPr>
            <w:noProof/>
            <w:webHidden/>
          </w:rPr>
        </w:r>
        <w:r>
          <w:rPr>
            <w:noProof/>
            <w:webHidden/>
          </w:rPr>
          <w:fldChar w:fldCharType="separate"/>
        </w:r>
        <w:r>
          <w:rPr>
            <w:noProof/>
            <w:webHidden/>
          </w:rPr>
          <w:t>111</w:t>
        </w:r>
        <w:r>
          <w:rPr>
            <w:noProof/>
            <w:webHidden/>
          </w:rPr>
          <w:fldChar w:fldCharType="end"/>
        </w:r>
      </w:hyperlink>
    </w:p>
    <w:p w:rsidR="00101F1B" w:rsidRDefault="00101F1B" w14:paraId="402E048D" w14:textId="516EE1DD">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60">
        <w:r w:rsidRPr="007207D9">
          <w:rPr>
            <w:rStyle w:val="Hyperlink"/>
            <w:noProof/>
          </w:rPr>
          <w:t>Figure 6: Risk of heat waves in Alabama</w:t>
        </w:r>
        <w:r>
          <w:rPr>
            <w:noProof/>
            <w:webHidden/>
          </w:rPr>
          <w:tab/>
        </w:r>
        <w:r>
          <w:rPr>
            <w:noProof/>
            <w:webHidden/>
          </w:rPr>
          <w:fldChar w:fldCharType="begin"/>
        </w:r>
        <w:r>
          <w:rPr>
            <w:noProof/>
            <w:webHidden/>
          </w:rPr>
          <w:instrText xml:space="preserve"> PAGEREF _Toc150852760 \h </w:instrText>
        </w:r>
        <w:r>
          <w:rPr>
            <w:noProof/>
            <w:webHidden/>
          </w:rPr>
        </w:r>
        <w:r>
          <w:rPr>
            <w:noProof/>
            <w:webHidden/>
          </w:rPr>
          <w:fldChar w:fldCharType="separate"/>
        </w:r>
        <w:r>
          <w:rPr>
            <w:noProof/>
            <w:webHidden/>
          </w:rPr>
          <w:t>113</w:t>
        </w:r>
        <w:r>
          <w:rPr>
            <w:noProof/>
            <w:webHidden/>
          </w:rPr>
          <w:fldChar w:fldCharType="end"/>
        </w:r>
      </w:hyperlink>
    </w:p>
    <w:p w:rsidR="00101F1B" w:rsidRDefault="00101F1B" w14:paraId="407170C9" w14:textId="51260F23">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61">
        <w:r w:rsidRPr="007207D9">
          <w:rPr>
            <w:rStyle w:val="Hyperlink"/>
            <w:noProof/>
          </w:rPr>
          <w:t>Figure 7: Risk of cold waves in Alabama</w:t>
        </w:r>
        <w:r>
          <w:rPr>
            <w:noProof/>
            <w:webHidden/>
          </w:rPr>
          <w:tab/>
        </w:r>
        <w:r>
          <w:rPr>
            <w:noProof/>
            <w:webHidden/>
          </w:rPr>
          <w:fldChar w:fldCharType="begin"/>
        </w:r>
        <w:r>
          <w:rPr>
            <w:noProof/>
            <w:webHidden/>
          </w:rPr>
          <w:instrText xml:space="preserve"> PAGEREF _Toc150852761 \h </w:instrText>
        </w:r>
        <w:r>
          <w:rPr>
            <w:noProof/>
            <w:webHidden/>
          </w:rPr>
        </w:r>
        <w:r>
          <w:rPr>
            <w:noProof/>
            <w:webHidden/>
          </w:rPr>
          <w:fldChar w:fldCharType="separate"/>
        </w:r>
        <w:r>
          <w:rPr>
            <w:noProof/>
            <w:webHidden/>
          </w:rPr>
          <w:t>115</w:t>
        </w:r>
        <w:r>
          <w:rPr>
            <w:noProof/>
            <w:webHidden/>
          </w:rPr>
          <w:fldChar w:fldCharType="end"/>
        </w:r>
      </w:hyperlink>
    </w:p>
    <w:p w:rsidR="00101F1B" w:rsidRDefault="00101F1B" w14:paraId="5B00A782" w14:textId="2FD246D6">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62">
        <w:r w:rsidRPr="007207D9">
          <w:rPr>
            <w:rStyle w:val="Hyperlink"/>
            <w:noProof/>
          </w:rPr>
          <w:t>Figure 8: Risk of coastal flooding in Alabama</w:t>
        </w:r>
        <w:r>
          <w:rPr>
            <w:noProof/>
            <w:webHidden/>
          </w:rPr>
          <w:tab/>
        </w:r>
        <w:r>
          <w:rPr>
            <w:noProof/>
            <w:webHidden/>
          </w:rPr>
          <w:fldChar w:fldCharType="begin"/>
        </w:r>
        <w:r>
          <w:rPr>
            <w:noProof/>
            <w:webHidden/>
          </w:rPr>
          <w:instrText xml:space="preserve"> PAGEREF _Toc150852762 \h </w:instrText>
        </w:r>
        <w:r>
          <w:rPr>
            <w:noProof/>
            <w:webHidden/>
          </w:rPr>
        </w:r>
        <w:r>
          <w:rPr>
            <w:noProof/>
            <w:webHidden/>
          </w:rPr>
          <w:fldChar w:fldCharType="separate"/>
        </w:r>
        <w:r>
          <w:rPr>
            <w:noProof/>
            <w:webHidden/>
          </w:rPr>
          <w:t>117</w:t>
        </w:r>
        <w:r>
          <w:rPr>
            <w:noProof/>
            <w:webHidden/>
          </w:rPr>
          <w:fldChar w:fldCharType="end"/>
        </w:r>
      </w:hyperlink>
    </w:p>
    <w:p w:rsidR="00101F1B" w:rsidRDefault="00101F1B" w14:paraId="432713EC" w14:textId="75975E24">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63">
        <w:r w:rsidRPr="007207D9">
          <w:rPr>
            <w:rStyle w:val="Hyperlink"/>
            <w:noProof/>
          </w:rPr>
          <w:t>Figure 9: Risk of riverine flooding in Alabama</w:t>
        </w:r>
        <w:r>
          <w:rPr>
            <w:noProof/>
            <w:webHidden/>
          </w:rPr>
          <w:tab/>
        </w:r>
        <w:r>
          <w:rPr>
            <w:noProof/>
            <w:webHidden/>
          </w:rPr>
          <w:fldChar w:fldCharType="begin"/>
        </w:r>
        <w:r>
          <w:rPr>
            <w:noProof/>
            <w:webHidden/>
          </w:rPr>
          <w:instrText xml:space="preserve"> PAGEREF _Toc150852763 \h </w:instrText>
        </w:r>
        <w:r>
          <w:rPr>
            <w:noProof/>
            <w:webHidden/>
          </w:rPr>
        </w:r>
        <w:r>
          <w:rPr>
            <w:noProof/>
            <w:webHidden/>
          </w:rPr>
          <w:fldChar w:fldCharType="separate"/>
        </w:r>
        <w:r>
          <w:rPr>
            <w:noProof/>
            <w:webHidden/>
          </w:rPr>
          <w:t>118</w:t>
        </w:r>
        <w:r>
          <w:rPr>
            <w:noProof/>
            <w:webHidden/>
          </w:rPr>
          <w:fldChar w:fldCharType="end"/>
        </w:r>
      </w:hyperlink>
    </w:p>
    <w:p w:rsidR="00101F1B" w:rsidRDefault="00101F1B" w14:paraId="4D341B93" w14:textId="4FDD56B5">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64">
        <w:r w:rsidRPr="007207D9">
          <w:rPr>
            <w:rStyle w:val="Hyperlink"/>
            <w:noProof/>
          </w:rPr>
          <w:t>Figure 10: Risk of hail in Alabama</w:t>
        </w:r>
        <w:r>
          <w:rPr>
            <w:noProof/>
            <w:webHidden/>
          </w:rPr>
          <w:tab/>
        </w:r>
        <w:r>
          <w:rPr>
            <w:noProof/>
            <w:webHidden/>
          </w:rPr>
          <w:fldChar w:fldCharType="begin"/>
        </w:r>
        <w:r>
          <w:rPr>
            <w:noProof/>
            <w:webHidden/>
          </w:rPr>
          <w:instrText xml:space="preserve"> PAGEREF _Toc150852764 \h </w:instrText>
        </w:r>
        <w:r>
          <w:rPr>
            <w:noProof/>
            <w:webHidden/>
          </w:rPr>
        </w:r>
        <w:r>
          <w:rPr>
            <w:noProof/>
            <w:webHidden/>
          </w:rPr>
          <w:fldChar w:fldCharType="separate"/>
        </w:r>
        <w:r>
          <w:rPr>
            <w:noProof/>
            <w:webHidden/>
          </w:rPr>
          <w:t>120</w:t>
        </w:r>
        <w:r>
          <w:rPr>
            <w:noProof/>
            <w:webHidden/>
          </w:rPr>
          <w:fldChar w:fldCharType="end"/>
        </w:r>
      </w:hyperlink>
    </w:p>
    <w:p w:rsidR="00101F1B" w:rsidRDefault="00101F1B" w14:paraId="6312C43F" w14:textId="0EC31E62">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65">
        <w:r w:rsidRPr="007207D9">
          <w:rPr>
            <w:rStyle w:val="Hyperlink"/>
            <w:noProof/>
          </w:rPr>
          <w:t>Figure 11: Risk of tornados in Alabama</w:t>
        </w:r>
        <w:r>
          <w:rPr>
            <w:noProof/>
            <w:webHidden/>
          </w:rPr>
          <w:tab/>
        </w:r>
        <w:r>
          <w:rPr>
            <w:noProof/>
            <w:webHidden/>
          </w:rPr>
          <w:fldChar w:fldCharType="begin"/>
        </w:r>
        <w:r>
          <w:rPr>
            <w:noProof/>
            <w:webHidden/>
          </w:rPr>
          <w:instrText xml:space="preserve"> PAGEREF _Toc150852765 \h </w:instrText>
        </w:r>
        <w:r>
          <w:rPr>
            <w:noProof/>
            <w:webHidden/>
          </w:rPr>
        </w:r>
        <w:r>
          <w:rPr>
            <w:noProof/>
            <w:webHidden/>
          </w:rPr>
          <w:fldChar w:fldCharType="separate"/>
        </w:r>
        <w:r>
          <w:rPr>
            <w:noProof/>
            <w:webHidden/>
          </w:rPr>
          <w:t>122</w:t>
        </w:r>
        <w:r>
          <w:rPr>
            <w:noProof/>
            <w:webHidden/>
          </w:rPr>
          <w:fldChar w:fldCharType="end"/>
        </w:r>
      </w:hyperlink>
    </w:p>
    <w:p w:rsidR="00101F1B" w:rsidRDefault="00101F1B" w14:paraId="61FF89AA" w14:textId="77FB4C63">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66">
        <w:r w:rsidRPr="007207D9">
          <w:rPr>
            <w:rStyle w:val="Hyperlink"/>
            <w:noProof/>
          </w:rPr>
          <w:t>Figure 12: Risk of hurricanes in Alabama</w:t>
        </w:r>
        <w:r>
          <w:rPr>
            <w:noProof/>
            <w:webHidden/>
          </w:rPr>
          <w:tab/>
        </w:r>
        <w:r>
          <w:rPr>
            <w:noProof/>
            <w:webHidden/>
          </w:rPr>
          <w:fldChar w:fldCharType="begin"/>
        </w:r>
        <w:r>
          <w:rPr>
            <w:noProof/>
            <w:webHidden/>
          </w:rPr>
          <w:instrText xml:space="preserve"> PAGEREF _Toc150852766 \h </w:instrText>
        </w:r>
        <w:r>
          <w:rPr>
            <w:noProof/>
            <w:webHidden/>
          </w:rPr>
        </w:r>
        <w:r>
          <w:rPr>
            <w:noProof/>
            <w:webHidden/>
          </w:rPr>
          <w:fldChar w:fldCharType="separate"/>
        </w:r>
        <w:r>
          <w:rPr>
            <w:noProof/>
            <w:webHidden/>
          </w:rPr>
          <w:t>124</w:t>
        </w:r>
        <w:r>
          <w:rPr>
            <w:noProof/>
            <w:webHidden/>
          </w:rPr>
          <w:fldChar w:fldCharType="end"/>
        </w:r>
      </w:hyperlink>
    </w:p>
    <w:p w:rsidR="00101F1B" w:rsidRDefault="00101F1B" w14:paraId="2351245D" w14:textId="31F0882A">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67">
        <w:r w:rsidRPr="007207D9">
          <w:rPr>
            <w:rStyle w:val="Hyperlink"/>
            <w:noProof/>
          </w:rPr>
          <w:t>Figure 13: Risk of strong winds in Alabama</w:t>
        </w:r>
        <w:r>
          <w:rPr>
            <w:noProof/>
            <w:webHidden/>
          </w:rPr>
          <w:tab/>
        </w:r>
        <w:r>
          <w:rPr>
            <w:noProof/>
            <w:webHidden/>
          </w:rPr>
          <w:fldChar w:fldCharType="begin"/>
        </w:r>
        <w:r>
          <w:rPr>
            <w:noProof/>
            <w:webHidden/>
          </w:rPr>
          <w:instrText xml:space="preserve"> PAGEREF _Toc150852767 \h </w:instrText>
        </w:r>
        <w:r>
          <w:rPr>
            <w:noProof/>
            <w:webHidden/>
          </w:rPr>
        </w:r>
        <w:r>
          <w:rPr>
            <w:noProof/>
            <w:webHidden/>
          </w:rPr>
          <w:fldChar w:fldCharType="separate"/>
        </w:r>
        <w:r>
          <w:rPr>
            <w:noProof/>
            <w:webHidden/>
          </w:rPr>
          <w:t>126</w:t>
        </w:r>
        <w:r>
          <w:rPr>
            <w:noProof/>
            <w:webHidden/>
          </w:rPr>
          <w:fldChar w:fldCharType="end"/>
        </w:r>
      </w:hyperlink>
    </w:p>
    <w:p w:rsidR="00101F1B" w:rsidRDefault="00101F1B" w14:paraId="7AECC2F2" w14:textId="18A81F9D">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68">
        <w:r w:rsidRPr="007207D9">
          <w:rPr>
            <w:rStyle w:val="Hyperlink"/>
            <w:noProof/>
          </w:rPr>
          <w:t>Figure 14: Risk of landslides in Alabama</w:t>
        </w:r>
        <w:r>
          <w:rPr>
            <w:noProof/>
            <w:webHidden/>
          </w:rPr>
          <w:tab/>
        </w:r>
        <w:r>
          <w:rPr>
            <w:noProof/>
            <w:webHidden/>
          </w:rPr>
          <w:fldChar w:fldCharType="begin"/>
        </w:r>
        <w:r>
          <w:rPr>
            <w:noProof/>
            <w:webHidden/>
          </w:rPr>
          <w:instrText xml:space="preserve"> PAGEREF _Toc150852768 \h </w:instrText>
        </w:r>
        <w:r>
          <w:rPr>
            <w:noProof/>
            <w:webHidden/>
          </w:rPr>
        </w:r>
        <w:r>
          <w:rPr>
            <w:noProof/>
            <w:webHidden/>
          </w:rPr>
          <w:fldChar w:fldCharType="separate"/>
        </w:r>
        <w:r>
          <w:rPr>
            <w:noProof/>
            <w:webHidden/>
          </w:rPr>
          <w:t>128</w:t>
        </w:r>
        <w:r>
          <w:rPr>
            <w:noProof/>
            <w:webHidden/>
          </w:rPr>
          <w:fldChar w:fldCharType="end"/>
        </w:r>
      </w:hyperlink>
    </w:p>
    <w:p w:rsidR="00101F1B" w:rsidRDefault="00101F1B" w14:paraId="67FFC2D6" w14:textId="10FFF3C1">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69">
        <w:r w:rsidRPr="007207D9">
          <w:rPr>
            <w:rStyle w:val="Hyperlink"/>
            <w:noProof/>
          </w:rPr>
          <w:t>Figure 15: Risk of lightning in Alabama</w:t>
        </w:r>
        <w:r>
          <w:rPr>
            <w:noProof/>
            <w:webHidden/>
          </w:rPr>
          <w:tab/>
        </w:r>
        <w:r>
          <w:rPr>
            <w:noProof/>
            <w:webHidden/>
          </w:rPr>
          <w:fldChar w:fldCharType="begin"/>
        </w:r>
        <w:r>
          <w:rPr>
            <w:noProof/>
            <w:webHidden/>
          </w:rPr>
          <w:instrText xml:space="preserve"> PAGEREF _Toc150852769 \h </w:instrText>
        </w:r>
        <w:r>
          <w:rPr>
            <w:noProof/>
            <w:webHidden/>
          </w:rPr>
        </w:r>
        <w:r>
          <w:rPr>
            <w:noProof/>
            <w:webHidden/>
          </w:rPr>
          <w:fldChar w:fldCharType="separate"/>
        </w:r>
        <w:r>
          <w:rPr>
            <w:noProof/>
            <w:webHidden/>
          </w:rPr>
          <w:t>130</w:t>
        </w:r>
        <w:r>
          <w:rPr>
            <w:noProof/>
            <w:webHidden/>
          </w:rPr>
          <w:fldChar w:fldCharType="end"/>
        </w:r>
      </w:hyperlink>
    </w:p>
    <w:p w:rsidR="00101F1B" w:rsidRDefault="00101F1B" w14:paraId="59E26E92" w14:textId="725AB741">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70">
        <w:r w:rsidRPr="007207D9">
          <w:rPr>
            <w:rStyle w:val="Hyperlink"/>
            <w:noProof/>
          </w:rPr>
          <w:t>Figure 16: Risk of wildfire in Alabama</w:t>
        </w:r>
        <w:r>
          <w:rPr>
            <w:noProof/>
            <w:webHidden/>
          </w:rPr>
          <w:tab/>
        </w:r>
        <w:r>
          <w:rPr>
            <w:noProof/>
            <w:webHidden/>
          </w:rPr>
          <w:fldChar w:fldCharType="begin"/>
        </w:r>
        <w:r>
          <w:rPr>
            <w:noProof/>
            <w:webHidden/>
          </w:rPr>
          <w:instrText xml:space="preserve"> PAGEREF _Toc150852770 \h </w:instrText>
        </w:r>
        <w:r>
          <w:rPr>
            <w:noProof/>
            <w:webHidden/>
          </w:rPr>
        </w:r>
        <w:r>
          <w:rPr>
            <w:noProof/>
            <w:webHidden/>
          </w:rPr>
          <w:fldChar w:fldCharType="separate"/>
        </w:r>
        <w:r>
          <w:rPr>
            <w:noProof/>
            <w:webHidden/>
          </w:rPr>
          <w:t>133</w:t>
        </w:r>
        <w:r>
          <w:rPr>
            <w:noProof/>
            <w:webHidden/>
          </w:rPr>
          <w:fldChar w:fldCharType="end"/>
        </w:r>
      </w:hyperlink>
    </w:p>
    <w:p w:rsidR="00101F1B" w:rsidRDefault="00101F1B" w14:paraId="5EB8C748" w14:textId="68F92EFC">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71">
        <w:r w:rsidRPr="007207D9">
          <w:rPr>
            <w:rStyle w:val="Hyperlink"/>
            <w:noProof/>
          </w:rPr>
          <w:t>Figure 17: Risk of winter weather in Alabama</w:t>
        </w:r>
        <w:r>
          <w:rPr>
            <w:noProof/>
            <w:webHidden/>
          </w:rPr>
          <w:tab/>
        </w:r>
        <w:r>
          <w:rPr>
            <w:noProof/>
            <w:webHidden/>
          </w:rPr>
          <w:fldChar w:fldCharType="begin"/>
        </w:r>
        <w:r>
          <w:rPr>
            <w:noProof/>
            <w:webHidden/>
          </w:rPr>
          <w:instrText xml:space="preserve"> PAGEREF _Toc150852771 \h </w:instrText>
        </w:r>
        <w:r>
          <w:rPr>
            <w:noProof/>
            <w:webHidden/>
          </w:rPr>
        </w:r>
        <w:r>
          <w:rPr>
            <w:noProof/>
            <w:webHidden/>
          </w:rPr>
          <w:fldChar w:fldCharType="separate"/>
        </w:r>
        <w:r>
          <w:rPr>
            <w:noProof/>
            <w:webHidden/>
          </w:rPr>
          <w:t>135</w:t>
        </w:r>
        <w:r>
          <w:rPr>
            <w:noProof/>
            <w:webHidden/>
          </w:rPr>
          <w:fldChar w:fldCharType="end"/>
        </w:r>
      </w:hyperlink>
    </w:p>
    <w:p w:rsidR="00101F1B" w:rsidRDefault="00101F1B" w14:paraId="71C1F2BD" w14:textId="380164A7">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72">
        <w:r w:rsidRPr="007207D9">
          <w:rPr>
            <w:rStyle w:val="Hyperlink"/>
            <w:noProof/>
          </w:rPr>
          <w:t>Figure 18: Risk of ice storms in Alabama</w:t>
        </w:r>
        <w:r>
          <w:rPr>
            <w:noProof/>
            <w:webHidden/>
          </w:rPr>
          <w:tab/>
        </w:r>
        <w:r>
          <w:rPr>
            <w:noProof/>
            <w:webHidden/>
          </w:rPr>
          <w:fldChar w:fldCharType="begin"/>
        </w:r>
        <w:r>
          <w:rPr>
            <w:noProof/>
            <w:webHidden/>
          </w:rPr>
          <w:instrText xml:space="preserve"> PAGEREF _Toc150852772 \h </w:instrText>
        </w:r>
        <w:r>
          <w:rPr>
            <w:noProof/>
            <w:webHidden/>
          </w:rPr>
        </w:r>
        <w:r>
          <w:rPr>
            <w:noProof/>
            <w:webHidden/>
          </w:rPr>
          <w:fldChar w:fldCharType="separate"/>
        </w:r>
        <w:r>
          <w:rPr>
            <w:noProof/>
            <w:webHidden/>
          </w:rPr>
          <w:t>137</w:t>
        </w:r>
        <w:r>
          <w:rPr>
            <w:noProof/>
            <w:webHidden/>
          </w:rPr>
          <w:fldChar w:fldCharType="end"/>
        </w:r>
      </w:hyperlink>
    </w:p>
    <w:p w:rsidR="00101F1B" w:rsidRDefault="00101F1B" w14:paraId="388A37D8" w14:textId="1F60EC0C">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73">
        <w:r w:rsidRPr="007207D9">
          <w:rPr>
            <w:rStyle w:val="Hyperlink"/>
            <w:noProof/>
          </w:rPr>
          <w:t>Figure 19: Share of low-income households in Alabama willing to pay for internet service at different price points</w:t>
        </w:r>
        <w:r>
          <w:rPr>
            <w:noProof/>
            <w:webHidden/>
          </w:rPr>
          <w:tab/>
        </w:r>
        <w:r>
          <w:rPr>
            <w:noProof/>
            <w:webHidden/>
          </w:rPr>
          <w:fldChar w:fldCharType="begin"/>
        </w:r>
        <w:r>
          <w:rPr>
            <w:noProof/>
            <w:webHidden/>
          </w:rPr>
          <w:instrText xml:space="preserve"> PAGEREF _Toc150852773 \h </w:instrText>
        </w:r>
        <w:r>
          <w:rPr>
            <w:noProof/>
            <w:webHidden/>
          </w:rPr>
        </w:r>
        <w:r>
          <w:rPr>
            <w:noProof/>
            <w:webHidden/>
          </w:rPr>
          <w:fldChar w:fldCharType="separate"/>
        </w:r>
        <w:r>
          <w:rPr>
            <w:noProof/>
            <w:webHidden/>
          </w:rPr>
          <w:t>146</w:t>
        </w:r>
        <w:r>
          <w:rPr>
            <w:noProof/>
            <w:webHidden/>
          </w:rPr>
          <w:fldChar w:fldCharType="end"/>
        </w:r>
      </w:hyperlink>
    </w:p>
    <w:p w:rsidR="00101F1B" w:rsidRDefault="00101F1B" w14:paraId="298D24A0" w14:textId="62F29869">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74">
        <w:r w:rsidRPr="007207D9">
          <w:rPr>
            <w:rStyle w:val="Hyperlink"/>
            <w:noProof/>
          </w:rPr>
          <w:t>Figure 20: Monthly cost of home internet service by household income</w:t>
        </w:r>
        <w:r>
          <w:rPr>
            <w:noProof/>
            <w:webHidden/>
          </w:rPr>
          <w:tab/>
        </w:r>
        <w:r>
          <w:rPr>
            <w:noProof/>
            <w:webHidden/>
          </w:rPr>
          <w:fldChar w:fldCharType="begin"/>
        </w:r>
        <w:r>
          <w:rPr>
            <w:noProof/>
            <w:webHidden/>
          </w:rPr>
          <w:instrText xml:space="preserve"> PAGEREF _Toc150852774 \h </w:instrText>
        </w:r>
        <w:r>
          <w:rPr>
            <w:noProof/>
            <w:webHidden/>
          </w:rPr>
        </w:r>
        <w:r>
          <w:rPr>
            <w:noProof/>
            <w:webHidden/>
          </w:rPr>
          <w:fldChar w:fldCharType="separate"/>
        </w:r>
        <w:r>
          <w:rPr>
            <w:noProof/>
            <w:webHidden/>
          </w:rPr>
          <w:t>149</w:t>
        </w:r>
        <w:r>
          <w:rPr>
            <w:noProof/>
            <w:webHidden/>
          </w:rPr>
          <w:fldChar w:fldCharType="end"/>
        </w:r>
      </w:hyperlink>
    </w:p>
    <w:p w:rsidR="00101F1B" w:rsidRDefault="00101F1B" w14:paraId="26C2C8B9" w14:textId="5B813B33">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75">
        <w:r w:rsidRPr="007207D9">
          <w:rPr>
            <w:rStyle w:val="Hyperlink"/>
            <w:noProof/>
          </w:rPr>
          <w:t>Figure 21: Amount willing to pay for high-speed, reliable home internet service by household income</w:t>
        </w:r>
        <w:r>
          <w:rPr>
            <w:noProof/>
            <w:webHidden/>
          </w:rPr>
          <w:tab/>
        </w:r>
        <w:r>
          <w:rPr>
            <w:noProof/>
            <w:webHidden/>
          </w:rPr>
          <w:fldChar w:fldCharType="begin"/>
        </w:r>
        <w:r>
          <w:rPr>
            <w:noProof/>
            <w:webHidden/>
          </w:rPr>
          <w:instrText xml:space="preserve"> PAGEREF _Toc150852775 \h </w:instrText>
        </w:r>
        <w:r>
          <w:rPr>
            <w:noProof/>
            <w:webHidden/>
          </w:rPr>
        </w:r>
        <w:r>
          <w:rPr>
            <w:noProof/>
            <w:webHidden/>
          </w:rPr>
          <w:fldChar w:fldCharType="separate"/>
        </w:r>
        <w:r>
          <w:rPr>
            <w:noProof/>
            <w:webHidden/>
          </w:rPr>
          <w:t>150</w:t>
        </w:r>
        <w:r>
          <w:rPr>
            <w:noProof/>
            <w:webHidden/>
          </w:rPr>
          <w:fldChar w:fldCharType="end"/>
        </w:r>
      </w:hyperlink>
    </w:p>
    <w:p w:rsidR="00333C81" w:rsidP="006A5670" w:rsidRDefault="00333C81" w14:paraId="3F8AAED2" w14:textId="199B1655">
      <w:r>
        <w:fldChar w:fldCharType="end"/>
      </w:r>
    </w:p>
    <w:p w:rsidR="00C2135B" w:rsidRDefault="00C2135B" w14:paraId="09090749" w14:textId="77777777">
      <w:pPr>
        <w:jc w:val="left"/>
        <w:rPr>
          <w:rFonts w:ascii="Georgia" w:hAnsi="Georgia"/>
          <w:b/>
          <w:bCs/>
          <w:color w:val="002060"/>
          <w:sz w:val="28"/>
          <w:szCs w:val="28"/>
        </w:rPr>
      </w:pPr>
      <w:r>
        <w:rPr>
          <w:rFonts w:ascii="Georgia" w:hAnsi="Georgia"/>
          <w:b/>
          <w:bCs/>
          <w:color w:val="002060"/>
          <w:sz w:val="28"/>
          <w:szCs w:val="28"/>
        </w:rPr>
        <w:br w:type="page"/>
      </w:r>
    </w:p>
    <w:p w:rsidR="00333C81" w:rsidP="004E360F" w:rsidRDefault="004E360F" w14:paraId="247FA4E1" w14:textId="2CAC5FD3">
      <w:pPr>
        <w:spacing w:after="0" w:line="240" w:lineRule="auto"/>
        <w:rPr>
          <w:rFonts w:ascii="Georgia" w:hAnsi="Georgia"/>
          <w:b/>
          <w:bCs/>
          <w:color w:val="002060"/>
          <w:sz w:val="28"/>
          <w:szCs w:val="28"/>
        </w:rPr>
      </w:pPr>
      <w:r w:rsidRPr="6F0A15FC">
        <w:rPr>
          <w:rFonts w:ascii="Georgia" w:hAnsi="Georgia"/>
          <w:b/>
          <w:bCs/>
          <w:color w:val="002060"/>
          <w:sz w:val="28"/>
          <w:szCs w:val="28"/>
        </w:rPr>
        <w:t>Tables</w:t>
      </w:r>
    </w:p>
    <w:p w:rsidR="00101F1B" w:rsidRDefault="00333C81" w14:paraId="36CB0F81" w14:textId="484C3D3F">
      <w:pPr>
        <w:pStyle w:val="TableofFigures"/>
        <w:tabs>
          <w:tab w:val="right" w:leader="dot" w:pos="9350"/>
        </w:tabs>
        <w:rPr>
          <w:rFonts w:asciiTheme="minorHAnsi" w:hAnsiTheme="minorHAnsi" w:cstheme="minorBidi"/>
          <w:b w:val="0"/>
          <w:bCs w:val="0"/>
          <w:noProof/>
          <w:kern w:val="2"/>
          <w:sz w:val="22"/>
          <w:szCs w:val="22"/>
          <w14:ligatures w14:val="standardContextual"/>
        </w:rPr>
      </w:pPr>
      <w:r>
        <w:fldChar w:fldCharType="begin"/>
      </w:r>
      <w:r>
        <w:instrText xml:space="preserve"> TOC \h \z \c "Table" </w:instrText>
      </w:r>
      <w:r>
        <w:fldChar w:fldCharType="separate"/>
      </w:r>
      <w:hyperlink w:history="1" w:anchor="_Toc150852776">
        <w:r w:rsidRPr="00C13D83" w:rsidR="00101F1B">
          <w:rPr>
            <w:rStyle w:val="Hyperlink"/>
            <w:noProof/>
          </w:rPr>
          <w:t>Table 1: State broadband goals and objectives</w:t>
        </w:r>
        <w:r w:rsidR="00101F1B">
          <w:rPr>
            <w:noProof/>
            <w:webHidden/>
          </w:rPr>
          <w:tab/>
        </w:r>
        <w:r w:rsidR="00101F1B">
          <w:rPr>
            <w:noProof/>
            <w:webHidden/>
          </w:rPr>
          <w:fldChar w:fldCharType="begin"/>
        </w:r>
        <w:r w:rsidR="00101F1B">
          <w:rPr>
            <w:noProof/>
            <w:webHidden/>
          </w:rPr>
          <w:instrText xml:space="preserve"> PAGEREF _Toc150852776 \h </w:instrText>
        </w:r>
        <w:r w:rsidR="00101F1B">
          <w:rPr>
            <w:noProof/>
            <w:webHidden/>
          </w:rPr>
        </w:r>
        <w:r w:rsidR="00101F1B">
          <w:rPr>
            <w:noProof/>
            <w:webHidden/>
          </w:rPr>
          <w:fldChar w:fldCharType="separate"/>
        </w:r>
        <w:r w:rsidR="00101F1B">
          <w:rPr>
            <w:noProof/>
            <w:webHidden/>
          </w:rPr>
          <w:t>3</w:t>
        </w:r>
        <w:r w:rsidR="00101F1B">
          <w:rPr>
            <w:noProof/>
            <w:webHidden/>
          </w:rPr>
          <w:fldChar w:fldCharType="end"/>
        </w:r>
      </w:hyperlink>
    </w:p>
    <w:p w:rsidR="00101F1B" w:rsidRDefault="00101F1B" w14:paraId="271E883B" w14:textId="3BEE303C">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77">
        <w:r w:rsidRPr="00C13D83">
          <w:rPr>
            <w:rStyle w:val="Hyperlink"/>
            <w:noProof/>
          </w:rPr>
          <w:t>Table 2: Tentative schedule for Prequalification Phase</w:t>
        </w:r>
        <w:r>
          <w:rPr>
            <w:noProof/>
            <w:webHidden/>
          </w:rPr>
          <w:tab/>
        </w:r>
        <w:r>
          <w:rPr>
            <w:noProof/>
            <w:webHidden/>
          </w:rPr>
          <w:fldChar w:fldCharType="begin"/>
        </w:r>
        <w:r>
          <w:rPr>
            <w:noProof/>
            <w:webHidden/>
          </w:rPr>
          <w:instrText xml:space="preserve"> PAGEREF _Toc150852777 \h </w:instrText>
        </w:r>
        <w:r>
          <w:rPr>
            <w:noProof/>
            <w:webHidden/>
          </w:rPr>
        </w:r>
        <w:r>
          <w:rPr>
            <w:noProof/>
            <w:webHidden/>
          </w:rPr>
          <w:fldChar w:fldCharType="separate"/>
        </w:r>
        <w:r>
          <w:rPr>
            <w:noProof/>
            <w:webHidden/>
          </w:rPr>
          <w:t>24</w:t>
        </w:r>
        <w:r>
          <w:rPr>
            <w:noProof/>
            <w:webHidden/>
          </w:rPr>
          <w:fldChar w:fldCharType="end"/>
        </w:r>
      </w:hyperlink>
    </w:p>
    <w:p w:rsidR="00101F1B" w:rsidRDefault="00101F1B" w14:paraId="595CF408" w14:textId="6E34BB5B">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78">
        <w:r w:rsidRPr="00C13D83">
          <w:rPr>
            <w:rStyle w:val="Hyperlink"/>
            <w:noProof/>
          </w:rPr>
          <w:t>Table 3: Tentative format for county-based applications</w:t>
        </w:r>
        <w:r>
          <w:rPr>
            <w:noProof/>
            <w:webHidden/>
          </w:rPr>
          <w:tab/>
        </w:r>
        <w:r>
          <w:rPr>
            <w:noProof/>
            <w:webHidden/>
          </w:rPr>
          <w:fldChar w:fldCharType="begin"/>
        </w:r>
        <w:r>
          <w:rPr>
            <w:noProof/>
            <w:webHidden/>
          </w:rPr>
          <w:instrText xml:space="preserve"> PAGEREF _Toc150852778 \h </w:instrText>
        </w:r>
        <w:r>
          <w:rPr>
            <w:noProof/>
            <w:webHidden/>
          </w:rPr>
        </w:r>
        <w:r>
          <w:rPr>
            <w:noProof/>
            <w:webHidden/>
          </w:rPr>
          <w:fldChar w:fldCharType="separate"/>
        </w:r>
        <w:r>
          <w:rPr>
            <w:noProof/>
            <w:webHidden/>
          </w:rPr>
          <w:t>25</w:t>
        </w:r>
        <w:r>
          <w:rPr>
            <w:noProof/>
            <w:webHidden/>
          </w:rPr>
          <w:fldChar w:fldCharType="end"/>
        </w:r>
      </w:hyperlink>
    </w:p>
    <w:p w:rsidR="00101F1B" w:rsidRDefault="00101F1B" w14:paraId="5E0AC460" w14:textId="588CEFF4">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79">
        <w:r w:rsidRPr="00C13D83">
          <w:rPr>
            <w:rStyle w:val="Hyperlink"/>
            <w:noProof/>
          </w:rPr>
          <w:t>Table 4: Tentative schedule for Scoring Phase</w:t>
        </w:r>
        <w:r>
          <w:rPr>
            <w:noProof/>
            <w:webHidden/>
          </w:rPr>
          <w:tab/>
        </w:r>
        <w:r>
          <w:rPr>
            <w:noProof/>
            <w:webHidden/>
          </w:rPr>
          <w:fldChar w:fldCharType="begin"/>
        </w:r>
        <w:r>
          <w:rPr>
            <w:noProof/>
            <w:webHidden/>
          </w:rPr>
          <w:instrText xml:space="preserve"> PAGEREF _Toc150852779 \h </w:instrText>
        </w:r>
        <w:r>
          <w:rPr>
            <w:noProof/>
            <w:webHidden/>
          </w:rPr>
        </w:r>
        <w:r>
          <w:rPr>
            <w:noProof/>
            <w:webHidden/>
          </w:rPr>
          <w:fldChar w:fldCharType="separate"/>
        </w:r>
        <w:r>
          <w:rPr>
            <w:noProof/>
            <w:webHidden/>
          </w:rPr>
          <w:t>27</w:t>
        </w:r>
        <w:r>
          <w:rPr>
            <w:noProof/>
            <w:webHidden/>
          </w:rPr>
          <w:fldChar w:fldCharType="end"/>
        </w:r>
      </w:hyperlink>
    </w:p>
    <w:p w:rsidR="00101F1B" w:rsidRDefault="00101F1B" w14:paraId="5E1C7F2C" w14:textId="55E00FEA">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80">
        <w:r w:rsidRPr="00C13D83">
          <w:rPr>
            <w:rStyle w:val="Hyperlink"/>
            <w:noProof/>
          </w:rPr>
          <w:t>Table 5: Tentative schedule for Negotiation Phase</w:t>
        </w:r>
        <w:r>
          <w:rPr>
            <w:noProof/>
            <w:webHidden/>
          </w:rPr>
          <w:tab/>
        </w:r>
        <w:r>
          <w:rPr>
            <w:noProof/>
            <w:webHidden/>
          </w:rPr>
          <w:fldChar w:fldCharType="begin"/>
        </w:r>
        <w:r>
          <w:rPr>
            <w:noProof/>
            <w:webHidden/>
          </w:rPr>
          <w:instrText xml:space="preserve"> PAGEREF _Toc150852780 \h </w:instrText>
        </w:r>
        <w:r>
          <w:rPr>
            <w:noProof/>
            <w:webHidden/>
          </w:rPr>
        </w:r>
        <w:r>
          <w:rPr>
            <w:noProof/>
            <w:webHidden/>
          </w:rPr>
          <w:fldChar w:fldCharType="separate"/>
        </w:r>
        <w:r>
          <w:rPr>
            <w:noProof/>
            <w:webHidden/>
          </w:rPr>
          <w:t>28</w:t>
        </w:r>
        <w:r>
          <w:rPr>
            <w:noProof/>
            <w:webHidden/>
          </w:rPr>
          <w:fldChar w:fldCharType="end"/>
        </w:r>
      </w:hyperlink>
    </w:p>
    <w:p w:rsidR="00101F1B" w:rsidRDefault="00101F1B" w14:paraId="0647B532" w14:textId="2BAE2478">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81">
        <w:r w:rsidRPr="00C13D83">
          <w:rPr>
            <w:rStyle w:val="Hyperlink"/>
            <w:noProof/>
          </w:rPr>
          <w:t>Table 6: Tentative grant process timeline</w:t>
        </w:r>
        <w:r>
          <w:rPr>
            <w:noProof/>
            <w:webHidden/>
          </w:rPr>
          <w:tab/>
        </w:r>
        <w:r>
          <w:rPr>
            <w:noProof/>
            <w:webHidden/>
          </w:rPr>
          <w:fldChar w:fldCharType="begin"/>
        </w:r>
        <w:r>
          <w:rPr>
            <w:noProof/>
            <w:webHidden/>
          </w:rPr>
          <w:instrText xml:space="preserve"> PAGEREF _Toc150852781 \h </w:instrText>
        </w:r>
        <w:r>
          <w:rPr>
            <w:noProof/>
            <w:webHidden/>
          </w:rPr>
        </w:r>
        <w:r>
          <w:rPr>
            <w:noProof/>
            <w:webHidden/>
          </w:rPr>
          <w:fldChar w:fldCharType="separate"/>
        </w:r>
        <w:r>
          <w:rPr>
            <w:noProof/>
            <w:webHidden/>
          </w:rPr>
          <w:t>29</w:t>
        </w:r>
        <w:r>
          <w:rPr>
            <w:noProof/>
            <w:webHidden/>
          </w:rPr>
          <w:fldChar w:fldCharType="end"/>
        </w:r>
      </w:hyperlink>
    </w:p>
    <w:p w:rsidR="00101F1B" w:rsidRDefault="00101F1B" w14:paraId="07FEFC76" w14:textId="0161F314">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82">
        <w:r w:rsidRPr="00C13D83">
          <w:rPr>
            <w:rStyle w:val="Hyperlink"/>
            <w:noProof/>
          </w:rPr>
          <w:t>Table 7: Performance of Alabama’s broadband deployment sector (2018 – 2022)</w:t>
        </w:r>
        <w:r>
          <w:rPr>
            <w:noProof/>
            <w:webHidden/>
          </w:rPr>
          <w:tab/>
        </w:r>
        <w:r>
          <w:rPr>
            <w:noProof/>
            <w:webHidden/>
          </w:rPr>
          <w:fldChar w:fldCharType="begin"/>
        </w:r>
        <w:r>
          <w:rPr>
            <w:noProof/>
            <w:webHidden/>
          </w:rPr>
          <w:instrText xml:space="preserve"> PAGEREF _Toc150852782 \h </w:instrText>
        </w:r>
        <w:r>
          <w:rPr>
            <w:noProof/>
            <w:webHidden/>
          </w:rPr>
        </w:r>
        <w:r>
          <w:rPr>
            <w:noProof/>
            <w:webHidden/>
          </w:rPr>
          <w:fldChar w:fldCharType="separate"/>
        </w:r>
        <w:r>
          <w:rPr>
            <w:noProof/>
            <w:webHidden/>
          </w:rPr>
          <w:t>69</w:t>
        </w:r>
        <w:r>
          <w:rPr>
            <w:noProof/>
            <w:webHidden/>
          </w:rPr>
          <w:fldChar w:fldCharType="end"/>
        </w:r>
      </w:hyperlink>
    </w:p>
    <w:p w:rsidR="00101F1B" w:rsidRDefault="00101F1B" w14:paraId="5C27DE4F" w14:textId="7621AEBD">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83">
        <w:r w:rsidRPr="00C13D83">
          <w:rPr>
            <w:rStyle w:val="Hyperlink"/>
            <w:noProof/>
          </w:rPr>
          <w:t>Table 8: Anticipated distribution of broadband investment across sectors</w:t>
        </w:r>
        <w:r>
          <w:rPr>
            <w:noProof/>
            <w:webHidden/>
          </w:rPr>
          <w:tab/>
        </w:r>
        <w:r>
          <w:rPr>
            <w:noProof/>
            <w:webHidden/>
          </w:rPr>
          <w:fldChar w:fldCharType="begin"/>
        </w:r>
        <w:r>
          <w:rPr>
            <w:noProof/>
            <w:webHidden/>
          </w:rPr>
          <w:instrText xml:space="preserve"> PAGEREF _Toc150852783 \h </w:instrText>
        </w:r>
        <w:r>
          <w:rPr>
            <w:noProof/>
            <w:webHidden/>
          </w:rPr>
        </w:r>
        <w:r>
          <w:rPr>
            <w:noProof/>
            <w:webHidden/>
          </w:rPr>
          <w:fldChar w:fldCharType="separate"/>
        </w:r>
        <w:r>
          <w:rPr>
            <w:noProof/>
            <w:webHidden/>
          </w:rPr>
          <w:t>71</w:t>
        </w:r>
        <w:r>
          <w:rPr>
            <w:noProof/>
            <w:webHidden/>
          </w:rPr>
          <w:fldChar w:fldCharType="end"/>
        </w:r>
      </w:hyperlink>
    </w:p>
    <w:p w:rsidR="00101F1B" w:rsidRDefault="00101F1B" w14:paraId="00885352" w14:textId="5BFE0D9B">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84">
        <w:r w:rsidRPr="00C13D83">
          <w:rPr>
            <w:rStyle w:val="Hyperlink"/>
            <w:noProof/>
          </w:rPr>
          <w:t>Table 9: Estimated workforce requirements for broadband deployment occupations</w:t>
        </w:r>
        <w:r>
          <w:rPr>
            <w:noProof/>
            <w:webHidden/>
          </w:rPr>
          <w:tab/>
        </w:r>
        <w:r>
          <w:rPr>
            <w:noProof/>
            <w:webHidden/>
          </w:rPr>
          <w:fldChar w:fldCharType="begin"/>
        </w:r>
        <w:r>
          <w:rPr>
            <w:noProof/>
            <w:webHidden/>
          </w:rPr>
          <w:instrText xml:space="preserve"> PAGEREF _Toc150852784 \h </w:instrText>
        </w:r>
        <w:r>
          <w:rPr>
            <w:noProof/>
            <w:webHidden/>
          </w:rPr>
        </w:r>
        <w:r>
          <w:rPr>
            <w:noProof/>
            <w:webHidden/>
          </w:rPr>
          <w:fldChar w:fldCharType="separate"/>
        </w:r>
        <w:r>
          <w:rPr>
            <w:noProof/>
            <w:webHidden/>
          </w:rPr>
          <w:t>71</w:t>
        </w:r>
        <w:r>
          <w:rPr>
            <w:noProof/>
            <w:webHidden/>
          </w:rPr>
          <w:fldChar w:fldCharType="end"/>
        </w:r>
      </w:hyperlink>
    </w:p>
    <w:p w:rsidR="00101F1B" w:rsidRDefault="00101F1B" w14:paraId="08F1235F" w14:textId="36CDA466">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85">
        <w:r w:rsidRPr="00C13D83">
          <w:rPr>
            <w:rStyle w:val="Hyperlink"/>
            <w:noProof/>
          </w:rPr>
          <w:t>Table 10: Occupations needed for broadband deployment</w:t>
        </w:r>
        <w:r>
          <w:rPr>
            <w:noProof/>
            <w:webHidden/>
          </w:rPr>
          <w:tab/>
        </w:r>
        <w:r>
          <w:rPr>
            <w:noProof/>
            <w:webHidden/>
          </w:rPr>
          <w:fldChar w:fldCharType="begin"/>
        </w:r>
        <w:r>
          <w:rPr>
            <w:noProof/>
            <w:webHidden/>
          </w:rPr>
          <w:instrText xml:space="preserve"> PAGEREF _Toc150852785 \h </w:instrText>
        </w:r>
        <w:r>
          <w:rPr>
            <w:noProof/>
            <w:webHidden/>
          </w:rPr>
        </w:r>
        <w:r>
          <w:rPr>
            <w:noProof/>
            <w:webHidden/>
          </w:rPr>
          <w:fldChar w:fldCharType="separate"/>
        </w:r>
        <w:r>
          <w:rPr>
            <w:noProof/>
            <w:webHidden/>
          </w:rPr>
          <w:t>73</w:t>
        </w:r>
        <w:r>
          <w:rPr>
            <w:noProof/>
            <w:webHidden/>
          </w:rPr>
          <w:fldChar w:fldCharType="end"/>
        </w:r>
      </w:hyperlink>
    </w:p>
    <w:p w:rsidR="00101F1B" w:rsidRDefault="00101F1B" w14:paraId="25E697EE" w14:textId="608CEC0F">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86">
        <w:r w:rsidRPr="00C13D83">
          <w:rPr>
            <w:rStyle w:val="Hyperlink"/>
            <w:noProof/>
          </w:rPr>
          <w:t>Table 11: Characteristics of key occupations impacted by broadband investment</w:t>
        </w:r>
        <w:r>
          <w:rPr>
            <w:noProof/>
            <w:webHidden/>
          </w:rPr>
          <w:tab/>
        </w:r>
        <w:r>
          <w:rPr>
            <w:noProof/>
            <w:webHidden/>
          </w:rPr>
          <w:fldChar w:fldCharType="begin"/>
        </w:r>
        <w:r>
          <w:rPr>
            <w:noProof/>
            <w:webHidden/>
          </w:rPr>
          <w:instrText xml:space="preserve"> PAGEREF _Toc150852786 \h </w:instrText>
        </w:r>
        <w:r>
          <w:rPr>
            <w:noProof/>
            <w:webHidden/>
          </w:rPr>
        </w:r>
        <w:r>
          <w:rPr>
            <w:noProof/>
            <w:webHidden/>
          </w:rPr>
          <w:fldChar w:fldCharType="separate"/>
        </w:r>
        <w:r>
          <w:rPr>
            <w:noProof/>
            <w:webHidden/>
          </w:rPr>
          <w:t>74</w:t>
        </w:r>
        <w:r>
          <w:rPr>
            <w:noProof/>
            <w:webHidden/>
          </w:rPr>
          <w:fldChar w:fldCharType="end"/>
        </w:r>
      </w:hyperlink>
    </w:p>
    <w:p w:rsidR="00101F1B" w:rsidRDefault="00101F1B" w14:paraId="1A5F4F15" w14:textId="42109EE6">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87">
        <w:r w:rsidRPr="00C13D83">
          <w:rPr>
            <w:rStyle w:val="Hyperlink"/>
            <w:noProof/>
          </w:rPr>
          <w:t>Table 12: Work experience of occupations impacted by broadband investment</w:t>
        </w:r>
        <w:r>
          <w:rPr>
            <w:noProof/>
            <w:webHidden/>
          </w:rPr>
          <w:tab/>
        </w:r>
        <w:r>
          <w:rPr>
            <w:noProof/>
            <w:webHidden/>
          </w:rPr>
          <w:fldChar w:fldCharType="begin"/>
        </w:r>
        <w:r>
          <w:rPr>
            <w:noProof/>
            <w:webHidden/>
          </w:rPr>
          <w:instrText xml:space="preserve"> PAGEREF _Toc150852787 \h </w:instrText>
        </w:r>
        <w:r>
          <w:rPr>
            <w:noProof/>
            <w:webHidden/>
          </w:rPr>
        </w:r>
        <w:r>
          <w:rPr>
            <w:noProof/>
            <w:webHidden/>
          </w:rPr>
          <w:fldChar w:fldCharType="separate"/>
        </w:r>
        <w:r>
          <w:rPr>
            <w:noProof/>
            <w:webHidden/>
          </w:rPr>
          <w:t>75</w:t>
        </w:r>
        <w:r>
          <w:rPr>
            <w:noProof/>
            <w:webHidden/>
          </w:rPr>
          <w:fldChar w:fldCharType="end"/>
        </w:r>
      </w:hyperlink>
    </w:p>
    <w:p w:rsidR="00101F1B" w:rsidRDefault="00101F1B" w14:paraId="55698AA4" w14:textId="721ABBA6">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88">
        <w:r w:rsidRPr="00C13D83">
          <w:rPr>
            <w:rStyle w:val="Hyperlink"/>
            <w:noProof/>
          </w:rPr>
          <w:t>Table 13: Unemployment for occupations impacted by broadband investment</w:t>
        </w:r>
        <w:r>
          <w:rPr>
            <w:noProof/>
            <w:webHidden/>
          </w:rPr>
          <w:tab/>
        </w:r>
        <w:r>
          <w:rPr>
            <w:noProof/>
            <w:webHidden/>
          </w:rPr>
          <w:fldChar w:fldCharType="begin"/>
        </w:r>
        <w:r>
          <w:rPr>
            <w:noProof/>
            <w:webHidden/>
          </w:rPr>
          <w:instrText xml:space="preserve"> PAGEREF _Toc150852788 \h </w:instrText>
        </w:r>
        <w:r>
          <w:rPr>
            <w:noProof/>
            <w:webHidden/>
          </w:rPr>
        </w:r>
        <w:r>
          <w:rPr>
            <w:noProof/>
            <w:webHidden/>
          </w:rPr>
          <w:fldChar w:fldCharType="separate"/>
        </w:r>
        <w:r>
          <w:rPr>
            <w:noProof/>
            <w:webHidden/>
          </w:rPr>
          <w:t>77</w:t>
        </w:r>
        <w:r>
          <w:rPr>
            <w:noProof/>
            <w:webHidden/>
          </w:rPr>
          <w:fldChar w:fldCharType="end"/>
        </w:r>
      </w:hyperlink>
    </w:p>
    <w:p w:rsidR="00101F1B" w:rsidRDefault="00101F1B" w14:paraId="4CF8AC00" w14:textId="6485E42D">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89">
        <w:r w:rsidRPr="00C13D83">
          <w:rPr>
            <w:rStyle w:val="Hyperlink"/>
            <w:noProof/>
          </w:rPr>
          <w:t>Table 14: Occupations impacted by broadband investment, job postings vs. hires (2022)</w:t>
        </w:r>
        <w:r>
          <w:rPr>
            <w:noProof/>
            <w:webHidden/>
          </w:rPr>
          <w:tab/>
        </w:r>
        <w:r>
          <w:rPr>
            <w:noProof/>
            <w:webHidden/>
          </w:rPr>
          <w:fldChar w:fldCharType="begin"/>
        </w:r>
        <w:r>
          <w:rPr>
            <w:noProof/>
            <w:webHidden/>
          </w:rPr>
          <w:instrText xml:space="preserve"> PAGEREF _Toc150852789 \h </w:instrText>
        </w:r>
        <w:r>
          <w:rPr>
            <w:noProof/>
            <w:webHidden/>
          </w:rPr>
        </w:r>
        <w:r>
          <w:rPr>
            <w:noProof/>
            <w:webHidden/>
          </w:rPr>
          <w:fldChar w:fldCharType="separate"/>
        </w:r>
        <w:r>
          <w:rPr>
            <w:noProof/>
            <w:webHidden/>
          </w:rPr>
          <w:t>78</w:t>
        </w:r>
        <w:r>
          <w:rPr>
            <w:noProof/>
            <w:webHidden/>
          </w:rPr>
          <w:fldChar w:fldCharType="end"/>
        </w:r>
      </w:hyperlink>
    </w:p>
    <w:p w:rsidR="00101F1B" w:rsidRDefault="00101F1B" w14:paraId="7AEB6C3D" w14:textId="1B24D75A">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90">
        <w:r w:rsidRPr="00C13D83">
          <w:rPr>
            <w:rStyle w:val="Hyperlink"/>
            <w:noProof/>
          </w:rPr>
          <w:t>Table 15: Broadband workforce training programs at public higher education institutions</w:t>
        </w:r>
        <w:r>
          <w:rPr>
            <w:noProof/>
            <w:webHidden/>
          </w:rPr>
          <w:tab/>
        </w:r>
        <w:r>
          <w:rPr>
            <w:noProof/>
            <w:webHidden/>
          </w:rPr>
          <w:fldChar w:fldCharType="begin"/>
        </w:r>
        <w:r>
          <w:rPr>
            <w:noProof/>
            <w:webHidden/>
          </w:rPr>
          <w:instrText xml:space="preserve"> PAGEREF _Toc150852790 \h </w:instrText>
        </w:r>
        <w:r>
          <w:rPr>
            <w:noProof/>
            <w:webHidden/>
          </w:rPr>
        </w:r>
        <w:r>
          <w:rPr>
            <w:noProof/>
            <w:webHidden/>
          </w:rPr>
          <w:fldChar w:fldCharType="separate"/>
        </w:r>
        <w:r>
          <w:rPr>
            <w:noProof/>
            <w:webHidden/>
          </w:rPr>
          <w:t>79</w:t>
        </w:r>
        <w:r>
          <w:rPr>
            <w:noProof/>
            <w:webHidden/>
          </w:rPr>
          <w:fldChar w:fldCharType="end"/>
        </w:r>
      </w:hyperlink>
    </w:p>
    <w:p w:rsidR="00101F1B" w:rsidRDefault="00101F1B" w14:paraId="34A4641C" w14:textId="579D143D">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91">
        <w:r w:rsidRPr="00C13D83">
          <w:rPr>
            <w:rStyle w:val="Hyperlink"/>
            <w:noProof/>
          </w:rPr>
          <w:t>Table 16: U.S. labor laws noted in the BEAD NOFO</w:t>
        </w:r>
        <w:r>
          <w:rPr>
            <w:noProof/>
            <w:webHidden/>
          </w:rPr>
          <w:tab/>
        </w:r>
        <w:r>
          <w:rPr>
            <w:noProof/>
            <w:webHidden/>
          </w:rPr>
          <w:fldChar w:fldCharType="begin"/>
        </w:r>
        <w:r>
          <w:rPr>
            <w:noProof/>
            <w:webHidden/>
          </w:rPr>
          <w:instrText xml:space="preserve"> PAGEREF _Toc150852791 \h </w:instrText>
        </w:r>
        <w:r>
          <w:rPr>
            <w:noProof/>
            <w:webHidden/>
          </w:rPr>
        </w:r>
        <w:r>
          <w:rPr>
            <w:noProof/>
            <w:webHidden/>
          </w:rPr>
          <w:fldChar w:fldCharType="separate"/>
        </w:r>
        <w:r>
          <w:rPr>
            <w:noProof/>
            <w:webHidden/>
          </w:rPr>
          <w:t>86</w:t>
        </w:r>
        <w:r>
          <w:rPr>
            <w:noProof/>
            <w:webHidden/>
          </w:rPr>
          <w:fldChar w:fldCharType="end"/>
        </w:r>
      </w:hyperlink>
    </w:p>
    <w:p w:rsidR="00101F1B" w:rsidRDefault="00101F1B" w14:paraId="21A15B11" w14:textId="534F4657">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92">
        <w:r w:rsidRPr="00C13D83">
          <w:rPr>
            <w:rStyle w:val="Hyperlink"/>
            <w:noProof/>
          </w:rPr>
          <w:t>Table 17: Estimated economic effects of investing $1.68 billion in broadband construction</w:t>
        </w:r>
        <w:r>
          <w:rPr>
            <w:noProof/>
            <w:webHidden/>
          </w:rPr>
          <w:tab/>
        </w:r>
        <w:r>
          <w:rPr>
            <w:noProof/>
            <w:webHidden/>
          </w:rPr>
          <w:fldChar w:fldCharType="begin"/>
        </w:r>
        <w:r>
          <w:rPr>
            <w:noProof/>
            <w:webHidden/>
          </w:rPr>
          <w:instrText xml:space="preserve"> PAGEREF _Toc150852792 \h </w:instrText>
        </w:r>
        <w:r>
          <w:rPr>
            <w:noProof/>
            <w:webHidden/>
          </w:rPr>
        </w:r>
        <w:r>
          <w:rPr>
            <w:noProof/>
            <w:webHidden/>
          </w:rPr>
          <w:fldChar w:fldCharType="separate"/>
        </w:r>
        <w:r>
          <w:rPr>
            <w:noProof/>
            <w:webHidden/>
          </w:rPr>
          <w:t>92</w:t>
        </w:r>
        <w:r>
          <w:rPr>
            <w:noProof/>
            <w:webHidden/>
          </w:rPr>
          <w:fldChar w:fldCharType="end"/>
        </w:r>
      </w:hyperlink>
    </w:p>
    <w:p w:rsidR="00101F1B" w:rsidRDefault="00101F1B" w14:paraId="462F6D4C" w14:textId="513AB99C">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93">
        <w:r w:rsidRPr="00C13D83">
          <w:rPr>
            <w:rStyle w:val="Hyperlink"/>
            <w:noProof/>
          </w:rPr>
          <w:t>Table 18: Estimated economic effects of investing $1.9 billion in broadband construction</w:t>
        </w:r>
        <w:r>
          <w:rPr>
            <w:noProof/>
            <w:webHidden/>
          </w:rPr>
          <w:tab/>
        </w:r>
        <w:r>
          <w:rPr>
            <w:noProof/>
            <w:webHidden/>
          </w:rPr>
          <w:fldChar w:fldCharType="begin"/>
        </w:r>
        <w:r>
          <w:rPr>
            <w:noProof/>
            <w:webHidden/>
          </w:rPr>
          <w:instrText xml:space="preserve"> PAGEREF _Toc150852793 \h </w:instrText>
        </w:r>
        <w:r>
          <w:rPr>
            <w:noProof/>
            <w:webHidden/>
          </w:rPr>
        </w:r>
        <w:r>
          <w:rPr>
            <w:noProof/>
            <w:webHidden/>
          </w:rPr>
          <w:fldChar w:fldCharType="separate"/>
        </w:r>
        <w:r>
          <w:rPr>
            <w:noProof/>
            <w:webHidden/>
          </w:rPr>
          <w:t>92</w:t>
        </w:r>
        <w:r>
          <w:rPr>
            <w:noProof/>
            <w:webHidden/>
          </w:rPr>
          <w:fldChar w:fldCharType="end"/>
        </w:r>
      </w:hyperlink>
    </w:p>
    <w:p w:rsidR="00101F1B" w:rsidRDefault="00101F1B" w14:paraId="2480D973" w14:textId="2E31DFAC">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94">
        <w:r w:rsidRPr="00C13D83">
          <w:rPr>
            <w:rStyle w:val="Hyperlink"/>
            <w:noProof/>
          </w:rPr>
          <w:t>Table 19: Threats to infrastructure posed by weather risks</w:t>
        </w:r>
        <w:r>
          <w:rPr>
            <w:noProof/>
            <w:webHidden/>
          </w:rPr>
          <w:tab/>
        </w:r>
        <w:r>
          <w:rPr>
            <w:noProof/>
            <w:webHidden/>
          </w:rPr>
          <w:fldChar w:fldCharType="begin"/>
        </w:r>
        <w:r>
          <w:rPr>
            <w:noProof/>
            <w:webHidden/>
          </w:rPr>
          <w:instrText xml:space="preserve"> PAGEREF _Toc150852794 \h </w:instrText>
        </w:r>
        <w:r>
          <w:rPr>
            <w:noProof/>
            <w:webHidden/>
          </w:rPr>
        </w:r>
        <w:r>
          <w:rPr>
            <w:noProof/>
            <w:webHidden/>
          </w:rPr>
          <w:fldChar w:fldCharType="separate"/>
        </w:r>
        <w:r>
          <w:rPr>
            <w:noProof/>
            <w:webHidden/>
          </w:rPr>
          <w:t>138</w:t>
        </w:r>
        <w:r>
          <w:rPr>
            <w:noProof/>
            <w:webHidden/>
          </w:rPr>
          <w:fldChar w:fldCharType="end"/>
        </w:r>
      </w:hyperlink>
    </w:p>
    <w:p w:rsidR="00101F1B" w:rsidRDefault="00101F1B" w14:paraId="7E22C646" w14:textId="696DACDC">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95">
        <w:r w:rsidRPr="00C13D83">
          <w:rPr>
            <w:rStyle w:val="Hyperlink"/>
            <w:noProof/>
          </w:rPr>
          <w:t>Table 20: Planned use of funds requested</w:t>
        </w:r>
        <w:r>
          <w:rPr>
            <w:noProof/>
            <w:webHidden/>
          </w:rPr>
          <w:tab/>
        </w:r>
        <w:r>
          <w:rPr>
            <w:noProof/>
            <w:webHidden/>
          </w:rPr>
          <w:fldChar w:fldCharType="begin"/>
        </w:r>
        <w:r>
          <w:rPr>
            <w:noProof/>
            <w:webHidden/>
          </w:rPr>
          <w:instrText xml:space="preserve"> PAGEREF _Toc150852795 \h </w:instrText>
        </w:r>
        <w:r>
          <w:rPr>
            <w:noProof/>
            <w:webHidden/>
          </w:rPr>
        </w:r>
        <w:r>
          <w:rPr>
            <w:noProof/>
            <w:webHidden/>
          </w:rPr>
          <w:fldChar w:fldCharType="separate"/>
        </w:r>
        <w:r>
          <w:rPr>
            <w:noProof/>
            <w:webHidden/>
          </w:rPr>
          <w:t>152</w:t>
        </w:r>
        <w:r>
          <w:rPr>
            <w:noProof/>
            <w:webHidden/>
          </w:rPr>
          <w:fldChar w:fldCharType="end"/>
        </w:r>
      </w:hyperlink>
    </w:p>
    <w:p w:rsidR="00101F1B" w:rsidRDefault="00101F1B" w14:paraId="171D5FCC" w14:textId="7CBB4E73">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96">
        <w:r w:rsidRPr="00C13D83">
          <w:rPr>
            <w:rStyle w:val="Hyperlink"/>
            <w:noProof/>
          </w:rPr>
          <w:t>Table 21: Alabama laws imposing requirements on certain public sector providers</w:t>
        </w:r>
        <w:r>
          <w:rPr>
            <w:noProof/>
            <w:webHidden/>
          </w:rPr>
          <w:tab/>
        </w:r>
        <w:r>
          <w:rPr>
            <w:noProof/>
            <w:webHidden/>
          </w:rPr>
          <w:fldChar w:fldCharType="begin"/>
        </w:r>
        <w:r>
          <w:rPr>
            <w:noProof/>
            <w:webHidden/>
          </w:rPr>
          <w:instrText xml:space="preserve"> PAGEREF _Toc150852796 \h </w:instrText>
        </w:r>
        <w:r>
          <w:rPr>
            <w:noProof/>
            <w:webHidden/>
          </w:rPr>
        </w:r>
        <w:r>
          <w:rPr>
            <w:noProof/>
            <w:webHidden/>
          </w:rPr>
          <w:fldChar w:fldCharType="separate"/>
        </w:r>
        <w:r>
          <w:rPr>
            <w:noProof/>
            <w:webHidden/>
          </w:rPr>
          <w:t>156</w:t>
        </w:r>
        <w:r>
          <w:rPr>
            <w:noProof/>
            <w:webHidden/>
          </w:rPr>
          <w:fldChar w:fldCharType="end"/>
        </w:r>
      </w:hyperlink>
    </w:p>
    <w:p w:rsidR="00101F1B" w:rsidRDefault="00101F1B" w14:paraId="5CF0CC08" w14:textId="2E9102FD">
      <w:pPr>
        <w:pStyle w:val="TableofFigures"/>
        <w:tabs>
          <w:tab w:val="right" w:leader="dot" w:pos="9350"/>
        </w:tabs>
        <w:rPr>
          <w:rFonts w:asciiTheme="minorHAnsi" w:hAnsiTheme="minorHAnsi" w:cstheme="minorBidi"/>
          <w:b w:val="0"/>
          <w:bCs w:val="0"/>
          <w:noProof/>
          <w:kern w:val="2"/>
          <w:sz w:val="22"/>
          <w:szCs w:val="22"/>
          <w14:ligatures w14:val="standardContextual"/>
        </w:rPr>
      </w:pPr>
      <w:hyperlink w:history="1" w:anchor="_Toc150852797">
        <w:r w:rsidRPr="00C13D83">
          <w:rPr>
            <w:rStyle w:val="Hyperlink"/>
            <w:noProof/>
          </w:rPr>
          <w:t>Table 22: Summary of subgrantee selection process documents and milestones</w:t>
        </w:r>
        <w:r>
          <w:rPr>
            <w:noProof/>
            <w:webHidden/>
          </w:rPr>
          <w:tab/>
        </w:r>
        <w:r>
          <w:rPr>
            <w:noProof/>
            <w:webHidden/>
          </w:rPr>
          <w:fldChar w:fldCharType="begin"/>
        </w:r>
        <w:r>
          <w:rPr>
            <w:noProof/>
            <w:webHidden/>
          </w:rPr>
          <w:instrText xml:space="preserve"> PAGEREF _Toc150852797 \h </w:instrText>
        </w:r>
        <w:r>
          <w:rPr>
            <w:noProof/>
            <w:webHidden/>
          </w:rPr>
        </w:r>
        <w:r>
          <w:rPr>
            <w:noProof/>
            <w:webHidden/>
          </w:rPr>
          <w:fldChar w:fldCharType="separate"/>
        </w:r>
        <w:r>
          <w:rPr>
            <w:noProof/>
            <w:webHidden/>
          </w:rPr>
          <w:t>167</w:t>
        </w:r>
        <w:r>
          <w:rPr>
            <w:noProof/>
            <w:webHidden/>
          </w:rPr>
          <w:fldChar w:fldCharType="end"/>
        </w:r>
      </w:hyperlink>
    </w:p>
    <w:p w:rsidR="00333C81" w:rsidP="006A5670" w:rsidRDefault="00333C81" w14:paraId="30A5C560" w14:textId="1CD02E38">
      <w:r>
        <w:fldChar w:fldCharType="end"/>
      </w:r>
    </w:p>
    <w:p w:rsidR="00333C81" w:rsidP="006A5670" w:rsidRDefault="00333C81" w14:paraId="40CFF613" w14:textId="77777777"/>
    <w:p w:rsidR="00333C81" w:rsidP="006A5670" w:rsidRDefault="00333C81" w14:paraId="45B20AA8" w14:textId="46617984">
      <w:pPr>
        <w:sectPr w:rsidR="00333C81" w:rsidSect="002E34B4">
          <w:footerReference w:type="default" r:id="rId14"/>
          <w:pgSz w:w="12240" w:h="15840"/>
          <w:pgMar w:top="1440" w:right="1440" w:bottom="1440" w:left="1440" w:header="720" w:footer="720" w:gutter="0"/>
          <w:pgNumType w:fmt="lowerRoman" w:start="1"/>
          <w:cols w:space="720"/>
          <w:titlePg/>
          <w:docGrid w:linePitch="360"/>
        </w:sectPr>
      </w:pPr>
    </w:p>
    <w:p w:rsidRPr="00D12A70" w:rsidR="00717B01" w:rsidP="006A5670" w:rsidRDefault="009616E7" w14:paraId="39E016A7" w14:textId="779E4DB6">
      <w:pPr>
        <w:pStyle w:val="Heading1"/>
      </w:pPr>
      <w:bookmarkStart w:name="_nji1aprlsjd1" w:colFirst="0" w:colLast="0" w:id="1"/>
      <w:bookmarkStart w:name="_lxw93592x38n" w:colFirst="0" w:colLast="0" w:id="2"/>
      <w:bookmarkStart w:name="_avmh7ku8ai6s" w:colFirst="0" w:colLast="0" w:id="3"/>
      <w:bookmarkStart w:name="_isvvvpjjkr9w" w:colFirst="0" w:colLast="0" w:id="4"/>
      <w:bookmarkStart w:name="_hkp1951eihsv" w:colFirst="0" w:colLast="0" w:id="5"/>
      <w:bookmarkStart w:name="_1bsgoeau47vx" w:colFirst="0" w:colLast="0" w:id="6"/>
      <w:bookmarkStart w:name="_qhjbq69w5ih3" w:colFirst="0" w:colLast="0" w:id="7"/>
      <w:bookmarkStart w:name="_6atg6czekhfw" w:colFirst="0" w:colLast="0" w:id="8"/>
      <w:bookmarkStart w:name="_j90zy1k7lzch" w:colFirst="0" w:colLast="0" w:id="9"/>
      <w:bookmarkStart w:name="_gp31qkuzq3tj" w:colFirst="0" w:colLast="0" w:id="10"/>
      <w:bookmarkStart w:name="_Toc150852611" w:id="11"/>
      <w:bookmarkEnd w:id="1"/>
      <w:bookmarkEnd w:id="2"/>
      <w:bookmarkEnd w:id="3"/>
      <w:bookmarkEnd w:id="4"/>
      <w:bookmarkEnd w:id="5"/>
      <w:bookmarkEnd w:id="6"/>
      <w:bookmarkEnd w:id="7"/>
      <w:bookmarkEnd w:id="8"/>
      <w:bookmarkEnd w:id="9"/>
      <w:bookmarkEnd w:id="10"/>
      <w:r>
        <w:t>Introduction</w:t>
      </w:r>
      <w:bookmarkEnd w:id="11"/>
    </w:p>
    <w:p w:rsidRPr="008E62EE" w:rsidR="00B51CB0" w:rsidP="008E62EE" w:rsidRDefault="00717B01" w14:paraId="43597EE3" w14:textId="666D573E">
      <w:r w:rsidRPr="00140784">
        <w:t xml:space="preserve">ADECA, the Eligible Entity for the State of Alabama, is pleased to present this </w:t>
      </w:r>
      <w:r w:rsidRPr="00140784" w:rsidR="007B5DDF">
        <w:t xml:space="preserve">second volume of the </w:t>
      </w:r>
      <w:r w:rsidRPr="00140784" w:rsidR="004E4C57">
        <w:t>BEAD Initial Proposal</w:t>
      </w:r>
      <w:r w:rsidRPr="00140784" w:rsidR="005C5B3C">
        <w:t>,</w:t>
      </w:r>
      <w:r w:rsidRPr="00140784">
        <w:t xml:space="preserve"> which </w:t>
      </w:r>
      <w:r w:rsidRPr="00140784" w:rsidR="005C5B3C">
        <w:t>includes</w:t>
      </w:r>
      <w:r w:rsidRPr="00140784">
        <w:t xml:space="preserve"> </w:t>
      </w:r>
      <w:r w:rsidRPr="00140784" w:rsidR="00670737">
        <w:t xml:space="preserve">all of the requirements </w:t>
      </w:r>
      <w:r w:rsidRPr="00140784" w:rsidR="00200F0B">
        <w:t xml:space="preserve">established by </w:t>
      </w:r>
      <w:r w:rsidRPr="00140784" w:rsidR="005C5B3C">
        <w:t xml:space="preserve">NTIA in the BEAD </w:t>
      </w:r>
      <w:r w:rsidRPr="00140784" w:rsidR="00200F0B">
        <w:t>Notice of Funding Opportunity (</w:t>
      </w:r>
      <w:r w:rsidRPr="00140784" w:rsidR="005C5B3C">
        <w:t xml:space="preserve">BEAD </w:t>
      </w:r>
      <w:r w:rsidRPr="00140784" w:rsidR="00200F0B">
        <w:t>NOFO)</w:t>
      </w:r>
      <w:r w:rsidRPr="00140784">
        <w:t>.</w:t>
      </w:r>
      <w:r w:rsidRPr="00140784" w:rsidR="005C5B3C">
        <w:rPr>
          <w:rStyle w:val="FootnoteReference"/>
        </w:rPr>
        <w:footnoteReference w:id="2"/>
      </w:r>
      <w:r w:rsidRPr="00140784" w:rsidR="00C61088">
        <w:t xml:space="preserve"> </w:t>
      </w:r>
      <w:r w:rsidRPr="00140784" w:rsidR="00A00EA9">
        <w:t>ADECA</w:t>
      </w:r>
      <w:r w:rsidRPr="00140784" w:rsidR="00C61088">
        <w:t xml:space="preserve"> reserves the right to update this </w:t>
      </w:r>
      <w:r w:rsidRPr="00140784" w:rsidR="00C7069D">
        <w:t>Initial Proposal</w:t>
      </w:r>
      <w:r w:rsidRPr="00140784" w:rsidR="00C61088">
        <w:t xml:space="preserve"> </w:t>
      </w:r>
      <w:r w:rsidRPr="00140784" w:rsidR="00A00EA9">
        <w:t xml:space="preserve">Volume 2 in response to comments received </w:t>
      </w:r>
      <w:r w:rsidRPr="00140784" w:rsidR="00C61088">
        <w:t>or additional guidance from NTIA.</w:t>
      </w:r>
      <w:r w:rsidRPr="00140784" w:rsidR="00B51CB0">
        <w:t xml:space="preserve"> In addition,</w:t>
      </w:r>
      <w:r w:rsidRPr="00140784" w:rsidR="00140784">
        <w:t xml:space="preserve"> </w:t>
      </w:r>
      <w:r w:rsidRPr="008E62EE" w:rsidR="00B51CB0">
        <w:rPr>
          <w:rFonts w:eastAsia="Calibri" w:cs="Calibri"/>
        </w:rPr>
        <w:t xml:space="preserve">ADECA would like to avail subgrantees of the 2 C.F.R. Part 200 exceptions and adjustments NTIA applies in the BEAD </w:t>
      </w:r>
      <w:r w:rsidR="00AE1818">
        <w:rPr>
          <w:rFonts w:eastAsia="Calibri" w:cs="Calibri"/>
        </w:rPr>
        <w:t>P</w:t>
      </w:r>
      <w:r w:rsidRPr="008E62EE" w:rsidR="00B51CB0">
        <w:rPr>
          <w:rFonts w:eastAsia="Calibri" w:cs="Calibri"/>
        </w:rPr>
        <w:t>rogram. Should any revisions to this Initial Proposal be needed to accomplish this, ADECA would like an opportunity to make those revisions.</w:t>
      </w:r>
      <w:r w:rsidRPr="004C0560" w:rsidR="00B51CB0">
        <w:rPr>
          <w:rStyle w:val="CommentReference"/>
        </w:rPr>
      </w:r>
      <w:r w:rsidRPr="00140784" w:rsidR="00B51CB0">
        <w:rPr>
          <w:rStyle w:val="CommentReference"/>
        </w:rPr>
        <w:t xml:space="preserve"> </w:t>
      </w:r>
    </w:p>
    <w:p w:rsidR="00717B01" w:rsidP="006A5670" w:rsidRDefault="00717B01" w14:paraId="35F882F4" w14:textId="66EEC4C6">
      <w:r>
        <w:br w:type="page"/>
      </w:r>
    </w:p>
    <w:p w:rsidR="00717B01" w:rsidP="006A5670" w:rsidRDefault="001C363B" w14:paraId="0467F65E" w14:textId="465F4D52">
      <w:pPr>
        <w:pStyle w:val="Heading1"/>
      </w:pPr>
      <w:bookmarkStart w:name="_Toc150852612" w:id="12"/>
      <w:r>
        <w:t>Objectives (Requirement 1)</w:t>
      </w:r>
      <w:bookmarkEnd w:id="12"/>
    </w:p>
    <w:p w:rsidRPr="00367DC7" w:rsidR="00717B01" w:rsidP="006A5670" w:rsidRDefault="00717B01" w14:paraId="45DC42BA" w14:textId="3200C81C">
      <w:r w:rsidRPr="00367DC7">
        <w:t>The Alabama Connectivity Plan</w:t>
      </w:r>
      <w:r w:rsidR="00A86C40">
        <w:t>,</w:t>
      </w:r>
      <w:r w:rsidR="00A86C40">
        <w:rPr>
          <w:rStyle w:val="FootnoteReference"/>
        </w:rPr>
        <w:footnoteReference w:id="3"/>
      </w:r>
      <w:r w:rsidRPr="00367DC7">
        <w:t xml:space="preserve"> issued in </w:t>
      </w:r>
      <w:r>
        <w:t xml:space="preserve">December </w:t>
      </w:r>
      <w:r w:rsidRPr="00367DC7">
        <w:t>202</w:t>
      </w:r>
      <w:r>
        <w:t>1</w:t>
      </w:r>
      <w:r w:rsidRPr="00367DC7">
        <w:t xml:space="preserve"> </w:t>
      </w:r>
      <w:r w:rsidR="002244F2">
        <w:t>by the Alabama Digital Expansion Division</w:t>
      </w:r>
      <w:r w:rsidR="00022296">
        <w:t xml:space="preserve">, a </w:t>
      </w:r>
      <w:r w:rsidR="00B508CA">
        <w:t xml:space="preserve">division of ADECA, </w:t>
      </w:r>
      <w:r w:rsidRPr="00710B09">
        <w:t xml:space="preserve">was designed to align with the opportunities created by the federal Infrastructure Investment and Jobs Act (IIJA) broadband funding programs even </w:t>
      </w:r>
      <w:r>
        <w:t xml:space="preserve">before </w:t>
      </w:r>
      <w:r w:rsidRPr="00710B09">
        <w:t>the rules for those programs had been released by NTIA.</w:t>
      </w:r>
      <w:r>
        <w:t xml:space="preserve"> The </w:t>
      </w:r>
      <w:r w:rsidR="001C6EAD">
        <w:t>Alabama Connectivity</w:t>
      </w:r>
      <w:r>
        <w:t xml:space="preserve"> Plan </w:t>
      </w:r>
      <w:r w:rsidRPr="00367DC7">
        <w:t>states the following goals for achieving broadband connectivity for Alabamians:</w:t>
      </w:r>
    </w:p>
    <w:p w:rsidRPr="00B73198" w:rsidR="00717B01" w:rsidP="0051774F" w:rsidRDefault="00717B01" w14:paraId="2DF8BD87" w14:textId="77777777">
      <w:pPr>
        <w:pStyle w:val="ListParagraph"/>
        <w:numPr>
          <w:ilvl w:val="0"/>
          <w:numId w:val="6"/>
        </w:numPr>
        <w:spacing w:after="200"/>
      </w:pPr>
      <w:r w:rsidRPr="00B73198">
        <w:t>Facilitating the expansion of high-speed broadband</w:t>
      </w:r>
    </w:p>
    <w:p w:rsidRPr="00B73198" w:rsidR="00717B01" w:rsidP="0051774F" w:rsidRDefault="00717B01" w14:paraId="3A8BA35C" w14:textId="77777777">
      <w:pPr>
        <w:pStyle w:val="ListParagraph"/>
        <w:numPr>
          <w:ilvl w:val="0"/>
          <w:numId w:val="6"/>
        </w:numPr>
        <w:spacing w:after="200"/>
      </w:pPr>
      <w:r w:rsidRPr="00B73198">
        <w:t>Considering the need for broadband expansion in rural, underserved, and unserved areas</w:t>
      </w:r>
    </w:p>
    <w:p w:rsidRPr="00B73198" w:rsidR="00717B01" w:rsidP="0051774F" w:rsidRDefault="00717B01" w14:paraId="1A06C68F" w14:textId="77777777">
      <w:pPr>
        <w:pStyle w:val="ListParagraph"/>
        <w:numPr>
          <w:ilvl w:val="0"/>
          <w:numId w:val="6"/>
        </w:numPr>
        <w:spacing w:after="200"/>
      </w:pPr>
      <w:r w:rsidRPr="00B73198">
        <w:t>Addressing obstacles to broadband adoption</w:t>
      </w:r>
    </w:p>
    <w:p w:rsidRPr="00630FA6" w:rsidR="00717B01" w:rsidP="0051774F" w:rsidRDefault="00717B01" w14:paraId="10FC1007" w14:textId="77777777">
      <w:pPr>
        <w:pStyle w:val="ListParagraph"/>
        <w:numPr>
          <w:ilvl w:val="0"/>
          <w:numId w:val="6"/>
        </w:numPr>
        <w:spacing w:after="200"/>
      </w:pPr>
      <w:r w:rsidRPr="00B73198">
        <w:t>Developing funding strategies and plans for middle-mile and long-haul fiber, as well as last-mile infrastructure and services</w:t>
      </w:r>
    </w:p>
    <w:p w:rsidRPr="00A14B79" w:rsidR="00717B01" w:rsidP="00A14B79" w:rsidRDefault="00B023C0" w14:paraId="30FF993C" w14:textId="750E7BDE">
      <w:pPr>
        <w:pStyle w:val="paragraph"/>
        <w:spacing w:before="0" w:beforeAutospacing="0" w:after="200" w:afterAutospacing="0" w:line="276" w:lineRule="auto"/>
        <w:rPr>
          <w:rFonts w:ascii="Gill Sans MT" w:hAnsi="Gill Sans MT"/>
        </w:rPr>
      </w:pPr>
      <w:r w:rsidRPr="22AE1963">
        <w:rPr>
          <w:rStyle w:val="normaltextrun"/>
          <w:rFonts w:ascii="Gill Sans MT" w:hAnsi="Gill Sans MT" w:cs="Calibri"/>
        </w:rPr>
        <w:t xml:space="preserve">As </w:t>
      </w:r>
      <w:r w:rsidRPr="22AE1963" w:rsidR="00563D49">
        <w:rPr>
          <w:rStyle w:val="normaltextrun"/>
          <w:rFonts w:ascii="Gill Sans MT" w:hAnsi="Gill Sans MT" w:cs="Calibri"/>
        </w:rPr>
        <w:t>explained</w:t>
      </w:r>
      <w:r w:rsidRPr="22AE1963">
        <w:rPr>
          <w:rStyle w:val="normaltextrun"/>
          <w:rFonts w:ascii="Gill Sans MT" w:hAnsi="Gill Sans MT" w:cs="Calibri"/>
        </w:rPr>
        <w:t xml:space="preserve"> in ADECA’s </w:t>
      </w:r>
      <w:r w:rsidRPr="22AE1963" w:rsidR="00A741DE">
        <w:rPr>
          <w:rStyle w:val="normaltextrun"/>
          <w:rFonts w:ascii="Gill Sans MT" w:hAnsi="Gill Sans MT" w:cs="Calibri"/>
        </w:rPr>
        <w:t>Five-Year Action Plan for the BEAD Program,</w:t>
      </w:r>
      <w:r w:rsidR="00A741DE">
        <w:rPr>
          <w:rStyle w:val="FootnoteReference"/>
          <w:rFonts w:ascii="Gill Sans MT" w:hAnsi="Gill Sans MT" w:cs="Calibri"/>
        </w:rPr>
        <w:footnoteReference w:id="4"/>
      </w:r>
      <w:r w:rsidRPr="22AE1963" w:rsidR="00A741DE">
        <w:rPr>
          <w:rStyle w:val="normaltextrun"/>
          <w:rFonts w:ascii="Gill Sans MT" w:hAnsi="Gill Sans MT" w:cs="Calibri"/>
        </w:rPr>
        <w:t xml:space="preserve"> t</w:t>
      </w:r>
      <w:r w:rsidRPr="00A14B79" w:rsidR="00717B01">
        <w:rPr>
          <w:rStyle w:val="normaltextrun"/>
          <w:rFonts w:ascii="Gill Sans MT" w:hAnsi="Gill Sans MT" w:cs="Calibri"/>
        </w:rPr>
        <w:t xml:space="preserve">he </w:t>
      </w:r>
      <w:r w:rsidR="004625F1">
        <w:rPr>
          <w:rStyle w:val="normaltextrun"/>
          <w:rFonts w:ascii="Gill Sans MT" w:hAnsi="Gill Sans MT" w:cs="Calibri"/>
        </w:rPr>
        <w:t>s</w:t>
      </w:r>
      <w:r w:rsidRPr="00A14B79" w:rsidR="00717B01">
        <w:rPr>
          <w:rStyle w:val="normaltextrun"/>
          <w:rFonts w:ascii="Gill Sans MT" w:hAnsi="Gill Sans MT" w:cs="Calibri"/>
        </w:rPr>
        <w:t xml:space="preserve">tate’s primary objectives for broadband deployment </w:t>
      </w:r>
      <w:r w:rsidRPr="00A14B79" w:rsidR="0F3747D1">
        <w:rPr>
          <w:rStyle w:val="normaltextrun"/>
          <w:rFonts w:ascii="Gill Sans MT" w:hAnsi="Gill Sans MT" w:cs="Calibri"/>
        </w:rPr>
        <w:t xml:space="preserve">will enhance economic growth and job creation, and they </w:t>
      </w:r>
      <w:r w:rsidRPr="00A14B79" w:rsidR="00717B01">
        <w:rPr>
          <w:rStyle w:val="normaltextrun"/>
          <w:rFonts w:ascii="Gill Sans MT" w:hAnsi="Gill Sans MT" w:cs="Calibri"/>
        </w:rPr>
        <w:t>are aligned with the principal focus of the BEAD Program:</w:t>
      </w:r>
      <w:r w:rsidRPr="00A14B79" w:rsidR="00960AAB">
        <w:rPr>
          <w:rStyle w:val="FootnoteReference"/>
          <w:rFonts w:ascii="Gill Sans MT" w:hAnsi="Gill Sans MT" w:cs="Calibri"/>
        </w:rPr>
        <w:footnoteReference w:id="5"/>
      </w:r>
    </w:p>
    <w:p w:rsidRPr="00A14B79" w:rsidR="00717B01" w:rsidP="00B03822" w:rsidRDefault="00717B01" w14:paraId="58A67194" w14:textId="30DFBDA2">
      <w:pPr>
        <w:pStyle w:val="paragraph"/>
        <w:numPr>
          <w:ilvl w:val="0"/>
          <w:numId w:val="10"/>
        </w:numPr>
        <w:spacing w:before="0" w:beforeAutospacing="0" w:after="200" w:afterAutospacing="0" w:line="276" w:lineRule="auto"/>
        <w:rPr>
          <w:rFonts w:ascii="Gill Sans MT" w:hAnsi="Gill Sans MT"/>
        </w:rPr>
      </w:pPr>
      <w:r w:rsidRPr="00A14B79">
        <w:rPr>
          <w:rStyle w:val="normaltextrun"/>
          <w:rFonts w:ascii="Gill Sans MT" w:hAnsi="Gill Sans MT" w:cs="Calibri"/>
        </w:rPr>
        <w:t xml:space="preserve">Serving 100 percent of unserved locations (i.e., below 25/3 Mbps) </w:t>
      </w:r>
      <w:r w:rsidR="0032370F">
        <w:rPr>
          <w:rStyle w:val="normaltextrun"/>
          <w:rFonts w:ascii="Gill Sans MT" w:hAnsi="Gill Sans MT" w:cs="Calibri"/>
        </w:rPr>
        <w:t>with a minimum of 100/20 Mbps service</w:t>
      </w:r>
      <w:r w:rsidRPr="00A14B79">
        <w:rPr>
          <w:rStyle w:val="normaltextrun"/>
          <w:rFonts w:ascii="Gill Sans MT" w:hAnsi="Gill Sans MT" w:cs="Calibri"/>
        </w:rPr>
        <w:t xml:space="preserve"> within five years</w:t>
      </w:r>
      <w:r w:rsidRPr="00A14B79">
        <w:rPr>
          <w:rStyle w:val="eop"/>
          <w:rFonts w:ascii="Gill Sans MT" w:hAnsi="Gill Sans MT" w:cs="Calibri"/>
        </w:rPr>
        <w:t> </w:t>
      </w:r>
    </w:p>
    <w:p w:rsidRPr="00A14B79" w:rsidR="00717B01" w:rsidP="00B03822" w:rsidRDefault="00717B01" w14:paraId="0460325B" w14:textId="3A943874">
      <w:pPr>
        <w:pStyle w:val="paragraph"/>
        <w:numPr>
          <w:ilvl w:val="0"/>
          <w:numId w:val="10"/>
        </w:numPr>
        <w:spacing w:before="0" w:beforeAutospacing="0" w:after="200" w:afterAutospacing="0" w:line="276" w:lineRule="auto"/>
        <w:rPr>
          <w:rFonts w:ascii="Gill Sans MT" w:hAnsi="Gill Sans MT"/>
        </w:rPr>
      </w:pPr>
      <w:r w:rsidRPr="00A14B79">
        <w:rPr>
          <w:rStyle w:val="normaltextrun"/>
          <w:rFonts w:ascii="Gill Sans MT" w:hAnsi="Gill Sans MT" w:cs="Calibri"/>
        </w:rPr>
        <w:t xml:space="preserve">Serving 100 percent of underserved locations (i.e., between 25/3 </w:t>
      </w:r>
      <w:r w:rsidR="00AF2B9A">
        <w:rPr>
          <w:rStyle w:val="normaltextrun"/>
          <w:rFonts w:ascii="Gill Sans MT" w:hAnsi="Gill Sans MT" w:cs="Calibri"/>
        </w:rPr>
        <w:t xml:space="preserve">Mbps </w:t>
      </w:r>
      <w:r w:rsidRPr="00A14B79">
        <w:rPr>
          <w:rStyle w:val="normaltextrun"/>
          <w:rFonts w:ascii="Gill Sans MT" w:hAnsi="Gill Sans MT" w:cs="Calibri"/>
        </w:rPr>
        <w:t>and 100/20</w:t>
      </w:r>
      <w:r w:rsidR="00AF2B9A">
        <w:rPr>
          <w:rStyle w:val="normaltextrun"/>
          <w:rFonts w:ascii="Gill Sans MT" w:hAnsi="Gill Sans MT" w:cs="Calibri"/>
        </w:rPr>
        <w:t xml:space="preserve"> Mbps</w:t>
      </w:r>
      <w:r w:rsidRPr="00A14B79">
        <w:rPr>
          <w:rStyle w:val="normaltextrun"/>
          <w:rFonts w:ascii="Gill Sans MT" w:hAnsi="Gill Sans MT" w:cs="Calibri"/>
        </w:rPr>
        <w:t>)</w:t>
      </w:r>
      <w:r w:rsidR="002F4A72">
        <w:rPr>
          <w:rStyle w:val="normaltextrun"/>
          <w:rFonts w:ascii="Gill Sans MT" w:hAnsi="Gill Sans MT" w:cs="Calibri"/>
        </w:rPr>
        <w:t xml:space="preserve"> with a minimum of 100/20 Mbps service</w:t>
      </w:r>
      <w:r w:rsidRPr="00A14B79">
        <w:rPr>
          <w:rStyle w:val="normaltextrun"/>
          <w:rFonts w:ascii="Gill Sans MT" w:hAnsi="Gill Sans MT" w:cs="Calibri"/>
        </w:rPr>
        <w:t xml:space="preserve"> within five years</w:t>
      </w:r>
      <w:r w:rsidR="002F4A72">
        <w:rPr>
          <w:rStyle w:val="normaltextrun"/>
          <w:rFonts w:ascii="Gill Sans MT" w:hAnsi="Gill Sans MT" w:cs="Calibri"/>
        </w:rPr>
        <w:t xml:space="preserve"> (if sufficient funds are available)</w:t>
      </w:r>
      <w:r w:rsidRPr="00A14B79">
        <w:rPr>
          <w:rStyle w:val="eop"/>
          <w:rFonts w:ascii="Gill Sans MT" w:hAnsi="Gill Sans MT" w:cs="Calibri"/>
        </w:rPr>
        <w:t> </w:t>
      </w:r>
    </w:p>
    <w:p w:rsidRPr="00A14B79" w:rsidR="00717B01" w:rsidP="00B03822" w:rsidRDefault="00717B01" w14:paraId="79787CA3" w14:textId="0E42B667">
      <w:pPr>
        <w:pStyle w:val="paragraph"/>
        <w:numPr>
          <w:ilvl w:val="0"/>
          <w:numId w:val="10"/>
        </w:numPr>
        <w:spacing w:before="0" w:beforeAutospacing="0" w:after="200" w:afterAutospacing="0" w:line="276" w:lineRule="auto"/>
        <w:rPr>
          <w:rFonts w:ascii="Gill Sans MT" w:hAnsi="Gill Sans MT"/>
        </w:rPr>
      </w:pPr>
      <w:r w:rsidRPr="00A14B79">
        <w:rPr>
          <w:rStyle w:val="normaltextrun"/>
          <w:rFonts w:ascii="Gill Sans MT" w:hAnsi="Gill Sans MT" w:cs="Calibri"/>
        </w:rPr>
        <w:t xml:space="preserve">Delivering gigabit connections to community anchor institutions </w:t>
      </w:r>
      <w:r w:rsidRPr="00A14B79" w:rsidR="00997C67">
        <w:rPr>
          <w:rStyle w:val="normaltextrun"/>
          <w:rFonts w:ascii="Gill Sans MT" w:hAnsi="Gill Sans MT" w:cs="Calibri"/>
        </w:rPr>
        <w:t>(CAI</w:t>
      </w:r>
      <w:r w:rsidR="00602F65">
        <w:rPr>
          <w:rStyle w:val="normaltextrun"/>
          <w:rFonts w:ascii="Gill Sans MT" w:hAnsi="Gill Sans MT" w:cs="Calibri"/>
        </w:rPr>
        <w:t>s</w:t>
      </w:r>
      <w:r w:rsidRPr="00A14B79" w:rsidR="00997C67">
        <w:rPr>
          <w:rStyle w:val="normaltextrun"/>
          <w:rFonts w:ascii="Gill Sans MT" w:hAnsi="Gill Sans MT" w:cs="Calibri"/>
        </w:rPr>
        <w:t xml:space="preserve">) </w:t>
      </w:r>
      <w:r w:rsidRPr="00A14B79">
        <w:rPr>
          <w:rStyle w:val="normaltextrun"/>
          <w:rFonts w:ascii="Gill Sans MT" w:hAnsi="Gill Sans MT" w:cs="Calibri"/>
        </w:rPr>
        <w:t>that do not have that level of service within five years</w:t>
      </w:r>
      <w:r w:rsidR="00602F65">
        <w:rPr>
          <w:rStyle w:val="normaltextrun"/>
          <w:rFonts w:ascii="Gill Sans MT" w:hAnsi="Gill Sans MT" w:cs="Calibri"/>
        </w:rPr>
        <w:t xml:space="preserve"> (if sufficient funds are available)</w:t>
      </w:r>
      <w:r w:rsidRPr="00A14B79">
        <w:rPr>
          <w:rStyle w:val="eop"/>
          <w:rFonts w:ascii="Gill Sans MT" w:hAnsi="Gill Sans MT" w:cs="Calibri"/>
        </w:rPr>
        <w:t> </w:t>
      </w:r>
    </w:p>
    <w:p w:rsidR="00717B01" w:rsidP="006A5670" w:rsidRDefault="00717B01" w14:paraId="1E52602B" w14:textId="7FE0A1D7">
      <w:r w:rsidRPr="00710B09">
        <w:t>Informed by earlier strategic planning</w:t>
      </w:r>
      <w:r>
        <w:t xml:space="preserve"> and goals</w:t>
      </w:r>
      <w:r w:rsidRPr="00710B09">
        <w:t xml:space="preserve">, as well as by the comprehensive and ongoing outreach efforts described in </w:t>
      </w:r>
      <w:r w:rsidR="003C35E0">
        <w:t>the</w:t>
      </w:r>
      <w:r w:rsidR="00262B4E">
        <w:t xml:space="preserve"> Five-Year Action Plan and this Initial </w:t>
      </w:r>
      <w:r w:rsidRPr="00710B09">
        <w:t>P</w:t>
      </w:r>
      <w:r w:rsidR="002D6A92">
        <w:t>roposal</w:t>
      </w:r>
      <w:r w:rsidRPr="00710B09">
        <w:t xml:space="preserve">, the State of Alabama has identified the following </w:t>
      </w:r>
      <w:r w:rsidR="005247AB">
        <w:t xml:space="preserve">goals </w:t>
      </w:r>
      <w:r w:rsidR="009265D0">
        <w:t xml:space="preserve">and </w:t>
      </w:r>
      <w:r>
        <w:t>key objectives</w:t>
      </w:r>
      <w:r w:rsidRPr="00710B09">
        <w:t xml:space="preserve"> </w:t>
      </w:r>
      <w:r>
        <w:t xml:space="preserve">for achieving broadband </w:t>
      </w:r>
      <w:r w:rsidR="00294D32">
        <w:t xml:space="preserve">deployment </w:t>
      </w:r>
      <w:r>
        <w:t xml:space="preserve">and </w:t>
      </w:r>
      <w:r w:rsidDel="00330F08">
        <w:t xml:space="preserve">digital </w:t>
      </w:r>
      <w:r w:rsidR="00D76FB5">
        <w:t>o</w:t>
      </w:r>
      <w:r w:rsidR="00330F08">
        <w:t>pportunity</w:t>
      </w:r>
      <w:r w:rsidRPr="00710B09">
        <w:t>:</w:t>
      </w:r>
      <w:r>
        <w:t xml:space="preserve"> </w:t>
      </w:r>
    </w:p>
    <w:p w:rsidRPr="002849EB" w:rsidR="00C57618" w:rsidP="002849EB" w:rsidRDefault="00C57618" w14:paraId="5C32FB63" w14:textId="5B524A63">
      <w:pPr>
        <w:pStyle w:val="Caption"/>
      </w:pPr>
      <w:bookmarkStart w:name="_Toc150852776" w:id="13"/>
      <w:r w:rsidRPr="002849EB">
        <w:t xml:space="preserve">Table </w:t>
      </w:r>
      <w:r>
        <w:fldChar w:fldCharType="begin"/>
      </w:r>
      <w:r>
        <w:instrText>SEQ Table \* ARABIC</w:instrText>
      </w:r>
      <w:r>
        <w:fldChar w:fldCharType="separate"/>
      </w:r>
      <w:r w:rsidR="00444AF1">
        <w:rPr>
          <w:noProof/>
        </w:rPr>
        <w:t>1</w:t>
      </w:r>
      <w:r>
        <w:fldChar w:fldCharType="end"/>
      </w:r>
      <w:r w:rsidRPr="002849EB">
        <w:t xml:space="preserve">: </w:t>
      </w:r>
      <w:r w:rsidRPr="002849EB" w:rsidR="00554AAC">
        <w:t>State broadband goals and objectives</w:t>
      </w:r>
      <w:bookmarkEnd w:id="13"/>
    </w:p>
    <w:tbl>
      <w:tblPr>
        <w:tblStyle w:val="TableGrid"/>
        <w:tblW w:w="0" w:type="auto"/>
        <w:tblLook w:val="04A0" w:firstRow="1" w:lastRow="0" w:firstColumn="1" w:lastColumn="0" w:noHBand="0" w:noVBand="1"/>
      </w:tblPr>
      <w:tblGrid>
        <w:gridCol w:w="2155"/>
        <w:gridCol w:w="1710"/>
        <w:gridCol w:w="5485"/>
      </w:tblGrid>
      <w:tr w:rsidRPr="00717B01" w:rsidR="00717B01" w:rsidTr="00D141EA" w14:paraId="4840991B" w14:textId="77777777">
        <w:trPr>
          <w:tblHeader/>
        </w:trPr>
        <w:tc>
          <w:tcPr>
            <w:tcW w:w="2155" w:type="dxa"/>
            <w:tcBorders>
              <w:right w:val="single" w:color="FFFFFF" w:themeColor="background1" w:sz="4" w:space="0"/>
            </w:tcBorders>
            <w:shd w:val="clear" w:color="auto" w:fill="0A2458"/>
          </w:tcPr>
          <w:p w:rsidRPr="005D28FD" w:rsidR="00717B01" w:rsidP="00A14B79" w:rsidRDefault="00717B01" w14:paraId="59401B46" w14:textId="77777777">
            <w:pPr>
              <w:jc w:val="left"/>
            </w:pPr>
            <w:r w:rsidRPr="005D28FD">
              <w:t>Goal</w:t>
            </w:r>
          </w:p>
        </w:tc>
        <w:tc>
          <w:tcPr>
            <w:tcW w:w="1710" w:type="dxa"/>
            <w:tcBorders>
              <w:left w:val="single" w:color="FFFFFF" w:themeColor="background1" w:sz="4" w:space="0"/>
              <w:right w:val="single" w:color="FFFFFF" w:themeColor="background1" w:sz="4" w:space="0"/>
            </w:tcBorders>
            <w:shd w:val="clear" w:color="auto" w:fill="0A2458"/>
          </w:tcPr>
          <w:p w:rsidRPr="005D28FD" w:rsidR="00717B01" w:rsidP="00A14B79" w:rsidRDefault="00717B01" w14:paraId="0B633B7A" w14:textId="77777777">
            <w:pPr>
              <w:jc w:val="left"/>
            </w:pPr>
            <w:r w:rsidRPr="005D28FD">
              <w:t>Strategic areas</w:t>
            </w:r>
          </w:p>
        </w:tc>
        <w:tc>
          <w:tcPr>
            <w:tcW w:w="5485" w:type="dxa"/>
            <w:tcBorders>
              <w:left w:val="single" w:color="FFFFFF" w:themeColor="background1" w:sz="4" w:space="0"/>
            </w:tcBorders>
            <w:shd w:val="clear" w:color="auto" w:fill="0A2458"/>
          </w:tcPr>
          <w:p w:rsidRPr="005D28FD" w:rsidR="00717B01" w:rsidP="002849EB" w:rsidRDefault="00717B01" w14:paraId="78ED7223" w14:textId="77777777">
            <w:pPr>
              <w:jc w:val="left"/>
            </w:pPr>
            <w:r w:rsidRPr="005D28FD">
              <w:t>Key objectives</w:t>
            </w:r>
          </w:p>
        </w:tc>
      </w:tr>
      <w:tr w:rsidRPr="00717B01" w:rsidR="00717B01" w:rsidTr="001A42CC" w14:paraId="07554F6D" w14:textId="77777777">
        <w:trPr>
          <w:trHeight w:val="503"/>
        </w:trPr>
        <w:tc>
          <w:tcPr>
            <w:tcW w:w="2155" w:type="dxa"/>
          </w:tcPr>
          <w:p w:rsidRPr="005D28FD" w:rsidR="00717B01" w:rsidP="006956A9" w:rsidRDefault="00717B01" w14:paraId="713E8C54" w14:textId="77777777">
            <w:pPr>
              <w:widowControl/>
              <w:jc w:val="left"/>
            </w:pPr>
            <w:r w:rsidRPr="005D28FD">
              <w:t>Facilitate the expansion of high-speed broadband</w:t>
            </w:r>
          </w:p>
        </w:tc>
        <w:tc>
          <w:tcPr>
            <w:tcW w:w="1710" w:type="dxa"/>
          </w:tcPr>
          <w:p w:rsidRPr="005D28FD" w:rsidR="00717B01" w:rsidP="006956A9" w:rsidRDefault="00717B01" w14:paraId="079A6576" w14:textId="37C4DB34">
            <w:pPr>
              <w:widowControl/>
              <w:jc w:val="left"/>
            </w:pPr>
            <w:r w:rsidRPr="005D28FD">
              <w:t>Broadband availability</w:t>
            </w:r>
            <w:r w:rsidR="00727294">
              <w:t xml:space="preserve"> and access</w:t>
            </w:r>
          </w:p>
        </w:tc>
        <w:tc>
          <w:tcPr>
            <w:tcW w:w="5485" w:type="dxa"/>
          </w:tcPr>
          <w:p w:rsidRPr="005D28FD" w:rsidR="00717B01" w:rsidP="00EA22A3" w:rsidRDefault="00717B01" w14:paraId="4933058E" w14:textId="0D94A4CD">
            <w:pPr>
              <w:pStyle w:val="ListParagraph"/>
              <w:numPr>
                <w:ilvl w:val="0"/>
                <w:numId w:val="93"/>
              </w:numPr>
              <w:spacing w:after="200"/>
              <w:ind w:left="432"/>
              <w:jc w:val="left"/>
            </w:pPr>
            <w:r w:rsidRPr="005D28FD">
              <w:t>Develop plans to provide broadband access to all unserved and underserved Alabama residents regardless of location</w:t>
            </w:r>
            <w:r w:rsidR="00BE79D2">
              <w:t xml:space="preserve"> (if sufficient funds are available)</w:t>
            </w:r>
            <w:r w:rsidRPr="005D28FD">
              <w:t>.</w:t>
            </w:r>
          </w:p>
          <w:p w:rsidRPr="005D28FD" w:rsidR="00717B01" w:rsidP="00EA22A3" w:rsidRDefault="00717B01" w14:paraId="45690070" w14:textId="6108CA32">
            <w:pPr>
              <w:pStyle w:val="ListParagraph"/>
              <w:numPr>
                <w:ilvl w:val="0"/>
                <w:numId w:val="93"/>
              </w:numPr>
              <w:spacing w:after="200"/>
              <w:ind w:left="432"/>
              <w:jc w:val="left"/>
            </w:pPr>
            <w:r w:rsidRPr="005D28FD">
              <w:t xml:space="preserve">Develop grant programs for high-quality, future-proof middle-mile and last-mile fiber deployment in the </w:t>
            </w:r>
            <w:r w:rsidR="004625F1">
              <w:t>s</w:t>
            </w:r>
            <w:r w:rsidRPr="005D28FD">
              <w:t>tate with an emphasis on rural and unserved areas.</w:t>
            </w:r>
          </w:p>
          <w:p w:rsidRPr="005D28FD" w:rsidR="00717B01" w:rsidP="00EA22A3" w:rsidRDefault="00717B01" w14:paraId="68429915" w14:textId="6E13B9AA">
            <w:pPr>
              <w:pStyle w:val="ListParagraph"/>
              <w:numPr>
                <w:ilvl w:val="0"/>
                <w:numId w:val="93"/>
              </w:numPr>
              <w:spacing w:after="200"/>
              <w:ind w:left="432"/>
              <w:jc w:val="left"/>
            </w:pPr>
            <w:r w:rsidRPr="005D28FD">
              <w:t xml:space="preserve">Develop, maintain, and expand capacity of a </w:t>
            </w:r>
            <w:r w:rsidR="004625F1">
              <w:t>s</w:t>
            </w:r>
            <w:r w:rsidRPr="005D28FD">
              <w:t xml:space="preserve">tate broadband map that incorporates broadband service data for the public and in support of </w:t>
            </w:r>
            <w:r w:rsidR="00CF337E">
              <w:t>state grant programs</w:t>
            </w:r>
            <w:r w:rsidR="004A1180">
              <w:t>.</w:t>
            </w:r>
            <w:r w:rsidRPr="005D28FD">
              <w:rPr>
                <w:vertAlign w:val="superscript"/>
              </w:rPr>
              <w:footnoteReference w:id="6"/>
            </w:r>
          </w:p>
          <w:p w:rsidR="009E5135" w:rsidP="00EA22A3" w:rsidRDefault="00717B01" w14:paraId="02D46334" w14:textId="4F80E76F">
            <w:pPr>
              <w:pStyle w:val="ListParagraph"/>
              <w:numPr>
                <w:ilvl w:val="0"/>
                <w:numId w:val="93"/>
              </w:numPr>
              <w:spacing w:after="200"/>
              <w:ind w:left="432"/>
              <w:jc w:val="left"/>
            </w:pPr>
            <w:r w:rsidRPr="005D28FD">
              <w:t xml:space="preserve">Foster productive working relationships with internet service providers </w:t>
            </w:r>
            <w:r w:rsidR="00884919">
              <w:t xml:space="preserve">(ISPs) </w:t>
            </w:r>
            <w:r w:rsidRPr="005D28FD">
              <w:t xml:space="preserve">and other partners to support reliable, affordable, </w:t>
            </w:r>
            <w:r w:rsidR="009E5135">
              <w:t xml:space="preserve">and </w:t>
            </w:r>
            <w:r w:rsidRPr="005D28FD">
              <w:t>future-proof broadband access via financially sustainable networks.</w:t>
            </w:r>
          </w:p>
          <w:p w:rsidRPr="005D28FD" w:rsidR="00717B01" w:rsidP="004778D7" w:rsidRDefault="00717B01" w14:paraId="0334B5A7" w14:textId="042F907F">
            <w:pPr>
              <w:pStyle w:val="ListParagraph"/>
              <w:numPr>
                <w:ilvl w:val="0"/>
                <w:numId w:val="93"/>
              </w:numPr>
              <w:spacing w:after="200"/>
              <w:ind w:left="432"/>
              <w:jc w:val="left"/>
            </w:pPr>
            <w:r w:rsidRPr="005D28FD">
              <w:t xml:space="preserve">Support </w:t>
            </w:r>
            <w:r w:rsidR="009E5135">
              <w:t>CAI</w:t>
            </w:r>
            <w:r w:rsidRPr="005D28FD">
              <w:t xml:space="preserve"> access to gigabit broadband service.</w:t>
            </w:r>
          </w:p>
          <w:p w:rsidRPr="005D28FD" w:rsidR="00717B01" w:rsidP="004778D7" w:rsidRDefault="00717B01" w14:paraId="182966B1" w14:textId="05B001E3">
            <w:pPr>
              <w:pStyle w:val="ListParagraph"/>
              <w:numPr>
                <w:ilvl w:val="0"/>
                <w:numId w:val="93"/>
              </w:numPr>
              <w:spacing w:after="200"/>
              <w:ind w:left="432"/>
              <w:jc w:val="left"/>
            </w:pPr>
            <w:r w:rsidRPr="005D28FD">
              <w:t xml:space="preserve">Support economic growth </w:t>
            </w:r>
            <w:r w:rsidR="009E5135">
              <w:t xml:space="preserve">through </w:t>
            </w:r>
            <w:r w:rsidRPr="005D28FD">
              <w:t>workforce development for broadband deployment.</w:t>
            </w:r>
          </w:p>
        </w:tc>
      </w:tr>
      <w:tr w:rsidRPr="00717B01" w:rsidR="00717B01" w14:paraId="5DA19101" w14:textId="77777777">
        <w:tc>
          <w:tcPr>
            <w:tcW w:w="2155" w:type="dxa"/>
          </w:tcPr>
          <w:p w:rsidRPr="005D28FD" w:rsidR="00717B01" w:rsidP="006956A9" w:rsidRDefault="00717B01" w14:paraId="6ED4B8C6" w14:textId="77777777">
            <w:pPr>
              <w:widowControl/>
              <w:jc w:val="left"/>
            </w:pPr>
            <w:r w:rsidRPr="005D28FD">
              <w:t>Consider the need for broadband expansion in rural, underserved, and unserved areas</w:t>
            </w:r>
          </w:p>
        </w:tc>
        <w:tc>
          <w:tcPr>
            <w:tcW w:w="1710" w:type="dxa"/>
          </w:tcPr>
          <w:p w:rsidRPr="005D28FD" w:rsidR="00717B01" w:rsidP="006956A9" w:rsidRDefault="00717B01" w14:paraId="71C17C43" w14:textId="77777777">
            <w:pPr>
              <w:widowControl/>
              <w:jc w:val="left"/>
            </w:pPr>
            <w:r w:rsidRPr="005D28FD">
              <w:t>Broadband availability and adoption</w:t>
            </w:r>
          </w:p>
        </w:tc>
        <w:tc>
          <w:tcPr>
            <w:tcW w:w="5485" w:type="dxa"/>
          </w:tcPr>
          <w:p w:rsidRPr="005D28FD" w:rsidR="00717B01" w:rsidP="004778D7" w:rsidRDefault="00717B01" w14:paraId="26C90BC1" w14:textId="0421786C">
            <w:pPr>
              <w:pStyle w:val="ListParagraph"/>
              <w:numPr>
                <w:ilvl w:val="0"/>
                <w:numId w:val="95"/>
              </w:numPr>
              <w:spacing w:after="200"/>
              <w:ind w:left="432"/>
              <w:jc w:val="left"/>
            </w:pPr>
            <w:r w:rsidRPr="005D28FD">
              <w:t xml:space="preserve">Conduct technical assistance outreach to partners in </w:t>
            </w:r>
            <w:r w:rsidR="003E5FDC">
              <w:t xml:space="preserve">each </w:t>
            </w:r>
            <w:r w:rsidRPr="005D28FD">
              <w:t>county</w:t>
            </w:r>
            <w:r w:rsidR="005B7B55">
              <w:t>.</w:t>
            </w:r>
          </w:p>
          <w:p w:rsidRPr="005D28FD" w:rsidR="00717B01" w:rsidP="004778D7" w:rsidRDefault="00717B01" w14:paraId="09D4B6DF" w14:textId="76DF39E9">
            <w:pPr>
              <w:pStyle w:val="ListParagraph"/>
              <w:numPr>
                <w:ilvl w:val="0"/>
                <w:numId w:val="95"/>
              </w:numPr>
              <w:spacing w:after="200"/>
              <w:ind w:left="432"/>
              <w:jc w:val="left"/>
            </w:pPr>
            <w:r w:rsidRPr="005D28FD">
              <w:t xml:space="preserve">Provide county broadband and </w:t>
            </w:r>
            <w:r w:rsidRPr="005D28FD" w:rsidDel="00330F08">
              <w:t xml:space="preserve">digital </w:t>
            </w:r>
            <w:r w:rsidR="00D76FB5">
              <w:t>o</w:t>
            </w:r>
            <w:r w:rsidR="00330F08">
              <w:t>pportunity</w:t>
            </w:r>
            <w:r w:rsidRPr="005D28FD">
              <w:t xml:space="preserve"> profiles.</w:t>
            </w:r>
          </w:p>
          <w:p w:rsidRPr="00560695" w:rsidR="00717B01" w:rsidP="004778D7" w:rsidRDefault="00717B01" w14:paraId="40782EA0" w14:textId="6B82EAF3">
            <w:pPr>
              <w:pStyle w:val="ListParagraph"/>
              <w:numPr>
                <w:ilvl w:val="0"/>
                <w:numId w:val="95"/>
              </w:numPr>
              <w:spacing w:after="200"/>
              <w:ind w:left="432"/>
              <w:jc w:val="left"/>
            </w:pPr>
            <w:r w:rsidRPr="005D28FD">
              <w:t xml:space="preserve">Complete and implement the </w:t>
            </w:r>
            <w:r w:rsidR="006361E3">
              <w:t xml:space="preserve">Alabama </w:t>
            </w:r>
            <w:r w:rsidRPr="005D28FD" w:rsidR="006361E3">
              <w:t>State</w:t>
            </w:r>
            <w:r w:rsidR="006361E3">
              <w:t>wide</w:t>
            </w:r>
            <w:r w:rsidRPr="005D28FD" w:rsidR="006361E3">
              <w:t xml:space="preserve"> Digital </w:t>
            </w:r>
            <w:r w:rsidR="006361E3">
              <w:t>Opportunity</w:t>
            </w:r>
            <w:r w:rsidRPr="005D28FD" w:rsidR="006361E3">
              <w:t xml:space="preserve"> Plan</w:t>
            </w:r>
            <w:r w:rsidR="00D85535">
              <w:rPr>
                <w:rStyle w:val="FootnoteReference"/>
              </w:rPr>
              <w:footnoteReference w:id="7"/>
            </w:r>
            <w:r w:rsidRPr="005D28FD" w:rsidR="006361E3">
              <w:t xml:space="preserve"> </w:t>
            </w:r>
            <w:r w:rsidRPr="005D28FD">
              <w:t xml:space="preserve">to address </w:t>
            </w:r>
            <w:r w:rsidRPr="005D28FD" w:rsidDel="00330F08">
              <w:t xml:space="preserve">digital </w:t>
            </w:r>
            <w:r w:rsidR="00D76FB5">
              <w:t>o</w:t>
            </w:r>
            <w:r w:rsidR="00330F08">
              <w:t>pportunity</w:t>
            </w:r>
            <w:r w:rsidRPr="005D28FD" w:rsidDel="00330F08">
              <w:t xml:space="preserve"> </w:t>
            </w:r>
            <w:r w:rsidRPr="005D28FD">
              <w:t xml:space="preserve">needs in line with the five pillars of </w:t>
            </w:r>
            <w:r w:rsidR="00494128">
              <w:t>digital opportunity</w:t>
            </w:r>
            <w:r w:rsidRPr="005D28FD" w:rsidDel="00330F08">
              <w:t xml:space="preserve"> </w:t>
            </w:r>
            <w:r w:rsidRPr="005D28FD">
              <w:t>defined in the IIJA</w:t>
            </w:r>
            <w:r w:rsidRPr="005D28FD" w:rsidR="7425E34B">
              <w:t>.</w:t>
            </w:r>
            <w:r w:rsidRPr="005D28FD">
              <w:rPr>
                <w:vertAlign w:val="superscript"/>
              </w:rPr>
              <w:footnoteReference w:id="8"/>
            </w:r>
          </w:p>
        </w:tc>
      </w:tr>
      <w:tr w:rsidRPr="00717B01" w:rsidR="00717B01" w:rsidTr="007821C2" w14:paraId="7C053670" w14:textId="77777777">
        <w:trPr>
          <w:cantSplit/>
        </w:trPr>
        <w:tc>
          <w:tcPr>
            <w:tcW w:w="2155" w:type="dxa"/>
          </w:tcPr>
          <w:p w:rsidRPr="00560695" w:rsidR="00717B01" w:rsidP="006956A9" w:rsidRDefault="00717B01" w14:paraId="1A44CE40" w14:textId="77777777">
            <w:pPr>
              <w:widowControl/>
              <w:jc w:val="left"/>
            </w:pPr>
            <w:r w:rsidRPr="00560695">
              <w:t>Address obstacles to broadband adoption</w:t>
            </w:r>
          </w:p>
        </w:tc>
        <w:tc>
          <w:tcPr>
            <w:tcW w:w="1710" w:type="dxa"/>
          </w:tcPr>
          <w:p w:rsidRPr="00560695" w:rsidR="00717B01" w:rsidP="006956A9" w:rsidRDefault="00717B01" w14:paraId="5CA91C87" w14:textId="6D0F63FA">
            <w:pPr>
              <w:widowControl/>
              <w:jc w:val="left"/>
            </w:pPr>
            <w:r w:rsidRPr="00560695">
              <w:t xml:space="preserve">Broadband affordability and adoption, </w:t>
            </w:r>
            <w:r w:rsidRPr="00560695" w:rsidDel="00D22A79">
              <w:t xml:space="preserve">digital </w:t>
            </w:r>
            <w:r w:rsidR="006A07AE">
              <w:t>o</w:t>
            </w:r>
            <w:r w:rsidR="00D22A79">
              <w:t>pportunity</w:t>
            </w:r>
            <w:r w:rsidR="00727294">
              <w:t xml:space="preserve">, </w:t>
            </w:r>
            <w:r w:rsidRPr="00560695">
              <w:t xml:space="preserve">and </w:t>
            </w:r>
            <w:r w:rsidR="00727294">
              <w:t xml:space="preserve">digital </w:t>
            </w:r>
            <w:r w:rsidRPr="00560695">
              <w:t>skills</w:t>
            </w:r>
          </w:p>
        </w:tc>
        <w:tc>
          <w:tcPr>
            <w:tcW w:w="5485" w:type="dxa"/>
          </w:tcPr>
          <w:p w:rsidRPr="00560695" w:rsidR="00717B01" w:rsidP="007821C2" w:rsidRDefault="00717B01" w14:paraId="5EB8587C" w14:textId="281F6CF1">
            <w:pPr>
              <w:pStyle w:val="ListParagraph"/>
              <w:numPr>
                <w:ilvl w:val="0"/>
                <w:numId w:val="97"/>
              </w:numPr>
              <w:spacing w:after="200"/>
              <w:ind w:left="432"/>
              <w:jc w:val="left"/>
            </w:pPr>
            <w:r w:rsidRPr="00560695">
              <w:t xml:space="preserve">Require </w:t>
            </w:r>
            <w:r w:rsidRPr="00946DAC" w:rsidR="00DB2A5E">
              <w:t>ISP</w:t>
            </w:r>
            <w:r w:rsidRPr="00946DAC" w:rsidR="00DA0B8C">
              <w:t>s</w:t>
            </w:r>
            <w:r w:rsidR="00DB2A5E">
              <w:t xml:space="preserve"> </w:t>
            </w:r>
            <w:r w:rsidRPr="00560695">
              <w:t xml:space="preserve">that are awarded </w:t>
            </w:r>
            <w:r w:rsidRPr="00946DAC" w:rsidR="00DA0B8C">
              <w:t xml:space="preserve">grant </w:t>
            </w:r>
            <w:r w:rsidRPr="00560695">
              <w:t xml:space="preserve">funds to participate in the </w:t>
            </w:r>
            <w:r w:rsidR="00DB2A5E">
              <w:t xml:space="preserve">FCC’s </w:t>
            </w:r>
            <w:r w:rsidRPr="00560695">
              <w:t xml:space="preserve">Affordable Connectivity </w:t>
            </w:r>
            <w:r w:rsidR="00DB2A5E">
              <w:t>Program (ACP</w:t>
            </w:r>
            <w:r w:rsidRPr="00946DAC" w:rsidR="00DB2A5E">
              <w:t>)</w:t>
            </w:r>
            <w:r w:rsidRPr="00946DAC" w:rsidR="00DA0B8C">
              <w:t>, as applicable</w:t>
            </w:r>
            <w:r w:rsidRPr="00946DAC">
              <w:t>.</w:t>
            </w:r>
          </w:p>
          <w:p w:rsidR="00067B73" w:rsidP="007821C2" w:rsidRDefault="00717B01" w14:paraId="08D83AFD" w14:textId="0F4F819A">
            <w:pPr>
              <w:pStyle w:val="ListParagraph"/>
              <w:numPr>
                <w:ilvl w:val="0"/>
                <w:numId w:val="97"/>
              </w:numPr>
              <w:spacing w:after="200"/>
              <w:ind w:left="432"/>
              <w:jc w:val="left"/>
            </w:pPr>
            <w:r w:rsidRPr="00560695">
              <w:t xml:space="preserve">Conduct survey outreach to residents to understand broadband and </w:t>
            </w:r>
            <w:r w:rsidRPr="00560695" w:rsidDel="00D22A79">
              <w:t xml:space="preserve">digital </w:t>
            </w:r>
            <w:r w:rsidR="006A07AE">
              <w:t>o</w:t>
            </w:r>
            <w:r w:rsidR="00D22A79">
              <w:t>pportunity</w:t>
            </w:r>
            <w:r w:rsidRPr="00560695" w:rsidDel="00D22A79">
              <w:t xml:space="preserve"> </w:t>
            </w:r>
            <w:r w:rsidRPr="00560695">
              <w:t>needs.</w:t>
            </w:r>
          </w:p>
          <w:p w:rsidR="0044113E" w:rsidP="007821C2" w:rsidRDefault="00717B01" w14:paraId="05B9FAA0" w14:textId="49307FA2">
            <w:pPr>
              <w:pStyle w:val="ListParagraph"/>
              <w:numPr>
                <w:ilvl w:val="0"/>
                <w:numId w:val="97"/>
              </w:numPr>
              <w:spacing w:after="200"/>
              <w:ind w:left="432"/>
              <w:jc w:val="left"/>
            </w:pPr>
            <w:r w:rsidRPr="00560695">
              <w:t xml:space="preserve">Conduct outreach and questionnaires to organizations that </w:t>
            </w:r>
            <w:r w:rsidR="00067B73">
              <w:t xml:space="preserve">serve and represent </w:t>
            </w:r>
            <w:r w:rsidRPr="00560695">
              <w:t xml:space="preserve">covered populations </w:t>
            </w:r>
            <w:r w:rsidR="002F3154">
              <w:t xml:space="preserve">and underrepresented communities </w:t>
            </w:r>
            <w:r w:rsidRPr="00560695">
              <w:t xml:space="preserve">to assess </w:t>
            </w:r>
            <w:r w:rsidRPr="00560695" w:rsidR="002A6943">
              <w:t xml:space="preserve">the </w:t>
            </w:r>
            <w:r w:rsidRPr="00560695">
              <w:t>needs of these populations.</w:t>
            </w:r>
          </w:p>
          <w:p w:rsidRPr="00560695" w:rsidR="00717B01" w:rsidP="007821C2" w:rsidRDefault="00717B01" w14:paraId="43A3BFE3" w14:textId="004A74DE">
            <w:pPr>
              <w:pStyle w:val="ListParagraph"/>
              <w:numPr>
                <w:ilvl w:val="0"/>
                <w:numId w:val="97"/>
              </w:numPr>
              <w:spacing w:after="200"/>
              <w:ind w:left="432"/>
              <w:jc w:val="left"/>
            </w:pPr>
            <w:r w:rsidRPr="00560695">
              <w:t xml:space="preserve">Complete and implement the </w:t>
            </w:r>
            <w:r w:rsidR="00D06DB4">
              <w:t xml:space="preserve">Alabama </w:t>
            </w:r>
            <w:r w:rsidRPr="00560695" w:rsidR="00D06DB4">
              <w:t>State</w:t>
            </w:r>
            <w:r w:rsidR="00D06DB4">
              <w:t>wide</w:t>
            </w:r>
            <w:r w:rsidRPr="00560695" w:rsidR="00D06DB4">
              <w:t xml:space="preserve"> Digital </w:t>
            </w:r>
            <w:r w:rsidR="00D06DB4">
              <w:t>Opportunity</w:t>
            </w:r>
            <w:r w:rsidRPr="00560695" w:rsidR="00D06DB4">
              <w:t xml:space="preserve"> </w:t>
            </w:r>
            <w:r w:rsidRPr="00560695">
              <w:t xml:space="preserve">Plan. </w:t>
            </w:r>
          </w:p>
        </w:tc>
      </w:tr>
      <w:tr w:rsidRPr="00717B01" w:rsidR="00717B01" w14:paraId="76181A09" w14:textId="77777777">
        <w:tc>
          <w:tcPr>
            <w:tcW w:w="2155" w:type="dxa"/>
          </w:tcPr>
          <w:p w:rsidRPr="00560695" w:rsidR="00717B01" w:rsidP="006956A9" w:rsidRDefault="00717B01" w14:paraId="6F0651C2" w14:textId="77777777">
            <w:pPr>
              <w:widowControl/>
              <w:jc w:val="left"/>
            </w:pPr>
            <w:r w:rsidRPr="00560695">
              <w:t>Develop funding strategies and plans for middle-mile and long-haul fiber, as well as last-mile infrastructure and services</w:t>
            </w:r>
          </w:p>
        </w:tc>
        <w:tc>
          <w:tcPr>
            <w:tcW w:w="1710" w:type="dxa"/>
          </w:tcPr>
          <w:p w:rsidRPr="00560695" w:rsidR="00717B01" w:rsidP="006956A9" w:rsidRDefault="00717B01" w14:paraId="607B6F0B" w14:textId="77777777">
            <w:pPr>
              <w:widowControl/>
              <w:jc w:val="left"/>
            </w:pPr>
            <w:r w:rsidRPr="00560695">
              <w:t>Strategic planning</w:t>
            </w:r>
          </w:p>
        </w:tc>
        <w:tc>
          <w:tcPr>
            <w:tcW w:w="5485" w:type="dxa"/>
          </w:tcPr>
          <w:p w:rsidR="00D06DB4" w:rsidP="007821C2" w:rsidRDefault="00717B01" w14:paraId="4573E8F4" w14:textId="6AFE7D10">
            <w:pPr>
              <w:pStyle w:val="ListParagraph"/>
              <w:numPr>
                <w:ilvl w:val="0"/>
                <w:numId w:val="99"/>
              </w:numPr>
              <w:spacing w:after="200"/>
              <w:ind w:left="432"/>
              <w:jc w:val="left"/>
            </w:pPr>
            <w:r w:rsidRPr="00560695">
              <w:t xml:space="preserve">Strategically leverage federal and </w:t>
            </w:r>
            <w:r w:rsidR="004625F1">
              <w:t>s</w:t>
            </w:r>
            <w:r w:rsidR="00C41D13">
              <w:t>tate</w:t>
            </w:r>
            <w:r w:rsidRPr="00560695">
              <w:t xml:space="preserve"> infrastructure funding sources to achieve universal availability of broadband throughout the </w:t>
            </w:r>
            <w:r w:rsidR="004625F1">
              <w:t>s</w:t>
            </w:r>
            <w:r w:rsidRPr="00560695">
              <w:t>tate.</w:t>
            </w:r>
          </w:p>
          <w:p w:rsidRPr="00560695" w:rsidR="00717B01" w:rsidP="007821C2" w:rsidRDefault="00717B01" w14:paraId="4BD44EA2" w14:textId="5EB037D6">
            <w:pPr>
              <w:pStyle w:val="ListParagraph"/>
              <w:numPr>
                <w:ilvl w:val="0"/>
                <w:numId w:val="99"/>
              </w:numPr>
              <w:spacing w:after="200"/>
              <w:ind w:left="432"/>
              <w:jc w:val="left"/>
            </w:pPr>
            <w:r w:rsidRPr="00560695">
              <w:t xml:space="preserve">Develop grant programs for middle-mile fiber deployment in rural, unserved, and underserved areas in the </w:t>
            </w:r>
            <w:r w:rsidR="004625F1">
              <w:t>s</w:t>
            </w:r>
            <w:r w:rsidRPr="00560695">
              <w:t>tate.</w:t>
            </w:r>
          </w:p>
          <w:p w:rsidRPr="00560695" w:rsidR="00717B01" w:rsidP="007821C2" w:rsidRDefault="00717B01" w14:paraId="2AD986E0" w14:textId="241AC18D">
            <w:pPr>
              <w:pStyle w:val="ListParagraph"/>
              <w:numPr>
                <w:ilvl w:val="0"/>
                <w:numId w:val="99"/>
              </w:numPr>
              <w:spacing w:after="200"/>
              <w:ind w:left="432"/>
              <w:jc w:val="left"/>
            </w:pPr>
            <w:r w:rsidRPr="00560695">
              <w:t>Develop grant programs for last</w:t>
            </w:r>
            <w:r w:rsidR="00DB2A5E">
              <w:t>-</w:t>
            </w:r>
            <w:r w:rsidRPr="00560695">
              <w:t xml:space="preserve">mile fiber deployment </w:t>
            </w:r>
            <w:r w:rsidR="00D06DB4">
              <w:t xml:space="preserve">emphasizing rural and unserved </w:t>
            </w:r>
            <w:r w:rsidRPr="00560695">
              <w:t>areas.</w:t>
            </w:r>
          </w:p>
        </w:tc>
      </w:tr>
    </w:tbl>
    <w:p w:rsidR="00717B01" w:rsidP="006A5670" w:rsidRDefault="00717B01" w14:paraId="6E5622AF" w14:textId="5F0B3C8E">
      <w:r>
        <w:br w:type="page"/>
      </w:r>
    </w:p>
    <w:p w:rsidR="00717B01" w:rsidP="00D824CB" w:rsidRDefault="006C53A8" w14:paraId="413C6037" w14:textId="40246C29">
      <w:pPr>
        <w:pStyle w:val="Heading1"/>
      </w:pPr>
      <w:bookmarkStart w:name="_Toc113536026" w:id="14"/>
      <w:bookmarkStart w:name="_Toc150852613" w:id="15"/>
      <w:r>
        <w:t xml:space="preserve">Local, Tribal, and </w:t>
      </w:r>
      <w:r w:rsidR="007229CE">
        <w:t>r</w:t>
      </w:r>
      <w:r>
        <w:t xml:space="preserve">egional </w:t>
      </w:r>
      <w:r w:rsidR="007229CE">
        <w:t>b</w:t>
      </w:r>
      <w:r>
        <w:t xml:space="preserve">roadband </w:t>
      </w:r>
      <w:r w:rsidR="007229CE">
        <w:t>p</w:t>
      </w:r>
      <w:r>
        <w:t xml:space="preserve">lanning </w:t>
      </w:r>
      <w:r w:rsidR="007229CE">
        <w:t>p</w:t>
      </w:r>
      <w:r>
        <w:t>rocesses (Requirement 2)</w:t>
      </w:r>
      <w:bookmarkEnd w:id="15"/>
    </w:p>
    <w:p w:rsidR="005679EC" w:rsidP="00286344" w:rsidRDefault="00563D49" w14:paraId="6CDBA2FC" w14:textId="4C117CB9">
      <w:r>
        <w:t xml:space="preserve">As </w:t>
      </w:r>
      <w:r w:rsidR="00CE21AE">
        <w:t>explained in ADECA’s Five-Year Action Plan</w:t>
      </w:r>
      <w:r w:rsidR="00D00344">
        <w:t>,</w:t>
      </w:r>
      <w:r w:rsidR="00D00344">
        <w:rPr>
          <w:rStyle w:val="FootnoteReference"/>
        </w:rPr>
        <w:footnoteReference w:id="9"/>
      </w:r>
      <w:r w:rsidR="00C736D9">
        <w:t xml:space="preserve"> ADECA </w:t>
      </w:r>
      <w:r w:rsidR="00675C1F">
        <w:t xml:space="preserve">initiated </w:t>
      </w:r>
      <w:r w:rsidR="009B0A53">
        <w:t xml:space="preserve">a </w:t>
      </w:r>
      <w:r w:rsidRPr="04CAAB7F" w:rsidR="005679EC">
        <w:t xml:space="preserve">comprehensive external engagement process </w:t>
      </w:r>
      <w:r w:rsidR="006150D0">
        <w:t xml:space="preserve">to </w:t>
      </w:r>
      <w:r w:rsidR="00D8399F">
        <w:t xml:space="preserve">support local, Tribal, and regional </w:t>
      </w:r>
      <w:r w:rsidR="00696D96">
        <w:t>broadband planning processes</w:t>
      </w:r>
      <w:r w:rsidR="004F5E29">
        <w:t xml:space="preserve">, </w:t>
      </w:r>
      <w:r w:rsidRPr="04CAAB7F" w:rsidR="005679EC">
        <w:t xml:space="preserve">including identification of key </w:t>
      </w:r>
      <w:r w:rsidR="005679EC">
        <w:t xml:space="preserve">current and </w:t>
      </w:r>
      <w:r w:rsidRPr="00546C80" w:rsidR="005679EC">
        <w:t xml:space="preserve">potential partners </w:t>
      </w:r>
      <w:r w:rsidRPr="04CAAB7F" w:rsidR="005679EC">
        <w:t xml:space="preserve">and </w:t>
      </w:r>
      <w:r w:rsidR="005679EC">
        <w:t xml:space="preserve">representative </w:t>
      </w:r>
      <w:r w:rsidRPr="04CAAB7F" w:rsidR="005679EC">
        <w:t xml:space="preserve">groups. </w:t>
      </w:r>
      <w:r w:rsidR="005679EC">
        <w:t>E</w:t>
      </w:r>
      <w:r w:rsidRPr="04CAAB7F" w:rsidR="005679EC">
        <w:t xml:space="preserve">ngagement efforts consisted of in-person meetings held in all 67 counties in the </w:t>
      </w:r>
      <w:r w:rsidR="004625F1">
        <w:t>s</w:t>
      </w:r>
      <w:r w:rsidRPr="04CAAB7F" w:rsidR="005679EC">
        <w:t xml:space="preserve">tate, additional virtual discussion sessions, multiple </w:t>
      </w:r>
      <w:r w:rsidR="00127D57">
        <w:t>online questionnaires</w:t>
      </w:r>
      <w:r w:rsidRPr="04CAAB7F" w:rsidR="00127D57">
        <w:t xml:space="preserve"> </w:t>
      </w:r>
      <w:r w:rsidRPr="04CAAB7F" w:rsidR="005679EC">
        <w:t xml:space="preserve">capturing knowledge from </w:t>
      </w:r>
      <w:r w:rsidR="00B1139B">
        <w:t xml:space="preserve">partner organizations, and </w:t>
      </w:r>
      <w:r w:rsidR="00840E82">
        <w:t>a s</w:t>
      </w:r>
      <w:r w:rsidR="008943BC">
        <w:t>tatisti</w:t>
      </w:r>
      <w:r w:rsidR="00840E82">
        <w:t xml:space="preserve">cally valid phone survey of </w:t>
      </w:r>
      <w:r w:rsidRPr="04CAAB7F" w:rsidR="005679EC">
        <w:t xml:space="preserve">residents. </w:t>
      </w:r>
      <w:r w:rsidR="005679EC">
        <w:t>Following submission of th</w:t>
      </w:r>
      <w:r w:rsidR="00A7670F">
        <w:t>is Initial</w:t>
      </w:r>
      <w:r w:rsidR="005679EC">
        <w:t xml:space="preserve"> P</w:t>
      </w:r>
      <w:r w:rsidR="00E9704D">
        <w:t>roposal</w:t>
      </w:r>
      <w:r w:rsidR="005679EC">
        <w:t>, ADECA will continue to engage and collaborate with partners throughout the implementation process.</w:t>
      </w:r>
    </w:p>
    <w:p w:rsidRPr="00710B09" w:rsidR="005679EC" w:rsidP="00286344" w:rsidRDefault="005679EC" w14:paraId="41088194" w14:textId="4C4586DF">
      <w:r w:rsidRPr="00710B09">
        <w:t xml:space="preserve">The </w:t>
      </w:r>
      <w:r w:rsidR="004625F1">
        <w:t>s</w:t>
      </w:r>
      <w:r w:rsidRPr="00710B09">
        <w:t xml:space="preserve">tate has made significant </w:t>
      </w:r>
      <w:r>
        <w:t xml:space="preserve">progress in its external inclusive outreach and engagement efforts that will support both this </w:t>
      </w:r>
      <w:r w:rsidR="00667AC0">
        <w:t xml:space="preserve">Initial </w:t>
      </w:r>
      <w:r>
        <w:t>P</w:t>
      </w:r>
      <w:r w:rsidR="00113610">
        <w:t>roposal</w:t>
      </w:r>
      <w:r>
        <w:t xml:space="preserve"> and the Alabama </w:t>
      </w:r>
      <w:r w:rsidR="004E33A5">
        <w:t xml:space="preserve">Statewide Digital Opportunity </w:t>
      </w:r>
      <w:r>
        <w:t>Plan</w:t>
      </w:r>
      <w:r w:rsidRPr="00710B09">
        <w:t>:</w:t>
      </w:r>
    </w:p>
    <w:p w:rsidRPr="00710B09" w:rsidR="005679EC" w:rsidP="00B03822" w:rsidRDefault="005679EC" w14:paraId="7E5FD11F" w14:textId="3283E829">
      <w:pPr>
        <w:pStyle w:val="ListParagraph"/>
        <w:numPr>
          <w:ilvl w:val="0"/>
          <w:numId w:val="7"/>
        </w:numPr>
        <w:spacing w:after="200"/>
      </w:pPr>
      <w:r w:rsidRPr="00710B09">
        <w:t xml:space="preserve">Identified key </w:t>
      </w:r>
      <w:r w:rsidR="004625F1">
        <w:t>s</w:t>
      </w:r>
      <w:r w:rsidRPr="00710B09">
        <w:t>tate and local partners</w:t>
      </w:r>
      <w:r w:rsidR="005A3855">
        <w:rPr>
          <w:rStyle w:val="FootnoteReference"/>
        </w:rPr>
        <w:footnoteReference w:id="10"/>
      </w:r>
      <w:r w:rsidRPr="00710B09">
        <w:t xml:space="preserve"> that serve covered populations</w:t>
      </w:r>
      <w:r w:rsidR="000F738F">
        <w:t>/underrepresented communities</w:t>
      </w:r>
      <w:r w:rsidRPr="00710B09">
        <w:t xml:space="preserve"> and have experience with barriers and opportunities to broadband access and </w:t>
      </w:r>
      <w:r w:rsidR="006A07AE">
        <w:t>d</w:t>
      </w:r>
      <w:r w:rsidRPr="00511DD7" w:rsidR="00511DD7">
        <w:t xml:space="preserve">igital </w:t>
      </w:r>
      <w:r w:rsidR="006A07AE">
        <w:t>o</w:t>
      </w:r>
      <w:r w:rsidRPr="00511DD7" w:rsidR="00511DD7">
        <w:t>pportunity</w:t>
      </w:r>
      <w:r w:rsidRPr="00710B09" w:rsidDel="00511DD7">
        <w:t xml:space="preserve"> </w:t>
      </w:r>
      <w:r w:rsidRPr="00710B09">
        <w:t xml:space="preserve">to inform the </w:t>
      </w:r>
      <w:r w:rsidR="004625F1">
        <w:t>s</w:t>
      </w:r>
      <w:r w:rsidRPr="00710B09">
        <w:t>tate’s planning processes</w:t>
      </w:r>
      <w:r>
        <w:t xml:space="preserve">; developed </w:t>
      </w:r>
      <w:r w:rsidRPr="00710B09">
        <w:t>a comprehensive outreach list and online data tool for events and educational materials</w:t>
      </w:r>
      <w:r>
        <w:t>. A</w:t>
      </w:r>
      <w:r w:rsidRPr="00710B09">
        <w:t>dditional research and updates to the outreach list is ongoing</w:t>
      </w:r>
      <w:r>
        <w:t>.</w:t>
      </w:r>
      <w:r w:rsidRPr="00710B09">
        <w:t xml:space="preserve"> </w:t>
      </w:r>
    </w:p>
    <w:p w:rsidRPr="00710B09" w:rsidR="005679EC" w:rsidP="00B03822" w:rsidRDefault="005679EC" w14:paraId="3CE6819B" w14:textId="1F1F3BE7">
      <w:pPr>
        <w:pStyle w:val="ListParagraph"/>
        <w:numPr>
          <w:ilvl w:val="0"/>
          <w:numId w:val="7"/>
        </w:numPr>
        <w:spacing w:after="200"/>
      </w:pPr>
      <w:r w:rsidRPr="00710B09">
        <w:t>Developed and implemented a statistically valid</w:t>
      </w:r>
      <w:r>
        <w:t>,</w:t>
      </w:r>
      <w:r w:rsidRPr="00710B09">
        <w:t xml:space="preserve"> </w:t>
      </w:r>
      <w:r>
        <w:t xml:space="preserve">regionally based </w:t>
      </w:r>
      <w:r w:rsidRPr="00710B09">
        <w:t xml:space="preserve">statewide </w:t>
      </w:r>
      <w:r>
        <w:t>resident</w:t>
      </w:r>
      <w:r w:rsidRPr="00710B09">
        <w:t xml:space="preserve"> survey on digital access and </w:t>
      </w:r>
      <w:r w:rsidR="00330958">
        <w:t>o</w:t>
      </w:r>
      <w:r w:rsidR="00D50EA8">
        <w:t>pportunity</w:t>
      </w:r>
      <w:r w:rsidRPr="00710B09" w:rsidR="00D50EA8">
        <w:t xml:space="preserve"> </w:t>
      </w:r>
      <w:r w:rsidRPr="00710B09">
        <w:t xml:space="preserve">issues designed to “oversample” in ways that will </w:t>
      </w:r>
      <w:r>
        <w:t>identify</w:t>
      </w:r>
      <w:r w:rsidRPr="00710B09">
        <w:t xml:space="preserve"> unique needs of covered population</w:t>
      </w:r>
      <w:r w:rsidR="008B50E3">
        <w:t>s/underrepresented communities</w:t>
      </w:r>
      <w:r w:rsidRPr="00710B09">
        <w:t>; analy</w:t>
      </w:r>
      <w:r>
        <w:t>zed</w:t>
      </w:r>
      <w:r w:rsidRPr="00710B09">
        <w:t xml:space="preserve"> survey results</w:t>
      </w:r>
      <w:r>
        <w:t>.</w:t>
      </w:r>
      <w:r w:rsidR="00AF66DD">
        <w:rPr>
          <w:rStyle w:val="FootnoteReference"/>
        </w:rPr>
        <w:footnoteReference w:id="11"/>
      </w:r>
      <w:r w:rsidRPr="00710B09">
        <w:t xml:space="preserve"> </w:t>
      </w:r>
    </w:p>
    <w:p w:rsidRPr="00710B09" w:rsidR="005679EC" w:rsidP="00B03822" w:rsidRDefault="005679EC" w14:paraId="7206EE26" w14:textId="4C6C15E2">
      <w:pPr>
        <w:pStyle w:val="ListParagraph"/>
        <w:numPr>
          <w:ilvl w:val="0"/>
          <w:numId w:val="7"/>
        </w:numPr>
        <w:spacing w:after="200"/>
      </w:pPr>
      <w:r w:rsidRPr="00710B09">
        <w:t xml:space="preserve">Developed </w:t>
      </w:r>
      <w:r>
        <w:t xml:space="preserve">and distributed </w:t>
      </w:r>
      <w:r w:rsidRPr="00710B09">
        <w:t>partner questionnaires and related presentation material</w:t>
      </w:r>
      <w:r>
        <w:t>s</w:t>
      </w:r>
      <w:r w:rsidRPr="00710B09">
        <w:t xml:space="preserve"> to gather data on programmatic assets, workforce, covered population</w:t>
      </w:r>
      <w:r w:rsidR="008B50E3">
        <w:t>/underrepresent</w:t>
      </w:r>
      <w:r w:rsidR="006E0D5B">
        <w:t xml:space="preserve">ed </w:t>
      </w:r>
      <w:proofErr w:type="gramStart"/>
      <w:r w:rsidR="006E0D5B">
        <w:t>communities</w:t>
      </w:r>
      <w:proofErr w:type="gramEnd"/>
      <w:r w:rsidRPr="00710B09">
        <w:t xml:space="preserve"> barriers</w:t>
      </w:r>
      <w:r>
        <w:t xml:space="preserve"> and obstacles</w:t>
      </w:r>
      <w:r w:rsidRPr="00710B09">
        <w:t xml:space="preserve">, affordability programs, and measurable objectives; </w:t>
      </w:r>
      <w:r>
        <w:t>analysis</w:t>
      </w:r>
      <w:r w:rsidRPr="00710B09">
        <w:t xml:space="preserve"> of the questionnaires is in progress</w:t>
      </w:r>
      <w:r>
        <w:t>.</w:t>
      </w:r>
      <w:r w:rsidR="003E4DDF">
        <w:rPr>
          <w:rStyle w:val="FootnoteReference"/>
        </w:rPr>
        <w:footnoteReference w:id="12"/>
      </w:r>
      <w:r w:rsidRPr="00710B09">
        <w:t xml:space="preserve"> </w:t>
      </w:r>
    </w:p>
    <w:p w:rsidRPr="00710B09" w:rsidR="005679EC" w:rsidP="00B03822" w:rsidRDefault="005679EC" w14:paraId="0EEB15A7" w14:textId="0425F21D">
      <w:pPr>
        <w:pStyle w:val="ListParagraph"/>
        <w:numPr>
          <w:ilvl w:val="0"/>
          <w:numId w:val="7"/>
        </w:numPr>
        <w:spacing w:after="200"/>
      </w:pPr>
      <w:r w:rsidRPr="00710B09">
        <w:t>Planned and conduct</w:t>
      </w:r>
      <w:r>
        <w:t>ed</w:t>
      </w:r>
      <w:r w:rsidRPr="00710B09">
        <w:t xml:space="preserve"> in-person </w:t>
      </w:r>
      <w:r>
        <w:t xml:space="preserve">technical assistance </w:t>
      </w:r>
      <w:r w:rsidRPr="00710B09">
        <w:t>meetings in all 67 Alabama counties with county</w:t>
      </w:r>
      <w:r>
        <w:t>-</w:t>
      </w:r>
      <w:r w:rsidRPr="00710B09">
        <w:t>level executives and local, regional, and statewide community partners to</w:t>
      </w:r>
      <w:r>
        <w:t xml:space="preserve"> provide technical assistance,</w:t>
      </w:r>
      <w:r w:rsidRPr="00710B09">
        <w:t xml:space="preserve"> discuss programmatic assets and opportunities, barriers to broadband access</w:t>
      </w:r>
      <w:r>
        <w:t>,</w:t>
      </w:r>
      <w:r w:rsidRPr="00710B09">
        <w:t xml:space="preserve"> and partner collaboration for planning activities</w:t>
      </w:r>
      <w:r>
        <w:t xml:space="preserve">. ADECA initiated this program with </w:t>
      </w:r>
      <w:r w:rsidR="006E0D5B">
        <w:t>a U.S. Department of Commerce</w:t>
      </w:r>
      <w:r w:rsidR="00BA0033">
        <w:t xml:space="preserve"> Economic Development Administration</w:t>
      </w:r>
      <w:r>
        <w:t xml:space="preserve"> </w:t>
      </w:r>
      <w:r w:rsidR="00F34B97">
        <w:t>(</w:t>
      </w:r>
      <w:r>
        <w:t>EDA</w:t>
      </w:r>
      <w:r w:rsidR="00F34B97">
        <w:t>)</w:t>
      </w:r>
      <w:r>
        <w:t xml:space="preserve"> grant, providing services to the applicants to ADECA’s Alabama Community Broadband Technical Assistance Program.</w:t>
      </w:r>
      <w:r w:rsidRPr="21D508D6">
        <w:rPr>
          <w:rStyle w:val="FootnoteReference"/>
        </w:rPr>
        <w:footnoteReference w:id="13"/>
      </w:r>
      <w:r>
        <w:t xml:space="preserve"> It then expanded the program to all 67 counties. Having these meetings in the counties reduced the burden on the governments and community partners. </w:t>
      </w:r>
    </w:p>
    <w:p w:rsidR="005679EC" w:rsidP="00B03822" w:rsidRDefault="005679EC" w14:paraId="6BAA663B" w14:textId="77777777">
      <w:pPr>
        <w:pStyle w:val="ListParagraph"/>
        <w:numPr>
          <w:ilvl w:val="0"/>
          <w:numId w:val="7"/>
        </w:numPr>
        <w:spacing w:after="200"/>
      </w:pPr>
      <w:r>
        <w:t>Held</w:t>
      </w:r>
      <w:r w:rsidRPr="00710B09">
        <w:t xml:space="preserve"> statewide facilitated discussions virtually and developed </w:t>
      </w:r>
      <w:r>
        <w:t xml:space="preserve">specific </w:t>
      </w:r>
      <w:r w:rsidRPr="00710B09">
        <w:t>presentation materials</w:t>
      </w:r>
      <w:r>
        <w:t xml:space="preserve"> for ISP, local and regional government, and nonprofit community organization partners.</w:t>
      </w:r>
    </w:p>
    <w:p w:rsidRPr="00FC666F" w:rsidR="005679EC" w:rsidP="00B03822" w:rsidRDefault="005679EC" w14:paraId="0320D8FA" w14:textId="11A3F4D9">
      <w:pPr>
        <w:pStyle w:val="ListParagraph"/>
        <w:numPr>
          <w:ilvl w:val="0"/>
          <w:numId w:val="9"/>
        </w:numPr>
        <w:spacing w:after="200"/>
      </w:pPr>
      <w:r w:rsidRPr="00FC666F">
        <w:t xml:space="preserve">Developed detailed county-level profiles </w:t>
      </w:r>
      <w:r>
        <w:t>that provide</w:t>
      </w:r>
      <w:r w:rsidRPr="00FC666F">
        <w:t xml:space="preserve"> analysis of </w:t>
      </w:r>
      <w:r w:rsidRPr="00FC666F" w:rsidDel="00C56E9A">
        <w:t xml:space="preserve">digital </w:t>
      </w:r>
      <w:r w:rsidR="00330958">
        <w:t>o</w:t>
      </w:r>
      <w:r w:rsidRPr="00C56E9A" w:rsidR="00C56E9A">
        <w:t xml:space="preserve">pportunity </w:t>
      </w:r>
      <w:r w:rsidRPr="00FC666F">
        <w:t xml:space="preserve">and broadband access data, </w:t>
      </w:r>
      <w:r>
        <w:t xml:space="preserve">resident </w:t>
      </w:r>
      <w:r w:rsidRPr="00FC666F">
        <w:t>survey results, mapping, research</w:t>
      </w:r>
      <w:r>
        <w:t>,</w:t>
      </w:r>
      <w:r w:rsidRPr="00FC666F">
        <w:t xml:space="preserve"> and modeling to support local capacity building and planning for increased </w:t>
      </w:r>
      <w:r w:rsidR="00330958">
        <w:t>d</w:t>
      </w:r>
      <w:r w:rsidRPr="00F4783D" w:rsidR="00F4783D">
        <w:t xml:space="preserve">igital </w:t>
      </w:r>
      <w:r w:rsidR="00330958">
        <w:t>o</w:t>
      </w:r>
      <w:r w:rsidRPr="00F4783D" w:rsidR="00F4783D">
        <w:t>pportunity</w:t>
      </w:r>
      <w:r w:rsidRPr="00FC666F">
        <w:t>; work on these county-level analyses is ongoing and will serve as the foundation for additional outreach and meetings with key county government and local entity partners</w:t>
      </w:r>
      <w:r>
        <w:t>.</w:t>
      </w:r>
      <w:r w:rsidR="00EB78BB">
        <w:rPr>
          <w:rStyle w:val="FootnoteReference"/>
        </w:rPr>
        <w:footnoteReference w:id="14"/>
      </w:r>
      <w:r>
        <w:t xml:space="preserve"> </w:t>
      </w:r>
    </w:p>
    <w:p w:rsidR="00B666EA" w:rsidP="00B03822" w:rsidRDefault="0001061E" w14:paraId="1E30A5E5" w14:textId="3C499530">
      <w:pPr>
        <w:pStyle w:val="ListParagraph"/>
        <w:numPr>
          <w:ilvl w:val="0"/>
          <w:numId w:val="9"/>
        </w:numPr>
        <w:spacing w:after="200"/>
      </w:pPr>
      <w:r>
        <w:t xml:space="preserve">Attempting to coordinate engagements with the </w:t>
      </w:r>
      <w:proofErr w:type="gramStart"/>
      <w:r>
        <w:t>federally-recognized</w:t>
      </w:r>
      <w:proofErr w:type="gramEnd"/>
      <w:r>
        <w:t xml:space="preserve"> Tribal Nation in Alabama, coordinating engagements with several state-recognized Tribes, </w:t>
      </w:r>
      <w:r w:rsidR="009E7DFE">
        <w:t>historically black colleges and universities (HBCUs)</w:t>
      </w:r>
      <w:r>
        <w:t xml:space="preserve">, and additional community-based organizations throughout the </w:t>
      </w:r>
      <w:r w:rsidR="004625F1">
        <w:t>s</w:t>
      </w:r>
      <w:r w:rsidR="005679EC">
        <w:t>tate.</w:t>
      </w:r>
      <w:r w:rsidR="005F35DC">
        <w:rPr>
          <w:rStyle w:val="FootnoteReference"/>
        </w:rPr>
        <w:footnoteReference w:id="15"/>
      </w:r>
    </w:p>
    <w:p w:rsidR="007B4507" w:rsidP="006609D3" w:rsidRDefault="007B4507" w14:paraId="188D255C" w14:textId="76F6E537">
      <w:r>
        <w:t xml:space="preserve">More information regarding </w:t>
      </w:r>
      <w:r w:rsidR="00560F52">
        <w:t xml:space="preserve">ADECA’s external </w:t>
      </w:r>
      <w:r w:rsidR="001519AC">
        <w:t xml:space="preserve">engagement </w:t>
      </w:r>
      <w:r w:rsidR="009C7E67">
        <w:t xml:space="preserve">process </w:t>
      </w:r>
      <w:r w:rsidR="001519AC">
        <w:t>can be found in Section 5.1 of the Five-Year Action Plan</w:t>
      </w:r>
      <w:r w:rsidR="009C7E67">
        <w:t xml:space="preserve"> and Section 4 of this Initial Proposal</w:t>
      </w:r>
      <w:r w:rsidR="001519AC">
        <w:t>.</w:t>
      </w:r>
    </w:p>
    <w:p w:rsidR="00B666EA" w:rsidRDefault="00B666EA" w14:paraId="7A936930" w14:textId="77777777">
      <w:pPr>
        <w:jc w:val="left"/>
      </w:pPr>
      <w:r>
        <w:br w:type="page"/>
      </w:r>
    </w:p>
    <w:p w:rsidR="008E5E19" w:rsidP="00D824CB" w:rsidRDefault="008E5E19" w14:paraId="3BD62233" w14:textId="77777777">
      <w:pPr>
        <w:pStyle w:val="Heading1"/>
      </w:pPr>
      <w:bookmarkStart w:name="_Toc150852614" w:id="18"/>
      <w:r>
        <w:t>Local coordination (Requirement 4)</w:t>
      </w:r>
      <w:bookmarkEnd w:id="18"/>
    </w:p>
    <w:p w:rsidR="00E71EA0" w:rsidP="008E5E19" w:rsidRDefault="00EB6E9F" w14:paraId="0FD763BE" w14:textId="155BDE45">
      <w:r>
        <w:t>This section describes how ADECA has coordinated and will continue to coordinate with</w:t>
      </w:r>
      <w:r w:rsidR="00D93F30">
        <w:t xml:space="preserve"> all</w:t>
      </w:r>
      <w:r>
        <w:t xml:space="preserve"> communities</w:t>
      </w:r>
      <w:r w:rsidR="00D93F30">
        <w:t xml:space="preserve"> within its jurisdiction and relevant </w:t>
      </w:r>
      <w:r w:rsidR="00CF1042">
        <w:t>partners, including those representing</w:t>
      </w:r>
      <w:r w:rsidR="00CB61A9">
        <w:t xml:space="preserve"> </w:t>
      </w:r>
      <w:r w:rsidRPr="00710B09" w:rsidR="00CB61A9">
        <w:t>covered population</w:t>
      </w:r>
      <w:r w:rsidR="00E11E46">
        <w:t>s</w:t>
      </w:r>
      <w:r w:rsidR="00CB61A9">
        <w:t>/underrepresented communities</w:t>
      </w:r>
      <w:r w:rsidR="00BE0324">
        <w:t>.</w:t>
      </w:r>
      <w:r w:rsidR="005C58E5">
        <w:t xml:space="preserve"> </w:t>
      </w:r>
      <w:r w:rsidR="007F3231">
        <w:t xml:space="preserve">A </w:t>
      </w:r>
      <w:r w:rsidR="008003B5">
        <w:t>Local Coordination Tracker Tool</w:t>
      </w:r>
      <w:r w:rsidRPr="006063EE" w:rsidR="006063EE">
        <w:t xml:space="preserve"> </w:t>
      </w:r>
      <w:r w:rsidR="00BC514B">
        <w:t xml:space="preserve">is included </w:t>
      </w:r>
      <w:r w:rsidR="00940B47">
        <w:t>as</w:t>
      </w:r>
      <w:r w:rsidR="008B1975">
        <w:t xml:space="preserve"> a linked file in</w:t>
      </w:r>
      <w:r w:rsidR="00940B47">
        <w:t xml:space="preserve"> </w:t>
      </w:r>
      <w:hyperlink w:history="1" r:id="rId15">
        <w:r w:rsidRPr="00524E2B" w:rsidR="00574379">
          <w:rPr>
            <w:rStyle w:val="Hyperlink"/>
          </w:rPr>
          <w:t>Appendix A</w:t>
        </w:r>
      </w:hyperlink>
      <w:r w:rsidRPr="006063EE" w:rsidR="006063EE">
        <w:t>.</w:t>
      </w:r>
      <w:r w:rsidR="00672DCD">
        <w:t xml:space="preserve"> </w:t>
      </w:r>
      <w:r w:rsidR="00A578F9">
        <w:t xml:space="preserve">It </w:t>
      </w:r>
      <w:r w:rsidRPr="00A578F9" w:rsidR="00A578F9">
        <w:t xml:space="preserve">is a draft document and will be updated as necessary to reflect any new data prior to ADECA’s submission of Initial Proposal Volume </w:t>
      </w:r>
      <w:r w:rsidR="00A578F9">
        <w:t>2</w:t>
      </w:r>
      <w:r w:rsidRPr="00A578F9" w:rsidR="00A578F9">
        <w:t xml:space="preserve"> to NTIA</w:t>
      </w:r>
      <w:r w:rsidR="00A578F9">
        <w:t>.</w:t>
      </w:r>
    </w:p>
    <w:p w:rsidR="0065533C" w:rsidP="008E5E19" w:rsidRDefault="00296FA2" w14:paraId="09F2118F" w14:textId="460B119C">
      <w:r>
        <w:t xml:space="preserve">ADECA conducted its local coordination efforts </w:t>
      </w:r>
      <w:r w:rsidR="001021DF">
        <w:t>for</w:t>
      </w:r>
      <w:r w:rsidR="00100471">
        <w:t xml:space="preserve"> BEAD and the Digital Equity Act in tandem as one </w:t>
      </w:r>
      <w:r w:rsidR="00C02341">
        <w:t>cohesive</w:t>
      </w:r>
      <w:r w:rsidR="00100471">
        <w:t xml:space="preserve"> effort to avoid confusion and reduce the burden </w:t>
      </w:r>
      <w:r w:rsidR="00C02341">
        <w:t xml:space="preserve">on local partners. </w:t>
      </w:r>
      <w:r w:rsidR="0065533C">
        <w:t xml:space="preserve">As described below, ADECA’s </w:t>
      </w:r>
      <w:r w:rsidR="000767A0">
        <w:t xml:space="preserve">efforts </w:t>
      </w:r>
      <w:r w:rsidR="00C24A35">
        <w:t xml:space="preserve">meet each of the </w:t>
      </w:r>
      <w:r w:rsidR="00CF0D55">
        <w:t xml:space="preserve">local coordination criteria </w:t>
      </w:r>
      <w:r w:rsidR="007E5D7C">
        <w:t>included in the BEAD NOFO.</w:t>
      </w:r>
      <w:r w:rsidR="0046249B">
        <w:rPr>
          <w:rStyle w:val="FootnoteReference"/>
        </w:rPr>
        <w:footnoteReference w:id="16"/>
      </w:r>
    </w:p>
    <w:p w:rsidR="005679EC" w:rsidP="006F78D2" w:rsidRDefault="005679EC" w14:paraId="4B590913" w14:textId="04AD4E79">
      <w:pPr>
        <w:pStyle w:val="Heading2"/>
        <w:numPr>
          <w:ilvl w:val="1"/>
          <w:numId w:val="21"/>
        </w:numPr>
      </w:pPr>
      <w:bookmarkStart w:name="_Toc150852615" w:id="19"/>
      <w:r>
        <w:t>Full geographic coverage</w:t>
      </w:r>
      <w:bookmarkEnd w:id="19"/>
    </w:p>
    <w:p w:rsidR="002D793A" w:rsidP="00286344" w:rsidRDefault="005679EC" w14:paraId="466B6051" w14:textId="520FAF87">
      <w:r>
        <w:t xml:space="preserve">ADECA’s outreach included in-person technical assistance meetings in each of the 67 counties in the </w:t>
      </w:r>
      <w:r w:rsidR="004625F1">
        <w:t>s</w:t>
      </w:r>
      <w:r>
        <w:t>tate</w:t>
      </w:r>
      <w:r w:rsidR="00B11549">
        <w:t>,</w:t>
      </w:r>
      <w:r>
        <w:t xml:space="preserve"> as shown in the map below.</w:t>
      </w:r>
      <w:r w:rsidR="00080D43">
        <w:rPr>
          <w:rStyle w:val="FootnoteReference"/>
        </w:rPr>
        <w:footnoteReference w:id="17"/>
      </w:r>
      <w:r>
        <w:t xml:space="preserve"> ADECA took full advantage of local knowledge while planning for these engagements; local leadership investment in this process was critical to its success. An average of </w:t>
      </w:r>
      <w:r w:rsidR="00CC1A0B">
        <w:t>19</w:t>
      </w:r>
      <w:r>
        <w:t xml:space="preserve"> attendees per session</w:t>
      </w:r>
      <w:r>
        <w:rPr>
          <w:rStyle w:val="FootnoteReference"/>
        </w:rPr>
        <w:footnoteReference w:id="18"/>
      </w:r>
      <w:r>
        <w:t xml:space="preserve"> and over 568 organizations</w:t>
      </w:r>
      <w:r>
        <w:rPr>
          <w:rStyle w:val="FootnoteReference"/>
        </w:rPr>
        <w:footnoteReference w:id="19"/>
      </w:r>
      <w:r>
        <w:t xml:space="preserve"> participated in these in-person sessions over a six-month period. </w:t>
      </w:r>
    </w:p>
    <w:p w:rsidR="005679EC" w:rsidP="00286344" w:rsidRDefault="005679EC" w14:paraId="6251491D" w14:textId="6E0CAFF0">
      <w:pPr>
        <w:pStyle w:val="Caption"/>
      </w:pPr>
      <w:bookmarkStart w:name="_Toc150852755" w:id="20"/>
      <w:r>
        <w:t xml:space="preserve">Figure </w:t>
      </w:r>
      <w:r>
        <w:fldChar w:fldCharType="begin"/>
      </w:r>
      <w:r>
        <w:instrText>SEQ Figure \* ARABIC</w:instrText>
      </w:r>
      <w:r>
        <w:fldChar w:fldCharType="separate"/>
      </w:r>
      <w:r w:rsidR="00571998">
        <w:rPr>
          <w:noProof/>
        </w:rPr>
        <w:t>1</w:t>
      </w:r>
      <w:r>
        <w:fldChar w:fldCharType="end"/>
      </w:r>
      <w:r>
        <w:t xml:space="preserve">: </w:t>
      </w:r>
      <w:r w:rsidRPr="003E608D">
        <w:t xml:space="preserve">Alabama </w:t>
      </w:r>
      <w:r w:rsidDel="009279E6">
        <w:t>b</w:t>
      </w:r>
      <w:r w:rsidRPr="003E608D" w:rsidDel="009279E6">
        <w:t xml:space="preserve">roadband </w:t>
      </w:r>
      <w:r w:rsidDel="009279E6">
        <w:t>t</w:t>
      </w:r>
      <w:r w:rsidRPr="003E608D" w:rsidDel="009279E6">
        <w:t xml:space="preserve">echnical </w:t>
      </w:r>
      <w:r w:rsidDel="009279E6">
        <w:t>a</w:t>
      </w:r>
      <w:r w:rsidRPr="003E608D" w:rsidDel="009279E6">
        <w:t xml:space="preserve">ssistance </w:t>
      </w:r>
      <w:r>
        <w:t>o</w:t>
      </w:r>
      <w:r w:rsidRPr="003E608D">
        <w:t xml:space="preserve">utreach </w:t>
      </w:r>
      <w:r w:rsidRPr="003E608D" w:rsidDel="009279E6">
        <w:t xml:space="preserve">to </w:t>
      </w:r>
      <w:r w:rsidDel="009279E6">
        <w:t>c</w:t>
      </w:r>
      <w:r w:rsidRPr="003E608D" w:rsidDel="009279E6">
        <w:t>ounties</w:t>
      </w:r>
      <w:bookmarkEnd w:id="20"/>
    </w:p>
    <w:p w:rsidR="005679EC" w:rsidP="00286344" w:rsidRDefault="005679EC" w14:paraId="636EC0E3" w14:textId="77777777">
      <w:r>
        <w:rPr>
          <w:noProof/>
        </w:rPr>
        <w:drawing>
          <wp:inline distT="0" distB="0" distL="0" distR="0" wp14:anchorId="5139F129" wp14:editId="601142E6">
            <wp:extent cx="5801097" cy="7582829"/>
            <wp:effectExtent l="0" t="0" r="9525" b="0"/>
            <wp:docPr id="404483578" name="Picture 404483578" descr="A map showing the outreach schedule throughout every county in the state of Alab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83578" name="Picture 404483578" descr="A map showing the outreach schedule throughout every county in the state of Alabama."/>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826800" cy="7616426"/>
                    </a:xfrm>
                    <a:prstGeom prst="rect">
                      <a:avLst/>
                    </a:prstGeom>
                    <a:noFill/>
                    <a:ln>
                      <a:noFill/>
                    </a:ln>
                  </pic:spPr>
                </pic:pic>
              </a:graphicData>
            </a:graphic>
          </wp:inline>
        </w:drawing>
      </w:r>
    </w:p>
    <w:p w:rsidR="005679EC" w:rsidP="00286344" w:rsidRDefault="005679EC" w14:paraId="2AEABF20" w14:textId="44E1083D">
      <w:r>
        <w:t>The engagement process began with outreach to county and local leaders to plan the in-person meeting. Planning participants varied by county but often included regional planning commission representatives, county commissioners and administrators, local elected officials</w:t>
      </w:r>
      <w:r w:rsidR="00D50CBD">
        <w:t>,</w:t>
      </w:r>
      <w:r>
        <w:t xml:space="preserve"> municipal clerks, county-level economic development authority representatives, and other interested organizations. ADECA worked with local planning entities to gather contacts for invitations and finalize on-site logistics.</w:t>
      </w:r>
    </w:p>
    <w:p w:rsidR="005679EC" w:rsidP="00286344" w:rsidRDefault="005679EC" w14:paraId="0AB2EF5E" w14:textId="2B8E8415">
      <w:r>
        <w:t>In addition, ADECA worked with the local entities, as well as statewide member organizations</w:t>
      </w:r>
      <w:r w:rsidR="0057065F">
        <w:t>,</w:t>
      </w:r>
      <w:r>
        <w:t xml:space="preserve"> such as the Association of County Commissions of Alabama and the Alabama League of Municipalities, to help raise awareness among the public and colleagues by sharing the invitation to (and promotional materials about) the meetings as they deemed appropriate. ADECA felt the direct communication from local organizations would increase participation. </w:t>
      </w:r>
      <w:r w:rsidR="00192800">
        <w:t xml:space="preserve">State </w:t>
      </w:r>
      <w:r>
        <w:t xml:space="preserve">and regional partners were also invited to attend the local meetings. </w:t>
      </w:r>
    </w:p>
    <w:p w:rsidR="005679EC" w:rsidP="00286344" w:rsidRDefault="00225DB4" w14:paraId="0D959A3B" w14:textId="7F53276A">
      <w:r>
        <w:t>ADECA then held full- and half-day in-person meetings with attendees</w:t>
      </w:r>
      <w:r w:rsidR="005679EC">
        <w:t>. As noted, members of the public were invited and encouraged to participate and commonly did. During these meetings, ADECA provided information about the various broadband programs; shared information about broadband service in the county based on the Alabama Broadband Map; and listened to feedback from partners and community members regarding service gaps, programmatic shortcomings, and other unmet needs preventing full use of the internet. ADECA documented discussions during these meetings to capture insights on local infrastructure and programmatic assets, barriers</w:t>
      </w:r>
      <w:r w:rsidR="000D3BB1">
        <w:t>,</w:t>
      </w:r>
      <w:r w:rsidR="005679EC">
        <w:t xml:space="preserve"> and obstacles to broadband (both accessibility and </w:t>
      </w:r>
      <w:r w:rsidR="00AB465E">
        <w:t>d</w:t>
      </w:r>
      <w:r w:rsidRPr="00AE6EBE" w:rsidR="00AE6EBE">
        <w:t xml:space="preserve">igital </w:t>
      </w:r>
      <w:r w:rsidR="00AB465E">
        <w:t>o</w:t>
      </w:r>
      <w:r w:rsidRPr="00AE6EBE" w:rsidR="00AE6EBE">
        <w:t>pportunity</w:t>
      </w:r>
      <w:r w:rsidR="005679EC">
        <w:t>), and other needs and gaps.</w:t>
      </w:r>
      <w:r w:rsidR="00892FEF">
        <w:rPr>
          <w:rStyle w:val="FootnoteReference"/>
        </w:rPr>
        <w:footnoteReference w:id="20"/>
      </w:r>
    </w:p>
    <w:p w:rsidR="005679EC" w:rsidP="00286344" w:rsidRDefault="005679EC" w14:paraId="3F4A7BF0" w14:textId="3767D96B">
      <w:r>
        <w:t xml:space="preserve">In parallel to outreach through in-person engagements, ADECA conducted nine regional phone surveys in preparation for the </w:t>
      </w:r>
      <w:r w:rsidR="00942076">
        <w:t xml:space="preserve">Alabama Statewide Digital Opportunity </w:t>
      </w:r>
      <w:r>
        <w:t xml:space="preserve">Plan as well as to inform this </w:t>
      </w:r>
      <w:r w:rsidR="00BF543C">
        <w:t>Initial Proposal</w:t>
      </w:r>
      <w:r>
        <w:t xml:space="preserve"> to capture resident input across the </w:t>
      </w:r>
      <w:r w:rsidR="004625F1">
        <w:t>s</w:t>
      </w:r>
      <w:r>
        <w:t xml:space="preserve">tate on a region-by-region basis. This approach informs needs and gaps analysis for the </w:t>
      </w:r>
      <w:r w:rsidR="004625F1">
        <w:t>s</w:t>
      </w:r>
      <w:r>
        <w:t xml:space="preserve">tate’s broadband and </w:t>
      </w:r>
      <w:r w:rsidR="00AB465E">
        <w:t>d</w:t>
      </w:r>
      <w:r w:rsidRPr="00AE6EBE" w:rsidR="00AE6EBE">
        <w:t xml:space="preserve">igital </w:t>
      </w:r>
      <w:r w:rsidR="00AB465E">
        <w:t>o</w:t>
      </w:r>
      <w:r w:rsidRPr="00AE6EBE" w:rsidR="00AE6EBE">
        <w:t>pportunity</w:t>
      </w:r>
      <w:r w:rsidDel="00AE6EBE">
        <w:t xml:space="preserve"> </w:t>
      </w:r>
      <w:r>
        <w:t>planning efforts with greater specificity than a single statewide survey.</w:t>
      </w:r>
      <w:r w:rsidR="00D6012D">
        <w:rPr>
          <w:rStyle w:val="FootnoteReference"/>
        </w:rPr>
        <w:footnoteReference w:id="21"/>
      </w:r>
      <w:r>
        <w:t xml:space="preserve"> </w:t>
      </w:r>
    </w:p>
    <w:p w:rsidR="005679EC" w:rsidP="00286344" w:rsidRDefault="005679EC" w14:paraId="27816A00" w14:textId="6C759B73">
      <w:r>
        <w:t xml:space="preserve">The phone surveys collected data on the perceived reliability of Alabama residents’ home internet, household monthly internet expenses, and perception of their digital skills, among other topics. Because of their larger populations, Jefferson and Montgomery </w:t>
      </w:r>
      <w:r w:rsidR="00DA326D">
        <w:t>C</w:t>
      </w:r>
      <w:r>
        <w:t xml:space="preserve">ounties were surveyed independently. Each survey collected a minimum of 400 responses, supporting estimation of true population proportions within </w:t>
      </w:r>
      <w:r w:rsidRPr="000F42E7">
        <w:t>±</w:t>
      </w:r>
      <w:r>
        <w:t xml:space="preserve">2.5 percent. </w:t>
      </w:r>
    </w:p>
    <w:p w:rsidR="005679EC" w:rsidP="00286344" w:rsidRDefault="005679EC" w14:paraId="2ACC443D" w14:textId="758988AD">
      <w:r>
        <w:t xml:space="preserve">ADECA conducted surveys over the phone to reach those without internet access. Calls were made from morning to evening to capture input from those with various working hours. ADECA </w:t>
      </w:r>
      <w:r w:rsidR="00253AD7">
        <w:t>provided</w:t>
      </w:r>
      <w:r>
        <w:t xml:space="preserve"> resident survey analysis results in </w:t>
      </w:r>
      <w:r w:rsidR="003A13BC">
        <w:t>the Alabama Statewide Digital Opportunity Plan</w:t>
      </w:r>
      <w:r>
        <w:t>.</w:t>
      </w:r>
    </w:p>
    <w:p w:rsidR="005679EC" w:rsidP="00286344" w:rsidRDefault="005679EC" w14:paraId="7962A183" w14:textId="65AE593D">
      <w:pPr>
        <w:pStyle w:val="Caption"/>
      </w:pPr>
      <w:bookmarkStart w:name="_Toc150852756" w:id="21"/>
      <w:r>
        <w:t xml:space="preserve">Figure </w:t>
      </w:r>
      <w:r>
        <w:fldChar w:fldCharType="begin"/>
      </w:r>
      <w:r>
        <w:instrText>SEQ Figure \* ARABIC</w:instrText>
      </w:r>
      <w:r>
        <w:fldChar w:fldCharType="separate"/>
      </w:r>
      <w:r w:rsidR="00571998">
        <w:rPr>
          <w:noProof/>
        </w:rPr>
        <w:t>2</w:t>
      </w:r>
      <w:r>
        <w:fldChar w:fldCharType="end"/>
      </w:r>
      <w:r>
        <w:t>: ADECA resident survey dates by region</w:t>
      </w:r>
      <w:bookmarkEnd w:id="21"/>
    </w:p>
    <w:p w:rsidR="005679EC" w:rsidP="00286344" w:rsidRDefault="005679EC" w14:paraId="57DB181F" w14:textId="77777777">
      <w:r>
        <w:rPr>
          <w:noProof/>
        </w:rPr>
        <w:drawing>
          <wp:inline distT="0" distB="0" distL="0" distR="0" wp14:anchorId="1F22FD7D" wp14:editId="21A605EE">
            <wp:extent cx="5829300" cy="7543303"/>
            <wp:effectExtent l="0" t="0" r="0" b="635"/>
            <wp:docPr id="285400328" name="Picture 285400328" descr="A map showing various regions of Alabama and the regional schedule for surveys conducted throughout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00328" name="Picture 285400328" descr="A map showing various regions of Alabama and the regional schedule for surveys conducted throughout the sta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4177" cy="7549614"/>
                    </a:xfrm>
                    <a:prstGeom prst="rect">
                      <a:avLst/>
                    </a:prstGeom>
                    <a:noFill/>
                    <a:ln>
                      <a:noFill/>
                    </a:ln>
                  </pic:spPr>
                </pic:pic>
              </a:graphicData>
            </a:graphic>
          </wp:inline>
        </w:drawing>
      </w:r>
    </w:p>
    <w:p w:rsidR="005679EC" w:rsidP="006F78D2" w:rsidRDefault="005679EC" w14:paraId="0B394F15" w14:textId="59A4AC47">
      <w:pPr>
        <w:pStyle w:val="Heading2"/>
        <w:numPr>
          <w:ilvl w:val="1"/>
          <w:numId w:val="21"/>
        </w:numPr>
      </w:pPr>
      <w:bookmarkStart w:name="_Toc150852616" w:id="22"/>
      <w:r>
        <w:t>Meaningful engagement and outreach to diverse groups</w:t>
      </w:r>
      <w:bookmarkEnd w:id="22"/>
    </w:p>
    <w:p w:rsidR="005679EC" w:rsidP="00286344" w:rsidRDefault="005679EC" w14:paraId="309B88BC" w14:textId="68524E21">
      <w:r>
        <w:t xml:space="preserve">ADECA worked with county and local leaders to develop invitation lists for in-person sessions that </w:t>
      </w:r>
      <w:r w:rsidRPr="00B9338B">
        <w:t>include</w:t>
      </w:r>
      <w:r>
        <w:t>d all entities listed in Section IV.C.1.</w:t>
      </w:r>
      <w:r w:rsidR="00DD7004">
        <w:t>c.</w:t>
      </w:r>
      <w:r>
        <w:t>ii of the BEAD NOFO.</w:t>
      </w:r>
      <w:r>
        <w:rPr>
          <w:rStyle w:val="FootnoteReference"/>
        </w:rPr>
        <w:footnoteReference w:id="22"/>
      </w:r>
      <w:r>
        <w:t xml:space="preserve"> Potential partners were identified via a combination of desk research, ADECA’s local knowledge, and ADECA’s ongoing outreach to and existing relationships with relevant entities. These entities included:</w:t>
      </w:r>
    </w:p>
    <w:p w:rsidR="005679EC" w:rsidP="00CC08BB" w:rsidRDefault="005679EC" w14:paraId="59D95F4D" w14:textId="77777777">
      <w:pPr>
        <w:pStyle w:val="ListParagraph"/>
        <w:numPr>
          <w:ilvl w:val="0"/>
          <w:numId w:val="8"/>
        </w:numPr>
        <w:spacing w:after="200"/>
      </w:pPr>
      <w:r>
        <w:t>Local government elected officials and agencies</w:t>
      </w:r>
    </w:p>
    <w:p w:rsidR="005679EC" w:rsidP="00CC08BB" w:rsidRDefault="005679EC" w14:paraId="0329DFFF" w14:textId="77777777">
      <w:pPr>
        <w:pStyle w:val="ListParagraph"/>
        <w:numPr>
          <w:ilvl w:val="0"/>
          <w:numId w:val="8"/>
        </w:numPr>
        <w:spacing w:after="200"/>
      </w:pPr>
      <w:r>
        <w:t>County elected officials and agencies</w:t>
      </w:r>
    </w:p>
    <w:p w:rsidR="005679EC" w:rsidP="00CC08BB" w:rsidRDefault="005679EC" w14:paraId="7882F700" w14:textId="77777777">
      <w:pPr>
        <w:pStyle w:val="ListParagraph"/>
        <w:numPr>
          <w:ilvl w:val="0"/>
          <w:numId w:val="8"/>
        </w:numPr>
        <w:spacing w:after="200"/>
      </w:pPr>
      <w:r>
        <w:t>Regional planning commissions and councils of government</w:t>
      </w:r>
    </w:p>
    <w:p w:rsidR="005679EC" w:rsidP="00CC08BB" w:rsidRDefault="005679EC" w14:paraId="534AB223" w14:textId="77777777">
      <w:pPr>
        <w:pStyle w:val="ListParagraph"/>
        <w:numPr>
          <w:ilvl w:val="0"/>
          <w:numId w:val="8"/>
        </w:numPr>
        <w:spacing w:after="200"/>
      </w:pPr>
      <w:r>
        <w:t>State agencies, especially those with local field representatives such as the Alabama Cooperative Extension Service, Alabama Department of Human Resources, and Alabama Department of Veterans Affairs</w:t>
      </w:r>
    </w:p>
    <w:p w:rsidR="005679EC" w:rsidP="00CC08BB" w:rsidRDefault="005679EC" w14:paraId="73A0D249" w14:textId="77777777">
      <w:pPr>
        <w:pStyle w:val="ListParagraph"/>
        <w:numPr>
          <w:ilvl w:val="0"/>
          <w:numId w:val="8"/>
        </w:numPr>
        <w:spacing w:after="200"/>
      </w:pPr>
      <w:r>
        <w:t>Local chambers of commerce and economic development entities</w:t>
      </w:r>
    </w:p>
    <w:p w:rsidR="005679EC" w:rsidP="00CC08BB" w:rsidRDefault="005679EC" w14:paraId="7BB03819" w14:textId="77777777">
      <w:pPr>
        <w:pStyle w:val="ListParagraph"/>
        <w:numPr>
          <w:ilvl w:val="0"/>
          <w:numId w:val="8"/>
        </w:numPr>
        <w:spacing w:after="200"/>
      </w:pPr>
      <w:r>
        <w:t>Local housing authorities and community support organizations and agencies</w:t>
      </w:r>
    </w:p>
    <w:p w:rsidR="005679EC" w:rsidP="00CC08BB" w:rsidRDefault="005679EC" w14:paraId="32650168" w14:textId="77777777">
      <w:pPr>
        <w:pStyle w:val="ListParagraph"/>
        <w:numPr>
          <w:ilvl w:val="0"/>
          <w:numId w:val="8"/>
        </w:numPr>
        <w:spacing w:after="200"/>
      </w:pPr>
      <w:r>
        <w:t>Local libraries and schools</w:t>
      </w:r>
    </w:p>
    <w:p w:rsidR="005679EC" w:rsidP="00CC08BB" w:rsidRDefault="005679EC" w14:paraId="67F3C307" w14:textId="77777777">
      <w:pPr>
        <w:pStyle w:val="ListParagraph"/>
        <w:numPr>
          <w:ilvl w:val="0"/>
          <w:numId w:val="8"/>
        </w:numPr>
        <w:spacing w:after="200"/>
      </w:pPr>
      <w:r>
        <w:t>Hospital and health care systems</w:t>
      </w:r>
    </w:p>
    <w:p w:rsidR="005679EC" w:rsidP="00CC08BB" w:rsidRDefault="005679EC" w14:paraId="0D8DD1FE" w14:textId="77777777">
      <w:pPr>
        <w:pStyle w:val="ListParagraph"/>
        <w:numPr>
          <w:ilvl w:val="0"/>
          <w:numId w:val="8"/>
        </w:numPr>
        <w:spacing w:after="200"/>
      </w:pPr>
      <w:r>
        <w:t>Public safety agencies</w:t>
      </w:r>
    </w:p>
    <w:p w:rsidR="005679EC" w:rsidP="00CC08BB" w:rsidRDefault="005679EC" w14:paraId="14BDA6B6" w14:textId="77777777">
      <w:pPr>
        <w:pStyle w:val="ListParagraph"/>
        <w:numPr>
          <w:ilvl w:val="0"/>
          <w:numId w:val="8"/>
        </w:numPr>
        <w:spacing w:after="200"/>
      </w:pPr>
      <w:r>
        <w:t>Civil rights organizations</w:t>
      </w:r>
    </w:p>
    <w:p w:rsidR="005679EC" w:rsidP="00CC08BB" w:rsidRDefault="005679EC" w14:paraId="4AB158C0" w14:textId="7F60B471">
      <w:pPr>
        <w:pStyle w:val="ListParagraph"/>
        <w:numPr>
          <w:ilvl w:val="0"/>
          <w:numId w:val="8"/>
        </w:numPr>
        <w:spacing w:after="200"/>
      </w:pPr>
      <w:r>
        <w:t>The educational community</w:t>
      </w:r>
      <w:r w:rsidR="00736BD8">
        <w:t>,</w:t>
      </w:r>
      <w:r>
        <w:t xml:space="preserve"> including higher education and workforce development entities</w:t>
      </w:r>
    </w:p>
    <w:p w:rsidR="005679EC" w:rsidP="00CC08BB" w:rsidRDefault="005679EC" w14:paraId="10A6A647" w14:textId="77777777">
      <w:pPr>
        <w:pStyle w:val="ListParagraph"/>
        <w:numPr>
          <w:ilvl w:val="0"/>
          <w:numId w:val="8"/>
        </w:numPr>
        <w:spacing w:after="200"/>
      </w:pPr>
      <w:r>
        <w:t>Organizations that serve and represent:</w:t>
      </w:r>
    </w:p>
    <w:p w:rsidR="005679EC" w:rsidP="00032360" w:rsidRDefault="005679EC" w14:paraId="6445B42D" w14:textId="77777777">
      <w:pPr>
        <w:pStyle w:val="ListParagraph"/>
        <w:numPr>
          <w:ilvl w:val="1"/>
          <w:numId w:val="8"/>
        </w:numPr>
        <w:spacing w:after="200"/>
        <w:ind w:left="1080"/>
      </w:pPr>
      <w:r>
        <w:t>Low-income households</w:t>
      </w:r>
    </w:p>
    <w:p w:rsidR="005679EC" w:rsidP="00032360" w:rsidRDefault="005679EC" w14:paraId="611E2000" w14:textId="5289B332">
      <w:pPr>
        <w:pStyle w:val="ListParagraph"/>
        <w:numPr>
          <w:ilvl w:val="1"/>
          <w:numId w:val="8"/>
        </w:numPr>
        <w:spacing w:after="200"/>
        <w:ind w:left="1080"/>
      </w:pPr>
      <w:r>
        <w:t>Individuals with disabilities, including organizations that represent children with disabilities such as the Alabama Institute for Deaf and Blind</w:t>
      </w:r>
    </w:p>
    <w:p w:rsidR="005679EC" w:rsidP="00032360" w:rsidRDefault="005679EC" w14:paraId="5BBE914A" w14:textId="77777777">
      <w:pPr>
        <w:pStyle w:val="ListParagraph"/>
        <w:numPr>
          <w:ilvl w:val="1"/>
          <w:numId w:val="8"/>
        </w:numPr>
        <w:spacing w:after="200"/>
        <w:ind w:left="1080"/>
      </w:pPr>
      <w:r>
        <w:t>Individuals who are 60 years of age or older</w:t>
      </w:r>
    </w:p>
    <w:p w:rsidR="005679EC" w:rsidP="00032360" w:rsidRDefault="005679EC" w14:paraId="38D8B64D" w14:textId="77777777">
      <w:pPr>
        <w:pStyle w:val="ListParagraph"/>
        <w:numPr>
          <w:ilvl w:val="1"/>
          <w:numId w:val="8"/>
        </w:numPr>
        <w:spacing w:after="200"/>
        <w:ind w:left="1080"/>
      </w:pPr>
      <w:r>
        <w:t>Individuals with language barriers, including English learners and individuals with low levels of literacy</w:t>
      </w:r>
    </w:p>
    <w:p w:rsidR="005679EC" w:rsidP="00032360" w:rsidRDefault="005679EC" w14:paraId="6CD66975" w14:textId="77777777">
      <w:pPr>
        <w:pStyle w:val="ListParagraph"/>
        <w:numPr>
          <w:ilvl w:val="1"/>
          <w:numId w:val="8"/>
        </w:numPr>
        <w:spacing w:after="200"/>
        <w:ind w:left="1080"/>
      </w:pPr>
      <w:r>
        <w:t>People of color</w:t>
      </w:r>
    </w:p>
    <w:p w:rsidR="005679EC" w:rsidP="00032360" w:rsidRDefault="005679EC" w14:paraId="7898A443" w14:textId="77777777">
      <w:pPr>
        <w:pStyle w:val="ListParagraph"/>
        <w:numPr>
          <w:ilvl w:val="1"/>
          <w:numId w:val="8"/>
        </w:numPr>
        <w:spacing w:after="200"/>
        <w:ind w:left="1080"/>
      </w:pPr>
      <w:r>
        <w:t>LGBTQI+ people</w:t>
      </w:r>
    </w:p>
    <w:p w:rsidR="005679EC" w:rsidP="00032360" w:rsidRDefault="005679EC" w14:paraId="12E29ACC" w14:textId="77777777">
      <w:pPr>
        <w:pStyle w:val="ListParagraph"/>
        <w:numPr>
          <w:ilvl w:val="1"/>
          <w:numId w:val="8"/>
        </w:numPr>
        <w:spacing w:after="200"/>
        <w:ind w:left="1080"/>
      </w:pPr>
      <w:r>
        <w:t>Immigrants</w:t>
      </w:r>
    </w:p>
    <w:p w:rsidR="005679EC" w:rsidP="00032360" w:rsidRDefault="005679EC" w14:paraId="1A5952B6" w14:textId="77777777">
      <w:pPr>
        <w:pStyle w:val="ListParagraph"/>
        <w:numPr>
          <w:ilvl w:val="1"/>
          <w:numId w:val="8"/>
        </w:numPr>
        <w:spacing w:after="200"/>
        <w:ind w:left="1080"/>
      </w:pPr>
      <w:r>
        <w:t>Veterans</w:t>
      </w:r>
    </w:p>
    <w:p w:rsidR="005679EC" w:rsidP="00032360" w:rsidRDefault="005679EC" w14:paraId="6FC6D858" w14:textId="77777777">
      <w:pPr>
        <w:pStyle w:val="ListParagraph"/>
        <w:numPr>
          <w:ilvl w:val="1"/>
          <w:numId w:val="8"/>
        </w:numPr>
        <w:spacing w:after="200"/>
        <w:ind w:left="1080"/>
      </w:pPr>
      <w:r>
        <w:t>Individuals in Alabama who are incarcerated or who were recently incarcerated</w:t>
      </w:r>
    </w:p>
    <w:p w:rsidR="005679EC" w:rsidP="00CC08BB" w:rsidRDefault="005679EC" w14:paraId="3A66AC11" w14:textId="304BA6E1">
      <w:pPr>
        <w:pStyle w:val="ListParagraph"/>
        <w:numPr>
          <w:ilvl w:val="0"/>
          <w:numId w:val="8"/>
        </w:numPr>
        <w:spacing w:after="200"/>
      </w:pPr>
      <w:r>
        <w:t>ISPs and other companies</w:t>
      </w:r>
      <w:r w:rsidR="00E41D6E">
        <w:t>,</w:t>
      </w:r>
      <w:r>
        <w:t xml:space="preserve"> such as equipment providers</w:t>
      </w:r>
      <w:r w:rsidR="005D5C3F">
        <w:t>,</w:t>
      </w:r>
      <w:r>
        <w:t xml:space="preserve"> that support broadband deployment</w:t>
      </w:r>
    </w:p>
    <w:p w:rsidR="005679EC" w:rsidP="00CC08BB" w:rsidRDefault="005679EC" w14:paraId="0FE3EB02" w14:textId="77777777">
      <w:pPr>
        <w:pStyle w:val="ListParagraph"/>
        <w:numPr>
          <w:ilvl w:val="0"/>
          <w:numId w:val="8"/>
        </w:numPr>
        <w:spacing w:after="200"/>
      </w:pPr>
      <w:r>
        <w:t>Labor unions</w:t>
      </w:r>
    </w:p>
    <w:p w:rsidR="005679EC" w:rsidP="00CC08BB" w:rsidRDefault="005679EC" w14:paraId="35BB759B" w14:textId="77777777">
      <w:pPr>
        <w:pStyle w:val="ListParagraph"/>
        <w:numPr>
          <w:ilvl w:val="0"/>
          <w:numId w:val="8"/>
        </w:numPr>
        <w:spacing w:after="200"/>
      </w:pPr>
      <w:r>
        <w:t>Federal agencies with an interest in the region, such as the Tennessee Valley Authority</w:t>
      </w:r>
    </w:p>
    <w:p w:rsidR="005679EC" w:rsidP="00CC08BB" w:rsidRDefault="005679EC" w14:paraId="739B98E4" w14:textId="77777777">
      <w:pPr>
        <w:pStyle w:val="ListParagraph"/>
        <w:numPr>
          <w:ilvl w:val="0"/>
          <w:numId w:val="8"/>
        </w:numPr>
        <w:spacing w:after="200"/>
      </w:pPr>
      <w:r>
        <w:t>Consumer advocates</w:t>
      </w:r>
    </w:p>
    <w:p w:rsidR="005679EC" w:rsidP="00CC08BB" w:rsidRDefault="005679EC" w14:paraId="33455E03" w14:textId="77777777">
      <w:pPr>
        <w:pStyle w:val="ListParagraph"/>
        <w:numPr>
          <w:ilvl w:val="0"/>
          <w:numId w:val="8"/>
        </w:numPr>
        <w:spacing w:after="200"/>
      </w:pPr>
      <w:r>
        <w:t>Faith-based organizations</w:t>
      </w:r>
    </w:p>
    <w:p w:rsidR="005679EC" w:rsidP="00CC08BB" w:rsidRDefault="005679EC" w14:paraId="0734643F" w14:textId="77777777">
      <w:pPr>
        <w:pStyle w:val="ListParagraph"/>
        <w:numPr>
          <w:ilvl w:val="0"/>
          <w:numId w:val="8"/>
        </w:numPr>
        <w:spacing w:after="200"/>
      </w:pPr>
      <w:r>
        <w:t>Neighborhood and regional associations</w:t>
      </w:r>
    </w:p>
    <w:p w:rsidR="005679EC" w:rsidP="00CC08BB" w:rsidRDefault="005679EC" w14:paraId="7FF67F7A" w14:textId="77777777">
      <w:pPr>
        <w:pStyle w:val="ListParagraph"/>
        <w:numPr>
          <w:ilvl w:val="0"/>
          <w:numId w:val="8"/>
        </w:numPr>
        <w:spacing w:after="200"/>
      </w:pPr>
      <w:r>
        <w:t>Tribal governments (as a separate communication)</w:t>
      </w:r>
    </w:p>
    <w:p w:rsidR="005679EC" w:rsidP="00CC08BB" w:rsidRDefault="005679EC" w14:paraId="2E856D2C" w14:textId="2FEB97AE">
      <w:pPr>
        <w:pStyle w:val="ListParagraph"/>
        <w:numPr>
          <w:ilvl w:val="0"/>
          <w:numId w:val="8"/>
        </w:numPr>
        <w:spacing w:after="200"/>
      </w:pPr>
      <w:r>
        <w:t>Other organizations that serve as representatives of underrepresented communities</w:t>
      </w:r>
      <w:r w:rsidR="00E128CD">
        <w:rPr>
          <w:rStyle w:val="FootnoteReference"/>
        </w:rPr>
        <w:footnoteReference w:id="23"/>
      </w:r>
    </w:p>
    <w:p w:rsidRPr="00327414" w:rsidR="005C56EC" w:rsidP="00AE6EBE" w:rsidRDefault="005679EC" w14:paraId="0550B379" w14:textId="77B3DF69">
      <w:r>
        <w:t xml:space="preserve">ADECA has also reached out to the Poarch Band of Creek Indians, Alabama’s only </w:t>
      </w:r>
      <w:proofErr w:type="gramStart"/>
      <w:r>
        <w:t>federally</w:t>
      </w:r>
      <w:r w:rsidR="00B22999">
        <w:t>-</w:t>
      </w:r>
      <w:r>
        <w:t>recognized</w:t>
      </w:r>
      <w:proofErr w:type="gramEnd"/>
      <w:r>
        <w:t xml:space="preserve"> Tribe, to schedule a listening session on Poarch territory. In January 2023, ADECA invited the Tribal Leadership to participate in a county session being held close to Tribal land but did not receive a response. In </w:t>
      </w:r>
      <w:r w:rsidR="000A7DD9">
        <w:t>June</w:t>
      </w:r>
      <w:r>
        <w:t xml:space="preserve"> 2023, ADECA sent a Dear Tribal Leader letter</w:t>
      </w:r>
      <w:r w:rsidR="000A7DD9">
        <w:t xml:space="preserve"> requesting input and in early September 2023 sent a follow-up </w:t>
      </w:r>
      <w:r w:rsidR="00860B5C">
        <w:t>letter</w:t>
      </w:r>
      <w:r w:rsidR="00AC1D90">
        <w:t xml:space="preserve"> to Tribal Leadership</w:t>
      </w:r>
      <w:r>
        <w:t xml:space="preserve">, but as of submission of this </w:t>
      </w:r>
      <w:r w:rsidR="005E17C7">
        <w:t xml:space="preserve">Initial </w:t>
      </w:r>
      <w:r w:rsidR="000A7DD9">
        <w:t>Proposal</w:t>
      </w:r>
      <w:r w:rsidR="00A458A7">
        <w:t>,</w:t>
      </w:r>
      <w:r w:rsidR="000A7DD9">
        <w:t xml:space="preserve"> </w:t>
      </w:r>
      <w:r>
        <w:t xml:space="preserve">has not yet received a response. </w:t>
      </w:r>
      <w:bookmarkStart w:name="_Hlk150515881" w:id="23"/>
      <w:r w:rsidR="00CE045D">
        <w:t xml:space="preserve">A copy of both letters is </w:t>
      </w:r>
      <w:r w:rsidR="00101A5E">
        <w:t xml:space="preserve">included as linked file in </w:t>
      </w:r>
      <w:hyperlink w:history="1" r:id="rId18">
        <w:r w:rsidRPr="00101A5E" w:rsidR="00101A5E">
          <w:rPr>
            <w:rStyle w:val="Hyperlink"/>
          </w:rPr>
          <w:t>Appendix B</w:t>
        </w:r>
      </w:hyperlink>
      <w:r w:rsidR="002F4DD2">
        <w:t>.</w:t>
      </w:r>
      <w:bookmarkEnd w:id="23"/>
      <w:r w:rsidR="002F4DD2">
        <w:t xml:space="preserve"> </w:t>
      </w:r>
      <w:r>
        <w:t xml:space="preserve">ADECA will continue to reach out to the Poarch Band of Creek Indians to try to schedule a listening session to inform both the BEAD and </w:t>
      </w:r>
      <w:r w:rsidDel="00A458A7">
        <w:t xml:space="preserve">Digital </w:t>
      </w:r>
      <w:r w:rsidR="00816AA9">
        <w:t>Equity Act funded programs</w:t>
      </w:r>
      <w:r>
        <w:t xml:space="preserve">. </w:t>
      </w:r>
      <w:r w:rsidR="005D5C3F">
        <w:t xml:space="preserve">In addition, </w:t>
      </w:r>
      <w:r w:rsidR="005C56EC">
        <w:t xml:space="preserve">ADECA </w:t>
      </w:r>
      <w:r w:rsidR="00E15260">
        <w:t xml:space="preserve">has </w:t>
      </w:r>
      <w:r w:rsidR="005C56EC">
        <w:t>conducted virtual meetings with the state-recognized MOWA Band of Choctaw Indians, Southeastern Mvskoke Nation, and Ma-Chis Lower Creek Indian Tribe of Alabama, which provided insight on broadband deployment and digital opportunity barriers for Tribes.</w:t>
      </w:r>
      <w:r w:rsidR="00471AD0">
        <w:rPr>
          <w:rStyle w:val="FootnoteReference"/>
        </w:rPr>
        <w:footnoteReference w:id="24"/>
      </w:r>
    </w:p>
    <w:p w:rsidR="005679EC" w:rsidP="00286344" w:rsidRDefault="005679EC" w14:paraId="19105392" w14:textId="2EB3583B">
      <w:r>
        <w:t>ADECA also held virtual discussion sessions with partners statewide</w:t>
      </w:r>
      <w:r w:rsidR="00C2791B">
        <w:t>—</w:t>
      </w:r>
      <w:r>
        <w:t xml:space="preserve">one for </w:t>
      </w:r>
      <w:r w:rsidR="001D0A3E">
        <w:t xml:space="preserve">ISPs </w:t>
      </w:r>
      <w:r>
        <w:t xml:space="preserve">and two each for government agencies and non-profit community-based organizations. Participants included </w:t>
      </w:r>
      <w:r w:rsidR="004625F1">
        <w:t>s</w:t>
      </w:r>
      <w:r>
        <w:t xml:space="preserve">tate and regional potential partners who may not have been able to attend the in-person county meetings. These engagements included breakout sessions for potential partners by area of focus. </w:t>
      </w:r>
    </w:p>
    <w:p w:rsidR="005679EC" w:rsidP="00286344" w:rsidRDefault="005679EC" w14:paraId="2262D36B" w14:textId="34197EF3">
      <w:r>
        <w:t xml:space="preserve">ADECA collected input on coverage gaps and </w:t>
      </w:r>
      <w:r w:rsidR="00AB465E">
        <w:t>d</w:t>
      </w:r>
      <w:r w:rsidRPr="00AE6EBE" w:rsidR="00AE6EBE">
        <w:t xml:space="preserve">igital </w:t>
      </w:r>
      <w:r w:rsidR="00AB465E">
        <w:t>o</w:t>
      </w:r>
      <w:r w:rsidRPr="00AE6EBE" w:rsidR="00AE6EBE">
        <w:t>pportunity</w:t>
      </w:r>
      <w:r w:rsidDel="00AE6EBE">
        <w:t xml:space="preserve"> </w:t>
      </w:r>
      <w:r>
        <w:t>needs, digital skills and workforce development programs currently in place, and how such programs could be improved with additional resources. This information was also captured from potential partners through questionnaires for ISPs, government agencies, and community-based organizations, which participants were encouraged to fill out after these meetings.</w:t>
      </w:r>
      <w:r w:rsidR="00EC0DBC">
        <w:rPr>
          <w:rStyle w:val="FootnoteReference"/>
        </w:rPr>
        <w:footnoteReference w:id="25"/>
      </w:r>
      <w:r>
        <w:t xml:space="preserve"> Data collected were specific to the potential partners’ area of focus. </w:t>
      </w:r>
    </w:p>
    <w:p w:rsidR="005679EC" w:rsidP="006F78D2" w:rsidRDefault="005679EC" w14:paraId="44557F5F" w14:textId="77777777">
      <w:pPr>
        <w:pStyle w:val="Heading2"/>
        <w:numPr>
          <w:ilvl w:val="1"/>
          <w:numId w:val="21"/>
        </w:numPr>
      </w:pPr>
      <w:bookmarkStart w:name="_Toc150852617" w:id="24"/>
      <w:r>
        <w:t>Multiple awareness and participation mechanisms</w:t>
      </w:r>
      <w:bookmarkEnd w:id="24"/>
    </w:p>
    <w:p w:rsidR="005679EC" w:rsidP="00286344" w:rsidRDefault="005679EC" w14:paraId="1F042EA3" w14:textId="482E61AA">
      <w:r>
        <w:t xml:space="preserve">ADECA raised awareness about their outreach program via word-of-mouth through local leaders stemming from the initial planning call to set up the meeting; print, local media, and social media channels; and </w:t>
      </w:r>
      <w:r w:rsidR="004625F1">
        <w:t>s</w:t>
      </w:r>
      <w:r>
        <w:t>tate outreach using the ADECA website and push pages to listserv subscribers. The processes described above detail many of these mechanisms. In addition, to support distribution through local channels, ADECA provided meeting notice flyers, invitations, and social media blurbs to local leaders and organization leads (such as the Association of County Commissions of Alabama and the Alabama League of Municipalities</w:t>
      </w:r>
      <w:r w:rsidR="00134194">
        <w:t>,</w:t>
      </w:r>
      <w:r>
        <w:t xml:space="preserve"> as mentioned above) to distribute via print and digital channels throughout their member organization or community. And during the planning phase for these engagements, ADECA asked if special accommodations were needed for persons with </w:t>
      </w:r>
      <w:r w:rsidR="00663083">
        <w:t xml:space="preserve">language barriers or </w:t>
      </w:r>
      <w:r>
        <w:t>disabilities and made appropriate accommodations.</w:t>
      </w:r>
      <w:r w:rsidRPr="00F0378E">
        <w:t xml:space="preserve"> </w:t>
      </w:r>
    </w:p>
    <w:p w:rsidR="005679EC" w:rsidP="00286344" w:rsidRDefault="005679EC" w14:paraId="7E7DF5DB" w14:textId="787C4265">
      <w:r>
        <w:t xml:space="preserve">Through its robust outreach efforts within each county throughout the </w:t>
      </w:r>
      <w:r w:rsidR="004625F1">
        <w:t>s</w:t>
      </w:r>
      <w:r>
        <w:t xml:space="preserve">tate, regionally, and with statewide organizations, ADECA greatly expanded its list of broadband partner contacts and leveraged the resulting extensive contact list throughout the process. ADECA will continue to leverage this list for ongoing announcements and outreach throughout the </w:t>
      </w:r>
      <w:r w:rsidR="004625F1">
        <w:t>s</w:t>
      </w:r>
      <w:r>
        <w:t>tate. ADECA also maintains a portal on its website that allows anyone to join its email distribution list.</w:t>
      </w:r>
      <w:r w:rsidR="001C1B06">
        <w:rPr>
          <w:rStyle w:val="FootnoteReference"/>
        </w:rPr>
        <w:footnoteReference w:id="26"/>
      </w:r>
    </w:p>
    <w:p w:rsidR="005679EC" w:rsidP="00286344" w:rsidRDefault="005679EC" w14:paraId="414DE02C" w14:textId="6552CAF4">
      <w:r>
        <w:t>ADECA posted information about both the public in-person and facilitated virtual sessions leading up to and after these events on its website. This information includes presentation slides</w:t>
      </w:r>
      <w:r w:rsidR="001C1B06">
        <w:t>,</w:t>
      </w:r>
      <w:r>
        <w:t xml:space="preserve"> videos and handouts</w:t>
      </w:r>
      <w:r w:rsidR="001C1B06">
        <w:t>,</w:t>
      </w:r>
      <w:r>
        <w:t xml:space="preserve"> and other information for and from these sessions.</w:t>
      </w:r>
      <w:r>
        <w:rPr>
          <w:rStyle w:val="FootnoteReference"/>
        </w:rPr>
        <w:footnoteReference w:id="27"/>
      </w:r>
      <w:r>
        <w:t xml:space="preserve"> </w:t>
      </w:r>
      <w:r w:rsidR="007A078B">
        <w:t xml:space="preserve">More information about ADECA’s </w:t>
      </w:r>
      <w:r w:rsidR="00A113F5">
        <w:t>BEAD awareness and participation mech</w:t>
      </w:r>
      <w:r w:rsidR="00715920">
        <w:t>anisms can be found in the Local Coordination Tracker Tool</w:t>
      </w:r>
      <w:r w:rsidRPr="006063EE" w:rsidR="00715920">
        <w:t xml:space="preserve"> included</w:t>
      </w:r>
      <w:r w:rsidR="00715920">
        <w:t xml:space="preserve"> as</w:t>
      </w:r>
      <w:r w:rsidR="00977FC5">
        <w:t xml:space="preserve"> a linked file in</w:t>
      </w:r>
      <w:r w:rsidR="00715920">
        <w:t xml:space="preserve"> </w:t>
      </w:r>
      <w:hyperlink w:history="1" r:id="rId19">
        <w:r w:rsidRPr="00977FC5" w:rsidR="00715920">
          <w:rPr>
            <w:rStyle w:val="Hyperlink"/>
          </w:rPr>
          <w:t>Appendix A</w:t>
        </w:r>
      </w:hyperlink>
      <w:r w:rsidR="00715920">
        <w:t>.</w:t>
      </w:r>
    </w:p>
    <w:p w:rsidR="005679EC" w:rsidP="006F78D2" w:rsidRDefault="005679EC" w14:paraId="639DDD83" w14:textId="77777777">
      <w:pPr>
        <w:pStyle w:val="Heading2"/>
        <w:numPr>
          <w:ilvl w:val="1"/>
          <w:numId w:val="21"/>
        </w:numPr>
      </w:pPr>
      <w:bookmarkStart w:name="_Toc150852618" w:id="25"/>
      <w:r>
        <w:t>Clear procedures to ensure transparency</w:t>
      </w:r>
      <w:bookmarkEnd w:id="25"/>
    </w:p>
    <w:p w:rsidR="005679EC" w:rsidP="00286344" w:rsidRDefault="005679EC" w14:paraId="3A47C926" w14:textId="707196E9">
      <w:r>
        <w:t xml:space="preserve">Through its BEAD </w:t>
      </w:r>
      <w:r w:rsidR="00456967">
        <w:t>P</w:t>
      </w:r>
      <w:r w:rsidR="00C50F71">
        <w:t xml:space="preserve">rogram </w:t>
      </w:r>
      <w:r>
        <w:t xml:space="preserve">and </w:t>
      </w:r>
      <w:r w:rsidR="004A41F1">
        <w:t>digital opportunity</w:t>
      </w:r>
      <w:r>
        <w:t xml:space="preserve"> outreach efforts to every one of Alabama’s counties, </w:t>
      </w:r>
      <w:r w:rsidR="001D308C">
        <w:t>as described above</w:t>
      </w:r>
      <w:r w:rsidDel="001D308C">
        <w:t>,</w:t>
      </w:r>
      <w:r>
        <w:t xml:space="preserve"> ADECA conducted public in-person engagements that enabled it to hear from community leaders and members about their needs and experiences regarding access to broadband services and </w:t>
      </w:r>
      <w:r w:rsidDel="00CD0FD0">
        <w:t xml:space="preserve">digital </w:t>
      </w:r>
      <w:r w:rsidR="00AB465E">
        <w:t>o</w:t>
      </w:r>
      <w:r w:rsidR="00CD0FD0">
        <w:t>pportunity</w:t>
      </w:r>
      <w:r>
        <w:t xml:space="preserve"> programs.</w:t>
      </w:r>
    </w:p>
    <w:p w:rsidR="005679EC" w:rsidP="00286344" w:rsidRDefault="005679EC" w14:paraId="6EFC997C" w14:textId="4858A42F">
      <w:r>
        <w:t xml:space="preserve">As is evident in the outreach process described above, ADECA was diligent about ensuring transparency to state and local leaders, community-based organizations, ISPs and other broadband-related companies, and the public. Much of the data collected </w:t>
      </w:r>
      <w:r w:rsidR="005B36D9">
        <w:t>are</w:t>
      </w:r>
      <w:r w:rsidR="00FB16F1">
        <w:t xml:space="preserve"> </w:t>
      </w:r>
      <w:r>
        <w:t xml:space="preserve">included in the Alabama </w:t>
      </w:r>
      <w:r w:rsidR="005B36D9">
        <w:t xml:space="preserve">Statewide </w:t>
      </w:r>
      <w:r>
        <w:t xml:space="preserve">Digital </w:t>
      </w:r>
      <w:r w:rsidR="001E638A">
        <w:t>Opportunity</w:t>
      </w:r>
      <w:r>
        <w:t xml:space="preserve"> Plan</w:t>
      </w:r>
      <w:r w:rsidR="006442D2">
        <w:t>,</w:t>
      </w:r>
      <w:r>
        <w:t xml:space="preserve"> which </w:t>
      </w:r>
      <w:r w:rsidR="006442D2">
        <w:t>was</w:t>
      </w:r>
      <w:r>
        <w:t xml:space="preserve"> posted for public review and comment.</w:t>
      </w:r>
      <w:r w:rsidR="006442D2">
        <w:rPr>
          <w:rStyle w:val="FootnoteReference"/>
        </w:rPr>
        <w:footnoteReference w:id="28"/>
      </w:r>
    </w:p>
    <w:p w:rsidR="005679EC" w:rsidP="00286344" w:rsidRDefault="005679EC" w14:paraId="6B990C5A" w14:textId="5B446E7D">
      <w:r>
        <w:t xml:space="preserve">Additionally, these local engagements informed and contributed to ADECA’s development of county profiles, which specifically document broadband infrastructure and coverage, access and affordability barriers residents face, and digital skills and workforce programs for each county. These profiles assess the county’s broadband and </w:t>
      </w:r>
      <w:r w:rsidR="00AB465E">
        <w:t>d</w:t>
      </w:r>
      <w:r w:rsidRPr="00CD0FD0" w:rsidR="00CD0FD0">
        <w:t xml:space="preserve">igital </w:t>
      </w:r>
      <w:r w:rsidR="00AB465E">
        <w:t>o</w:t>
      </w:r>
      <w:r w:rsidRPr="00CD0FD0" w:rsidR="00CD0FD0">
        <w:t>pportunity</w:t>
      </w:r>
      <w:r>
        <w:t xml:space="preserve"> needs and </w:t>
      </w:r>
      <w:proofErr w:type="gramStart"/>
      <w:r>
        <w:t>assets</w:t>
      </w:r>
      <w:r w:rsidR="00E5040C">
        <w:t>,</w:t>
      </w:r>
      <w:r>
        <w:t xml:space="preserve"> and</w:t>
      </w:r>
      <w:proofErr w:type="gramEnd"/>
      <w:r>
        <w:t xml:space="preserve"> provide recommendations to local leaders on what actions the county and its communities may take to strengthen partnerships and leverage opportunities to achieve broadband and </w:t>
      </w:r>
      <w:r w:rsidR="00AB465E">
        <w:t>d</w:t>
      </w:r>
      <w:r w:rsidRPr="00CD0FD0" w:rsidR="00CD0FD0">
        <w:t xml:space="preserve">igital </w:t>
      </w:r>
      <w:r w:rsidR="00AB465E">
        <w:t>o</w:t>
      </w:r>
      <w:r w:rsidRPr="00CD0FD0" w:rsidR="00CD0FD0">
        <w:t>pportunity</w:t>
      </w:r>
      <w:r>
        <w:t xml:space="preserve"> goals within the county. </w:t>
      </w:r>
    </w:p>
    <w:p w:rsidR="005679EC" w:rsidP="00286344" w:rsidRDefault="005679EC" w14:paraId="697BBE85" w14:textId="0BF80DDA">
      <w:r>
        <w:t>During summer 2023, ADECA present</w:t>
      </w:r>
      <w:r w:rsidR="00C94D45">
        <w:t>ed</w:t>
      </w:r>
      <w:r>
        <w:t xml:space="preserve"> a draft county profile to county leaders</w:t>
      </w:r>
      <w:r w:rsidR="00C94D45">
        <w:t xml:space="preserve"> in order to elicit local leaders’</w:t>
      </w:r>
      <w:r w:rsidR="001C26D0">
        <w:t xml:space="preserve"> feedback before publishing a final version of the county profile.</w:t>
      </w:r>
      <w:r w:rsidR="007D369D">
        <w:t xml:space="preserve"> The county profiles are </w:t>
      </w:r>
      <w:r>
        <w:t xml:space="preserve">publicly available on ADECA’s </w:t>
      </w:r>
      <w:r w:rsidR="006624F5">
        <w:t>newly launched, Be Linked Alabama</w:t>
      </w:r>
      <w:r>
        <w:t xml:space="preserve"> website</w:t>
      </w:r>
      <w:r w:rsidR="00D74ED7">
        <w:t xml:space="preserve"> at </w:t>
      </w:r>
      <w:hyperlink w:history="1" r:id="rId20">
        <w:r w:rsidRPr="00F24977" w:rsidR="00FF31E0">
          <w:rPr>
            <w:rStyle w:val="Hyperlink"/>
          </w:rPr>
          <w:t>https://broadband.alabama.gov/profiles/</w:t>
        </w:r>
      </w:hyperlink>
      <w:r w:rsidR="00FF31E0">
        <w:t xml:space="preserve">. </w:t>
      </w:r>
    </w:p>
    <w:p w:rsidR="005679EC" w:rsidP="00286344" w:rsidRDefault="005679EC" w14:paraId="4B48EED3" w14:textId="77777777">
      <w:r>
        <w:t>The county engagement process and broadband profiles are integral to the success of Alabama's broadband goals. ADECA has invested in an approach that informs, listens to, and empowers communities to be active partners in achieving these statewide goals.</w:t>
      </w:r>
    </w:p>
    <w:p w:rsidR="005679EC" w:rsidP="006F78D2" w:rsidRDefault="005679EC" w14:paraId="47FEEDD1" w14:textId="29DE7AB7">
      <w:pPr>
        <w:pStyle w:val="Heading2"/>
        <w:numPr>
          <w:ilvl w:val="1"/>
          <w:numId w:val="21"/>
        </w:numPr>
      </w:pPr>
      <w:bookmarkStart w:name="_Toc150852619" w:id="26"/>
      <w:r>
        <w:t>Outreach and engagement of unserved</w:t>
      </w:r>
      <w:r w:rsidR="00586171">
        <w:t xml:space="preserve">, </w:t>
      </w:r>
      <w:r>
        <w:t>underserved</w:t>
      </w:r>
      <w:r w:rsidR="00F27707">
        <w:t>, and underrepresented</w:t>
      </w:r>
      <w:r>
        <w:t xml:space="preserve"> communities</w:t>
      </w:r>
      <w:bookmarkEnd w:id="26"/>
    </w:p>
    <w:p w:rsidR="005679EC" w:rsidP="005679EC" w:rsidRDefault="005679EC" w14:paraId="19F64A9D" w14:textId="5D9A2196">
      <w:r>
        <w:t xml:space="preserve">ADECA reached out to and engaged with unserved, underserved, and underrepresented communities in each county in the </w:t>
      </w:r>
      <w:r w:rsidR="004625F1">
        <w:t>s</w:t>
      </w:r>
      <w:r>
        <w:t xml:space="preserve">tate, inviting county and municipal government representatives, local organizations who represent covered and other populations (including those listed in the </w:t>
      </w:r>
      <w:r w:rsidR="005410A6">
        <w:t>S</w:t>
      </w:r>
      <w:r>
        <w:t xml:space="preserve">tate Digital Equity Planning Grant NOFO Section </w:t>
      </w:r>
      <w:proofErr w:type="spellStart"/>
      <w:r>
        <w:t>I.C.g</w:t>
      </w:r>
      <w:proofErr w:type="spellEnd"/>
      <w:r>
        <w:t xml:space="preserve">.), and ISPs to interactive workshops. </w:t>
      </w:r>
      <w:r w:rsidR="00680EBF">
        <w:t>The Local Coordination Tracker Tool</w:t>
      </w:r>
      <w:r w:rsidRPr="006063EE" w:rsidR="00680EBF">
        <w:t xml:space="preserve"> included</w:t>
      </w:r>
      <w:r w:rsidR="00680EBF">
        <w:t xml:space="preserve"> as </w:t>
      </w:r>
      <w:r w:rsidR="001A01FF">
        <w:t>a linked file</w:t>
      </w:r>
      <w:r w:rsidRPr="006063EE" w:rsidR="00680EBF">
        <w:t xml:space="preserve"> in </w:t>
      </w:r>
      <w:hyperlink w:history="1" r:id="rId21">
        <w:r w:rsidRPr="001A01FF" w:rsidR="00680EBF">
          <w:rPr>
            <w:rStyle w:val="Hyperlink"/>
          </w:rPr>
          <w:t>Appendix A</w:t>
        </w:r>
      </w:hyperlink>
      <w:r w:rsidRPr="006063EE" w:rsidR="00680EBF">
        <w:t xml:space="preserve"> </w:t>
      </w:r>
      <w:r w:rsidR="00284578">
        <w:t>provides</w:t>
      </w:r>
      <w:r w:rsidR="00680EBF">
        <w:t xml:space="preserve"> an overvi</w:t>
      </w:r>
      <w:r w:rsidR="00F82C1C">
        <w:t xml:space="preserve">ew of these efforts, including a list of </w:t>
      </w:r>
      <w:r w:rsidR="00CC1C76">
        <w:t xml:space="preserve">participant </w:t>
      </w:r>
      <w:r w:rsidR="00F82C1C">
        <w:t>organizations</w:t>
      </w:r>
      <w:r w:rsidR="00CC1C76">
        <w:t xml:space="preserve">, partner engagement tracker, local plans </w:t>
      </w:r>
      <w:r w:rsidR="003B1195">
        <w:t>received, and any associated public comment.</w:t>
      </w:r>
      <w:r>
        <w:t xml:space="preserve"> </w:t>
      </w:r>
    </w:p>
    <w:p w:rsidR="005679EC" w:rsidP="005679EC" w:rsidRDefault="005679EC" w14:paraId="18991ACA" w14:textId="4553C786">
      <w:r>
        <w:t>ADECA began its all-county on-site program in the</w:t>
      </w:r>
      <w:r w:rsidRPr="00873670">
        <w:t xml:space="preserve"> Black Belt </w:t>
      </w:r>
      <w:r>
        <w:t>region of Alabama (</w:t>
      </w:r>
      <w:r w:rsidRPr="00873670">
        <w:t xml:space="preserve">Lowndes, Greene, Sumter, Marengo, Pickens, and Hale </w:t>
      </w:r>
      <w:r>
        <w:t>counties), a rural area with many low-income households without access to high-quality broadband. This</w:t>
      </w:r>
      <w:r w:rsidRPr="00873670">
        <w:t xml:space="preserve"> </w:t>
      </w:r>
      <w:r>
        <w:t>enabled ADECA to immediately learn about barriers and obstacles from an area with a</w:t>
      </w:r>
      <w:r w:rsidRPr="00873670">
        <w:t xml:space="preserve"> high concentration of individuals living in poverty, individuals from racial and ethnic minorities, and </w:t>
      </w:r>
      <w:r>
        <w:t xml:space="preserve">the </w:t>
      </w:r>
      <w:r w:rsidRPr="00873670">
        <w:t>elderly</w:t>
      </w:r>
      <w:r>
        <w:t xml:space="preserve">. </w:t>
      </w:r>
    </w:p>
    <w:p w:rsidR="005679EC" w:rsidP="005679EC" w:rsidRDefault="005679EC" w14:paraId="44A5823C" w14:textId="37E1B4E5">
      <w:r>
        <w:t xml:space="preserve">ADECA is conducting </w:t>
      </w:r>
      <w:r w:rsidRPr="000340F6">
        <w:t xml:space="preserve">ongoing </w:t>
      </w:r>
      <w:r>
        <w:t xml:space="preserve">meetings </w:t>
      </w:r>
      <w:r w:rsidRPr="000340F6">
        <w:t xml:space="preserve">with </w:t>
      </w:r>
      <w:r>
        <w:t>many of the</w:t>
      </w:r>
      <w:r w:rsidRPr="000340F6">
        <w:t xml:space="preserve"> </w:t>
      </w:r>
      <w:r>
        <w:t>HBCU</w:t>
      </w:r>
      <w:r w:rsidR="00554649">
        <w:t>s</w:t>
      </w:r>
      <w:r w:rsidRPr="000340F6">
        <w:t xml:space="preserve"> and Minority Serving Institution</w:t>
      </w:r>
      <w:r>
        <w:t>s</w:t>
      </w:r>
      <w:r w:rsidRPr="000340F6">
        <w:t xml:space="preserve"> </w:t>
      </w:r>
      <w:r>
        <w:t>(MSI</w:t>
      </w:r>
      <w:r w:rsidR="00D2664E">
        <w:t>s</w:t>
      </w:r>
      <w:r>
        <w:t xml:space="preserve">) </w:t>
      </w:r>
      <w:r w:rsidRPr="000340F6">
        <w:t xml:space="preserve">in the </w:t>
      </w:r>
      <w:r w:rsidR="004625F1">
        <w:t>s</w:t>
      </w:r>
      <w:r w:rsidRPr="000340F6">
        <w:t>tate</w:t>
      </w:r>
      <w:r>
        <w:t xml:space="preserve"> in conjunction with the Student Freedom Initiative,</w:t>
      </w:r>
      <w:r>
        <w:rPr>
          <w:rStyle w:val="FootnoteReference"/>
        </w:rPr>
        <w:footnoteReference w:id="29"/>
      </w:r>
      <w:r>
        <w:t xml:space="preserve"> a national nonprofit that supports African</w:t>
      </w:r>
      <w:r w:rsidR="00E17FF6">
        <w:t xml:space="preserve"> </w:t>
      </w:r>
      <w:r>
        <w:t>American students.</w:t>
      </w:r>
      <w:r w:rsidR="00550BF0">
        <w:rPr>
          <w:rStyle w:val="FootnoteReference"/>
        </w:rPr>
        <w:footnoteReference w:id="30"/>
      </w:r>
      <w:r>
        <w:t xml:space="preserve"> Dr. Cynthia Warrick, president of Stillman College, told ADECA in a meeting at Stillman College, that students avoid the dining hall if the Wi-Fi is down. She added that she hopes to share the benefits of a better broadband network with the community around the school. ADECA has used these meetings to gather additional information about barriers and obstacles in the community, provide additional information to the institution’s community, and to inform the community about the </w:t>
      </w:r>
      <w:r w:rsidR="00CE1800">
        <w:t>ACP</w:t>
      </w:r>
      <w:r>
        <w:t>.</w:t>
      </w:r>
    </w:p>
    <w:p w:rsidR="005679EC" w:rsidP="005679EC" w:rsidRDefault="005679EC" w14:paraId="1C82233F" w14:textId="0B090159">
      <w:r w:rsidRPr="00873670">
        <w:t xml:space="preserve">ADECA also met with </w:t>
      </w:r>
      <w:r>
        <w:t xml:space="preserve">other </w:t>
      </w:r>
      <w:r w:rsidRPr="00873670">
        <w:t xml:space="preserve">community-based organizations </w:t>
      </w:r>
      <w:r>
        <w:t>that support underrepresented communities</w:t>
      </w:r>
      <w:r w:rsidRPr="00873670">
        <w:t xml:space="preserve">, </w:t>
      </w:r>
      <w:r>
        <w:t xml:space="preserve">such as </w:t>
      </w:r>
      <w:r w:rsidRPr="00873670">
        <w:t>C.H.O.I.C.E</w:t>
      </w:r>
      <w:r>
        <w:t>., which provides digital navigators and other digital support services in Uniontown,</w:t>
      </w:r>
      <w:r>
        <w:rPr>
          <w:rStyle w:val="FootnoteReference"/>
        </w:rPr>
        <w:footnoteReference w:id="31"/>
      </w:r>
      <w:r>
        <w:t xml:space="preserve"> and AARP, which provides training and other support to the elderly throughout the </w:t>
      </w:r>
      <w:r w:rsidR="004625F1">
        <w:t>s</w:t>
      </w:r>
      <w:r>
        <w:t>tate.</w:t>
      </w:r>
      <w:r>
        <w:rPr>
          <w:rStyle w:val="FootnoteReference"/>
        </w:rPr>
        <w:footnoteReference w:id="32"/>
      </w:r>
      <w:r>
        <w:t xml:space="preserve"> </w:t>
      </w:r>
    </w:p>
    <w:p w:rsidR="00D420F6" w:rsidP="005679EC" w:rsidRDefault="005679EC" w14:paraId="478EED7F" w14:textId="0EBAFEA7">
      <w:r>
        <w:t>As noted previously</w:t>
      </w:r>
      <w:r w:rsidR="0042579E">
        <w:t xml:space="preserve"> in Section 4.2</w:t>
      </w:r>
      <w:r>
        <w:t xml:space="preserve">, ADECA has reached out to the one </w:t>
      </w:r>
      <w:proofErr w:type="gramStart"/>
      <w:r>
        <w:t>federally</w:t>
      </w:r>
      <w:r w:rsidR="00A33149">
        <w:t>-</w:t>
      </w:r>
      <w:r>
        <w:t>recognized</w:t>
      </w:r>
      <w:proofErr w:type="gramEnd"/>
      <w:r>
        <w:t xml:space="preserve"> Tribe</w:t>
      </w:r>
      <w:r w:rsidR="00A33149">
        <w:t xml:space="preserve"> in the state</w:t>
      </w:r>
      <w:r>
        <w:rPr>
          <w:rStyle w:val="FootnoteReference"/>
        </w:rPr>
        <w:footnoteReference w:id="33"/>
      </w:r>
      <w:r>
        <w:t xml:space="preserve"> and to </w:t>
      </w:r>
      <w:r w:rsidR="004625F1">
        <w:t>s</w:t>
      </w:r>
      <w:r>
        <w:t>tate-recognized Tribes</w:t>
      </w:r>
      <w:r w:rsidR="0060122B">
        <w:t>,</w:t>
      </w:r>
      <w:r>
        <w:rPr>
          <w:rStyle w:val="FootnoteReference"/>
        </w:rPr>
        <w:footnoteReference w:id="34"/>
      </w:r>
      <w:r>
        <w:t xml:space="preserve"> and </w:t>
      </w:r>
      <w:r w:rsidR="0060122B">
        <w:t>continues to work</w:t>
      </w:r>
      <w:r>
        <w:t xml:space="preserve"> to schedule listening sessions with the other Tribes.</w:t>
      </w:r>
    </w:p>
    <w:p w:rsidR="00D420F6" w:rsidRDefault="00D420F6" w14:paraId="7C0991E3" w14:textId="77777777">
      <w:pPr>
        <w:jc w:val="left"/>
      </w:pPr>
      <w:r>
        <w:br w:type="page"/>
      </w:r>
    </w:p>
    <w:p w:rsidR="000D059E" w:rsidP="00D824CB" w:rsidRDefault="000D059E" w14:paraId="55B34427" w14:textId="468A5C36">
      <w:pPr>
        <w:pStyle w:val="Heading1"/>
      </w:pPr>
      <w:bookmarkStart w:name="_Ref149032416" w:id="27"/>
      <w:bookmarkStart w:name="_Toc150852620" w:id="28"/>
      <w:r>
        <w:t>Deployment subgrantee selection</w:t>
      </w:r>
      <w:r w:rsidR="00DC4FE5">
        <w:t xml:space="preserve"> (Requirement 8)</w:t>
      </w:r>
      <w:bookmarkEnd w:id="27"/>
      <w:bookmarkEnd w:id="28"/>
    </w:p>
    <w:p w:rsidR="001662BC" w:rsidP="00FD173D" w:rsidRDefault="00FD173D" w14:paraId="5D141D91" w14:textId="5D6A085F">
      <w:r w:rsidRPr="00EE7B2A">
        <w:t xml:space="preserve">This section of </w:t>
      </w:r>
      <w:r w:rsidR="0020761A">
        <w:t xml:space="preserve">Initial Proposal </w:t>
      </w:r>
      <w:r w:rsidRPr="00EE7B2A">
        <w:t xml:space="preserve">Volume </w:t>
      </w:r>
      <w:r w:rsidR="0020761A">
        <w:t>2</w:t>
      </w:r>
      <w:r w:rsidRPr="00EE7B2A">
        <w:t xml:space="preserve"> describes in detail how </w:t>
      </w:r>
      <w:r>
        <w:t>ADECA</w:t>
      </w:r>
      <w:r w:rsidRPr="00EE7B2A">
        <w:t xml:space="preserve"> proposes to structure, design, and implement its grant program to award BEAD funds to subgrantees to deploy broadband infrastructure in </w:t>
      </w:r>
      <w:r>
        <w:t>Alabama</w:t>
      </w:r>
      <w:r w:rsidRPr="00EE7B2A">
        <w:t xml:space="preserve">. This section includes extensive discussion of the structure of the program, the timeline, the scoring, and </w:t>
      </w:r>
      <w:r w:rsidR="003F6CCE">
        <w:t xml:space="preserve">the </w:t>
      </w:r>
      <w:r w:rsidRPr="00EE7B2A">
        <w:t xml:space="preserve">steps </w:t>
      </w:r>
      <w:r>
        <w:t>ADECA</w:t>
      </w:r>
      <w:r w:rsidRPr="00EE7B2A">
        <w:t xml:space="preserve"> will take to try to maximize the reach and impact of the BEAD funds throughout </w:t>
      </w:r>
      <w:r>
        <w:t>Alabama</w:t>
      </w:r>
      <w:r w:rsidRPr="00EE7B2A">
        <w:t>.</w:t>
      </w:r>
      <w:r w:rsidR="00D841F5">
        <w:t xml:space="preserve"> </w:t>
      </w:r>
      <w:r w:rsidR="001662BC">
        <w:t xml:space="preserve">Appendix </w:t>
      </w:r>
      <w:r w:rsidR="00537C50">
        <w:t>D</w:t>
      </w:r>
      <w:r w:rsidR="008F7B4D">
        <w:t xml:space="preserve"> include</w:t>
      </w:r>
      <w:r w:rsidR="00355BF0">
        <w:t>s</w:t>
      </w:r>
      <w:r w:rsidR="008F7B4D">
        <w:t xml:space="preserve"> a detailed chart summarizing the subgrantee selection process described in this section, including the documentation, milestones, and phases required in the process.</w:t>
      </w:r>
    </w:p>
    <w:p w:rsidRPr="00EE7B2A" w:rsidR="00153267" w:rsidP="00FD173D" w:rsidRDefault="00153267" w14:paraId="7FCB4C94" w14:textId="1BED02C1">
      <w:r>
        <w:t>ADECA</w:t>
      </w:r>
      <w:r w:rsidRPr="00153267">
        <w:t xml:space="preserve"> developed this subgrantee selection process to meet both </w:t>
      </w:r>
      <w:r w:rsidRPr="00153267" w:rsidR="00620EAA">
        <w:t>NTIA</w:t>
      </w:r>
      <w:r w:rsidR="00620EAA">
        <w:t>’</w:t>
      </w:r>
      <w:r w:rsidRPr="00153267" w:rsidR="00620EAA">
        <w:t xml:space="preserve">s </w:t>
      </w:r>
      <w:r w:rsidRPr="00153267">
        <w:t xml:space="preserve">requirements and the </w:t>
      </w:r>
      <w:r w:rsidR="006322D8">
        <w:t>state’s</w:t>
      </w:r>
      <w:r w:rsidRPr="00153267">
        <w:t xml:space="preserve"> goals. While every effort has been made to propose scoring criteria and requirements that will enable </w:t>
      </w:r>
      <w:r w:rsidR="006322D8">
        <w:t>ADECA</w:t>
      </w:r>
      <w:r w:rsidRPr="00153267">
        <w:t xml:space="preserve"> to make awards to subgrantees for projects that will maximize the impact of the BEAD funding and other resources the state may commit to the BEAD </w:t>
      </w:r>
      <w:r w:rsidR="009C6FC6">
        <w:t>P</w:t>
      </w:r>
      <w:r w:rsidRPr="00153267">
        <w:t xml:space="preserve">rogram, </w:t>
      </w:r>
      <w:r w:rsidR="00A8411E">
        <w:t>ADECA</w:t>
      </w:r>
      <w:r w:rsidRPr="00153267">
        <w:t xml:space="preserve"> also recognizes that this grant program, like any such program, will not have guaranteed outcomes. For example, some areas may not attract any applicants, or may attract only one applicant. Further, the BEAD </w:t>
      </w:r>
      <w:r w:rsidR="009C6FC6">
        <w:t>P</w:t>
      </w:r>
      <w:r w:rsidRPr="00153267">
        <w:t xml:space="preserve">rogram breaks new ground and is experimental in that no entity, state or federal, has ever been required to design a program that would address the needs of 100 percent of eligible locations. </w:t>
      </w:r>
      <w:r w:rsidR="00D83D6D">
        <w:t>ADECA</w:t>
      </w:r>
      <w:r w:rsidRPr="00153267">
        <w:t xml:space="preserve"> therefore reserves the opportunity to revise this subgrantee selection process and to negotiate with applicants as needed, so long as the state meets the BEAD </w:t>
      </w:r>
      <w:r w:rsidR="00181598">
        <w:t>Program</w:t>
      </w:r>
      <w:r w:rsidRPr="00153267">
        <w:t xml:space="preserve"> requirements.</w:t>
      </w:r>
    </w:p>
    <w:p w:rsidRPr="00CF69D3" w:rsidR="00FD173D" w:rsidP="008A211A" w:rsidRDefault="00FD173D" w14:paraId="05F223C6" w14:textId="2108BEB1">
      <w:pPr>
        <w:pStyle w:val="Heading2"/>
        <w:numPr>
          <w:ilvl w:val="1"/>
          <w:numId w:val="22"/>
        </w:numPr>
      </w:pPr>
      <w:bookmarkStart w:name="_Toc146637779" w:id="29"/>
      <w:bookmarkStart w:name="_Toc147151957" w:id="30"/>
      <w:bookmarkStart w:name="_Toc148069312" w:id="31"/>
      <w:bookmarkStart w:name="_Toc150852621" w:id="32"/>
      <w:r w:rsidRPr="00CF69D3">
        <w:t>Deployment subgrantee selection process</w:t>
      </w:r>
      <w:bookmarkEnd w:id="29"/>
      <w:bookmarkEnd w:id="30"/>
      <w:bookmarkEnd w:id="31"/>
      <w:bookmarkEnd w:id="32"/>
    </w:p>
    <w:p w:rsidRPr="007B1CBD" w:rsidR="007B1CBD" w:rsidP="007B1CBD" w:rsidRDefault="007B1CBD" w14:paraId="2249B6F1" w14:textId="334F5760">
      <w:r w:rsidRPr="00152534">
        <w:rPr>
          <w:rFonts w:cs="Arial"/>
        </w:rPr>
        <w:t xml:space="preserve">The </w:t>
      </w:r>
      <w:r>
        <w:rPr>
          <w:rFonts w:cs="Arial"/>
        </w:rPr>
        <w:t>subgrantee selection process described below</w:t>
      </w:r>
      <w:r w:rsidRPr="00152534">
        <w:rPr>
          <w:rFonts w:cs="Arial"/>
        </w:rPr>
        <w:t xml:space="preserve"> is designed to be fair and </w:t>
      </w:r>
      <w:r>
        <w:rPr>
          <w:rFonts w:cs="Arial"/>
        </w:rPr>
        <w:t xml:space="preserve">to </w:t>
      </w:r>
      <w:r w:rsidRPr="00152534">
        <w:rPr>
          <w:rFonts w:cs="Arial"/>
        </w:rPr>
        <w:t>avoid arbitrary decisions</w:t>
      </w:r>
      <w:r>
        <w:rPr>
          <w:rFonts w:cs="Arial"/>
        </w:rPr>
        <w:t>. It does this through detailed description</w:t>
      </w:r>
      <w:r w:rsidR="002220D0">
        <w:rPr>
          <w:rFonts w:cs="Arial"/>
        </w:rPr>
        <w:t>s</w:t>
      </w:r>
      <w:r>
        <w:rPr>
          <w:rFonts w:cs="Arial"/>
        </w:rPr>
        <w:t xml:space="preserve"> of </w:t>
      </w:r>
      <w:r w:rsidRPr="00152534">
        <w:rPr>
          <w:rFonts w:cs="Arial"/>
        </w:rPr>
        <w:t xml:space="preserve">selection rules and procedures, </w:t>
      </w:r>
      <w:r>
        <w:rPr>
          <w:rFonts w:cs="Arial"/>
        </w:rPr>
        <w:t>discussion of application of</w:t>
      </w:r>
      <w:r w:rsidRPr="00152534">
        <w:rPr>
          <w:rFonts w:cs="Arial"/>
        </w:rPr>
        <w:t xml:space="preserve"> fair and consistent rules to all applicants, and to the extent possible</w:t>
      </w:r>
      <w:r>
        <w:rPr>
          <w:rFonts w:cs="Arial"/>
        </w:rPr>
        <w:t>,</w:t>
      </w:r>
      <w:r w:rsidRPr="00152534">
        <w:rPr>
          <w:rFonts w:cs="Arial"/>
        </w:rPr>
        <w:t xml:space="preserve"> defi</w:t>
      </w:r>
      <w:r>
        <w:rPr>
          <w:rFonts w:cs="Arial"/>
        </w:rPr>
        <w:t>nition of</w:t>
      </w:r>
      <w:r w:rsidRPr="00152534">
        <w:rPr>
          <w:rFonts w:cs="Arial"/>
        </w:rPr>
        <w:t xml:space="preserve"> quantitative scoring methods that minimize subjective judgment</w:t>
      </w:r>
      <w:r>
        <w:rPr>
          <w:rFonts w:cs="Arial"/>
        </w:rPr>
        <w:t xml:space="preserve"> in grant decisions</w:t>
      </w:r>
      <w:r w:rsidRPr="00152534">
        <w:rPr>
          <w:rFonts w:cs="Arial"/>
        </w:rPr>
        <w:t xml:space="preserve">. </w:t>
      </w:r>
      <w:r>
        <w:rPr>
          <w:rFonts w:cs="Arial"/>
        </w:rPr>
        <w:t>The process and rules proposed below include such protections as requirements that s</w:t>
      </w:r>
      <w:r w:rsidRPr="00152534">
        <w:rPr>
          <w:rFonts w:cs="Arial"/>
        </w:rPr>
        <w:t xml:space="preserve">election officers will certify that they do not have conflicts of interest and </w:t>
      </w:r>
      <w:r>
        <w:rPr>
          <w:rFonts w:cs="Arial"/>
        </w:rPr>
        <w:t xml:space="preserve">that they </w:t>
      </w:r>
      <w:r w:rsidRPr="00152534">
        <w:rPr>
          <w:rFonts w:cs="Arial"/>
        </w:rPr>
        <w:t>will apply grant rules fairly and without bias.</w:t>
      </w:r>
    </w:p>
    <w:p w:rsidRPr="00EE7B2A" w:rsidR="00FD173D" w:rsidP="008A211A" w:rsidRDefault="00FD173D" w14:paraId="35530B2B" w14:textId="77777777">
      <w:pPr>
        <w:pStyle w:val="Heading3"/>
        <w:numPr>
          <w:ilvl w:val="2"/>
          <w:numId w:val="22"/>
        </w:numPr>
      </w:pPr>
      <w:bookmarkStart w:name="_Toc147151958" w:id="33"/>
      <w:bookmarkStart w:name="_Toc148069313" w:id="34"/>
      <w:bookmarkStart w:name="_Hlk144402694" w:id="35"/>
      <w:bookmarkStart w:name="_Toc150852622" w:id="36"/>
      <w:r w:rsidRPr="00EE7B2A">
        <w:t>Principles</w:t>
      </w:r>
      <w:bookmarkEnd w:id="33"/>
      <w:bookmarkEnd w:id="34"/>
      <w:bookmarkEnd w:id="36"/>
    </w:p>
    <w:p w:rsidRPr="00EE7B2A" w:rsidR="00FD173D" w:rsidP="00FD173D" w:rsidRDefault="00FD173D" w14:paraId="4DE038DA" w14:textId="62E325AE">
      <w:bookmarkStart w:name="_Hlk147806506" w:id="37"/>
      <w:r>
        <w:t>ADECA</w:t>
      </w:r>
      <w:r w:rsidRPr="00EE7B2A">
        <w:t xml:space="preserve"> </w:t>
      </w:r>
      <w:r>
        <w:t xml:space="preserve">is an experienced grantmaking entity and has administered multiple successful broadband grant programs in recent years that reflect its experience </w:t>
      </w:r>
      <w:r w:rsidR="00A01BD5">
        <w:t xml:space="preserve">with </w:t>
      </w:r>
      <w:r>
        <w:t>managing</w:t>
      </w:r>
      <w:r w:rsidRPr="00EE7B2A">
        <w:t xml:space="preserve"> fair, open, and competitive process</w:t>
      </w:r>
      <w:r w:rsidR="00E650F9">
        <w:t>es</w:t>
      </w:r>
      <w:r w:rsidRPr="00EE7B2A">
        <w:t xml:space="preserve"> to deploy broadband to unserved and underserved </w:t>
      </w:r>
      <w:r>
        <w:t>households throughout Alabama</w:t>
      </w:r>
      <w:r w:rsidRPr="00EE7B2A">
        <w:t xml:space="preserve">. </w:t>
      </w:r>
    </w:p>
    <w:bookmarkEnd w:id="37"/>
    <w:p w:rsidRPr="00EE7B2A" w:rsidR="00FD173D" w:rsidP="00FD173D" w:rsidRDefault="00FD173D" w14:paraId="2DF1E0EF" w14:textId="3B43C4CE">
      <w:r>
        <w:t>ADECA</w:t>
      </w:r>
      <w:r w:rsidRPr="00EE7B2A">
        <w:t xml:space="preserve"> intends to use the capabilities and structures it has developed for pre-BEAD programs to inform, to the greatest extent possible, the BEAD deployment subgrantee selection process in a way that is fair, open, and competitive. All elements of the BEAD </w:t>
      </w:r>
      <w:r w:rsidR="006B2A07">
        <w:t>P</w:t>
      </w:r>
      <w:r w:rsidRPr="00EE7B2A">
        <w:t xml:space="preserve">rogram have been designed with these goals at the forefront, as well as </w:t>
      </w:r>
      <w:r>
        <w:t>ADECA</w:t>
      </w:r>
      <w:r w:rsidRPr="00EE7B2A">
        <w:t>’s related BEAD design principles:</w:t>
      </w:r>
    </w:p>
    <w:p w:rsidRPr="00EE7B2A" w:rsidR="00FD173D" w:rsidP="00CB6919" w:rsidRDefault="00FD173D" w14:paraId="334EED38" w14:textId="77777777">
      <w:pPr>
        <w:pStyle w:val="ListParagraph"/>
        <w:keepNext/>
        <w:numPr>
          <w:ilvl w:val="0"/>
          <w:numId w:val="55"/>
        </w:numPr>
        <w:spacing w:after="200"/>
      </w:pPr>
      <w:r w:rsidRPr="00EE7B2A">
        <w:t>Impact</w:t>
      </w:r>
    </w:p>
    <w:p w:rsidRPr="00EE7B2A" w:rsidR="00FD173D" w:rsidP="00756816" w:rsidRDefault="00FD173D" w14:paraId="75EF4040" w14:textId="77777777">
      <w:pPr>
        <w:pStyle w:val="ListParagraph"/>
        <w:numPr>
          <w:ilvl w:val="1"/>
          <w:numId w:val="55"/>
        </w:numPr>
        <w:spacing w:after="200"/>
        <w:ind w:left="1080"/>
      </w:pPr>
      <w:r w:rsidRPr="00EE7B2A">
        <w:t>Grant strategy should seek to make limited funds reach as far as possible</w:t>
      </w:r>
    </w:p>
    <w:p w:rsidRPr="00EE7B2A" w:rsidR="00FD173D" w:rsidP="00756816" w:rsidRDefault="00FD173D" w14:paraId="7680DF51" w14:textId="77777777">
      <w:pPr>
        <w:pStyle w:val="ListParagraph"/>
        <w:numPr>
          <w:ilvl w:val="1"/>
          <w:numId w:val="55"/>
        </w:numPr>
        <w:spacing w:after="200"/>
        <w:ind w:left="1080"/>
      </w:pPr>
      <w:r w:rsidRPr="00EE7B2A">
        <w:t xml:space="preserve">Fiber-to-the-premises should be prioritized and funded to every possible </w:t>
      </w:r>
      <w:r>
        <w:t>unserved and underserved</w:t>
      </w:r>
      <w:r w:rsidRPr="00EE7B2A">
        <w:t xml:space="preserve"> location</w:t>
      </w:r>
    </w:p>
    <w:p w:rsidRPr="00EE7B2A" w:rsidR="00FD173D" w:rsidP="00756816" w:rsidRDefault="00FD173D" w14:paraId="4904213C" w14:textId="464100FB">
      <w:pPr>
        <w:pStyle w:val="ListParagraph"/>
        <w:numPr>
          <w:ilvl w:val="1"/>
          <w:numId w:val="55"/>
        </w:numPr>
        <w:spacing w:after="200"/>
        <w:ind w:left="1080"/>
      </w:pPr>
      <w:r w:rsidRPr="00EE7B2A">
        <w:t xml:space="preserve">Process and requirements should make prudent use of public funds through rigorous review and qualification of </w:t>
      </w:r>
      <w:r w:rsidR="0073694B">
        <w:t>application</w:t>
      </w:r>
      <w:r w:rsidRPr="00EE7B2A">
        <w:t>s</w:t>
      </w:r>
    </w:p>
    <w:p w:rsidRPr="00EE7B2A" w:rsidR="00FD173D" w:rsidP="006F78D2" w:rsidRDefault="00FD173D" w14:paraId="3E7BC98C" w14:textId="77777777">
      <w:pPr>
        <w:pStyle w:val="ListParagraph"/>
        <w:numPr>
          <w:ilvl w:val="0"/>
          <w:numId w:val="55"/>
        </w:numPr>
        <w:spacing w:after="200"/>
      </w:pPr>
      <w:r w:rsidRPr="00EE7B2A">
        <w:t>Simplicity and widespread participation</w:t>
      </w:r>
    </w:p>
    <w:p w:rsidRPr="00EE7B2A" w:rsidR="00FD173D" w:rsidP="00756816" w:rsidRDefault="00FD173D" w14:paraId="2DEFD607" w14:textId="77777777">
      <w:pPr>
        <w:pStyle w:val="ListParagraph"/>
        <w:numPr>
          <w:ilvl w:val="1"/>
          <w:numId w:val="55"/>
        </w:numPr>
        <w:spacing w:after="200"/>
        <w:ind w:left="1080"/>
      </w:pPr>
      <w:r w:rsidRPr="00EE7B2A">
        <w:t>The process should be designed to encourage maximum participation by eligible applicants and opportunity for smaller and local applicants</w:t>
      </w:r>
    </w:p>
    <w:p w:rsidRPr="00EE7B2A" w:rsidR="00FD173D" w:rsidP="00756816" w:rsidRDefault="00FD173D" w14:paraId="64F2A009" w14:textId="77777777">
      <w:pPr>
        <w:pStyle w:val="ListParagraph"/>
        <w:numPr>
          <w:ilvl w:val="1"/>
          <w:numId w:val="55"/>
        </w:numPr>
        <w:spacing w:after="200"/>
        <w:ind w:left="1080"/>
      </w:pPr>
      <w:r w:rsidRPr="00EE7B2A">
        <w:t>The program, from design to final execution of grant agreements, should limit burdens on applicants and enable efficient applicant participation</w:t>
      </w:r>
    </w:p>
    <w:p w:rsidRPr="00EE7B2A" w:rsidR="00FD173D" w:rsidP="00756816" w:rsidRDefault="00FD173D" w14:paraId="4AF25CC6" w14:textId="77777777">
      <w:pPr>
        <w:pStyle w:val="ListParagraph"/>
        <w:numPr>
          <w:ilvl w:val="1"/>
          <w:numId w:val="55"/>
        </w:numPr>
        <w:spacing w:after="200"/>
        <w:ind w:left="1080"/>
      </w:pPr>
      <w:r w:rsidRPr="00EE7B2A">
        <w:t>The program design should also enable efficient grant program administration while accounting for BEAD’s complexity</w:t>
      </w:r>
    </w:p>
    <w:p w:rsidRPr="00EE7B2A" w:rsidR="00FD173D" w:rsidP="006F78D2" w:rsidRDefault="00FD173D" w14:paraId="4EDDFA29" w14:textId="77777777">
      <w:pPr>
        <w:pStyle w:val="ListParagraph"/>
        <w:numPr>
          <w:ilvl w:val="0"/>
          <w:numId w:val="55"/>
        </w:numPr>
        <w:spacing w:after="200"/>
      </w:pPr>
      <w:r w:rsidRPr="00EE7B2A">
        <w:t>Openness, fairness, and competition</w:t>
      </w:r>
    </w:p>
    <w:p w:rsidRPr="00EE7B2A" w:rsidR="00FD173D" w:rsidP="00756816" w:rsidRDefault="00FD173D" w14:paraId="34D2D5C1" w14:textId="77777777">
      <w:pPr>
        <w:pStyle w:val="ListParagraph"/>
        <w:numPr>
          <w:ilvl w:val="1"/>
          <w:numId w:val="55"/>
        </w:numPr>
        <w:spacing w:after="200"/>
        <w:ind w:left="1080"/>
      </w:pPr>
      <w:r w:rsidRPr="00EE7B2A">
        <w:t>The process should reflect the key goals of enabling participation through openness, sharing of information, fairness, and commitment to competition</w:t>
      </w:r>
    </w:p>
    <w:p w:rsidRPr="00EE7B2A" w:rsidR="00FD173D" w:rsidP="00756816" w:rsidRDefault="00FD173D" w14:paraId="175F254F" w14:textId="77777777">
      <w:pPr>
        <w:pStyle w:val="ListParagraph"/>
        <w:numPr>
          <w:ilvl w:val="1"/>
          <w:numId w:val="55"/>
        </w:numPr>
        <w:spacing w:after="200"/>
        <w:ind w:left="1080"/>
      </w:pPr>
      <w:r w:rsidRPr="00EE7B2A">
        <w:t>All elements of grant strategy, including geographic units for proposals, should be designed to increase the potential for competition among applicants statewide and in specific areas</w:t>
      </w:r>
    </w:p>
    <w:p w:rsidRPr="00EE7B2A" w:rsidR="00FD173D" w:rsidP="00FD173D" w:rsidRDefault="00FD173D" w14:paraId="3826F329" w14:textId="3D7A8485">
      <w:r w:rsidRPr="00EE7B2A">
        <w:rPr>
          <w:b/>
          <w:bCs/>
        </w:rPr>
        <w:t>Openness</w:t>
      </w:r>
      <w:r w:rsidRPr="00EE7B2A">
        <w:t xml:space="preserve"> represents a core value and guiding principle for </w:t>
      </w:r>
      <w:r>
        <w:t>ADECA</w:t>
      </w:r>
      <w:r w:rsidRPr="00EE7B2A">
        <w:t xml:space="preserve"> as it undertakes both the BEAD </w:t>
      </w:r>
      <w:r w:rsidR="005B014B">
        <w:t>P</w:t>
      </w:r>
      <w:r w:rsidRPr="00EE7B2A">
        <w:t xml:space="preserve">rogram and other broadband and digital </w:t>
      </w:r>
      <w:r w:rsidR="00F25A2F">
        <w:t>opportunity</w:t>
      </w:r>
      <w:r w:rsidRPr="00EE7B2A">
        <w:t xml:space="preserve"> initiatives. Openness is crucial to ensure the best outcomes for unserved and underserved communities and will involve a range of strategies:</w:t>
      </w:r>
    </w:p>
    <w:p w:rsidRPr="00EE7B2A" w:rsidR="00FD173D" w:rsidP="006F78D2" w:rsidRDefault="00FD173D" w14:paraId="494B2CDB" w14:textId="77777777">
      <w:pPr>
        <w:pStyle w:val="ListParagraph"/>
        <w:numPr>
          <w:ilvl w:val="0"/>
          <w:numId w:val="58"/>
        </w:numPr>
        <w:spacing w:after="200"/>
      </w:pPr>
      <w:r w:rsidRPr="00EE7B2A">
        <w:t xml:space="preserve">Open and inclusive eligibility for grant awards, welcoming applications from </w:t>
      </w:r>
      <w:r>
        <w:t>a wide range of entities</w:t>
      </w:r>
    </w:p>
    <w:p w:rsidRPr="00EE7B2A" w:rsidR="00FD173D" w:rsidP="006F78D2" w:rsidRDefault="00FD173D" w14:paraId="6404B9E7" w14:textId="77777777">
      <w:pPr>
        <w:pStyle w:val="ListParagraph"/>
        <w:numPr>
          <w:ilvl w:val="0"/>
          <w:numId w:val="58"/>
        </w:numPr>
        <w:spacing w:after="200"/>
      </w:pPr>
      <w:r w:rsidRPr="00EE7B2A">
        <w:t>Community input at all stages of the BEAD process, including through engagement and feedback to the planning process and the plans themselves</w:t>
      </w:r>
    </w:p>
    <w:p w:rsidRPr="00961B54" w:rsidR="00961B54" w:rsidP="001D74D7" w:rsidRDefault="00FD173D" w14:paraId="1A66E4B6" w14:textId="3810443A">
      <w:pPr>
        <w:pStyle w:val="ListParagraph"/>
        <w:numPr>
          <w:ilvl w:val="0"/>
          <w:numId w:val="58"/>
        </w:numPr>
        <w:spacing w:after="200"/>
        <w:rPr>
          <w:rFonts w:ascii="Calibri" w:hAnsi="Calibri"/>
        </w:rPr>
      </w:pPr>
      <w:r w:rsidRPr="00EE7B2A">
        <w:t>Openness and transparency in the evaluation process, with feedback to unsuccessful applicants to build trust and encourage participation</w:t>
      </w:r>
    </w:p>
    <w:p w:rsidRPr="00EE7B2A" w:rsidR="00FD173D" w:rsidP="00FD173D" w:rsidRDefault="00FD173D" w14:paraId="161C74F5" w14:textId="65B995DE">
      <w:r w:rsidRPr="00EE7B2A">
        <w:rPr>
          <w:b/>
          <w:bCs/>
        </w:rPr>
        <w:t>Fairness</w:t>
      </w:r>
      <w:r w:rsidRPr="00EE7B2A">
        <w:t xml:space="preserve"> for </w:t>
      </w:r>
      <w:r w:rsidR="00A0796A">
        <w:t>ISP</w:t>
      </w:r>
      <w:r w:rsidRPr="00EE7B2A">
        <w:t xml:space="preserve"> applicants in a competitive grant program for building broadband infrastructure is essential to encourage competition, innovation, and the efficient use of resources while ensuring that </w:t>
      </w:r>
      <w:r w:rsidR="00A0796A">
        <w:t xml:space="preserve">unserved and </w:t>
      </w:r>
      <w:r w:rsidRPr="00EE7B2A">
        <w:t xml:space="preserve">underserved areas receive the connectivity they need. To ensure fairness in its BEAD grant process, </w:t>
      </w:r>
      <w:r>
        <w:t>ADECA</w:t>
      </w:r>
      <w:r w:rsidRPr="00EE7B2A">
        <w:t xml:space="preserve"> anticipates the following:</w:t>
      </w:r>
    </w:p>
    <w:p w:rsidRPr="00EE7B2A" w:rsidR="00FD173D" w:rsidP="006F78D2" w:rsidRDefault="00FD173D" w14:paraId="5CBF92AD" w14:textId="7C5FA4DB">
      <w:pPr>
        <w:pStyle w:val="ListParagraph"/>
        <w:numPr>
          <w:ilvl w:val="0"/>
          <w:numId w:val="56"/>
        </w:numPr>
        <w:spacing w:after="200"/>
      </w:pPr>
      <w:r w:rsidRPr="00EE7B2A">
        <w:t>Open and transparent process</w:t>
      </w:r>
      <w:r w:rsidR="00E12616">
        <w:t>es</w:t>
      </w:r>
      <w:r w:rsidRPr="00EE7B2A">
        <w:t xml:space="preserve">, with all grant materials and guidance available to all potential applicants on the same timeline, including publication of the scoring rubric and guidance for how to self-score applications based on the scoring criteria established by </w:t>
      </w:r>
      <w:r>
        <w:t>ADECA</w:t>
      </w:r>
    </w:p>
    <w:p w:rsidRPr="00EE7B2A" w:rsidR="00FD173D" w:rsidP="006F78D2" w:rsidRDefault="00FD173D" w14:paraId="3C6ACF1D" w14:textId="3C6CC535">
      <w:pPr>
        <w:pStyle w:val="ListParagraph"/>
        <w:numPr>
          <w:ilvl w:val="0"/>
          <w:numId w:val="56"/>
        </w:numPr>
        <w:spacing w:after="200"/>
      </w:pPr>
      <w:r w:rsidRPr="00EE7B2A">
        <w:t xml:space="preserve">Ongoing and frequent communications through </w:t>
      </w:r>
      <w:r w:rsidR="0096624F">
        <w:t>public</w:t>
      </w:r>
      <w:r w:rsidRPr="00EE7B2A">
        <w:t xml:space="preserve"> grant workshops</w:t>
      </w:r>
      <w:r w:rsidR="0096624F">
        <w:t>, technical assistance meetings,</w:t>
      </w:r>
      <w:r w:rsidR="00612E0C">
        <w:t xml:space="preserve"> </w:t>
      </w:r>
      <w:r w:rsidRPr="00EE7B2A">
        <w:t xml:space="preserve">and </w:t>
      </w:r>
      <w:proofErr w:type="gramStart"/>
      <w:r w:rsidRPr="00EE7B2A">
        <w:t>frequently</w:t>
      </w:r>
      <w:r w:rsidR="00612E0C">
        <w:t>-</w:t>
      </w:r>
      <w:r w:rsidRPr="00EE7B2A">
        <w:t>updated</w:t>
      </w:r>
      <w:proofErr w:type="gramEnd"/>
      <w:r w:rsidRPr="00EE7B2A">
        <w:t xml:space="preserve"> </w:t>
      </w:r>
      <w:r w:rsidR="00E82087">
        <w:t>frequently asked questions (</w:t>
      </w:r>
      <w:r w:rsidRPr="00EE7B2A">
        <w:t>FAQs</w:t>
      </w:r>
      <w:r w:rsidR="00E82087">
        <w:t>)</w:t>
      </w:r>
      <w:r w:rsidRPr="00EE7B2A">
        <w:t xml:space="preserve"> to enable maximum information sharing with potential applicants</w:t>
      </w:r>
    </w:p>
    <w:p w:rsidRPr="00EE7B2A" w:rsidR="00FD173D" w:rsidP="006F78D2" w:rsidRDefault="00FD173D" w14:paraId="68986453" w14:textId="30C9E14A">
      <w:pPr>
        <w:pStyle w:val="ListParagraph"/>
        <w:numPr>
          <w:ilvl w:val="0"/>
          <w:numId w:val="56"/>
        </w:numPr>
        <w:spacing w:after="200"/>
      </w:pPr>
      <w:r w:rsidRPr="00EE7B2A">
        <w:t xml:space="preserve">Inclusive eligibility criteria that are clear, </w:t>
      </w:r>
      <w:r w:rsidR="00B24053">
        <w:t>comprehensive</w:t>
      </w:r>
      <w:r w:rsidRPr="00EE7B2A">
        <w:t xml:space="preserve">, and not overly restrictive, within the parameters of the BEAD </w:t>
      </w:r>
      <w:r w:rsidR="00B24053">
        <w:t>P</w:t>
      </w:r>
      <w:r w:rsidRPr="00EE7B2A">
        <w:t>rogram, to ensure that entities of all sizes can participate</w:t>
      </w:r>
    </w:p>
    <w:p w:rsidR="00FD173D" w:rsidP="006F78D2" w:rsidRDefault="00FD173D" w14:paraId="394DA75C" w14:textId="77777777">
      <w:pPr>
        <w:pStyle w:val="ListParagraph"/>
        <w:numPr>
          <w:ilvl w:val="0"/>
          <w:numId w:val="56"/>
        </w:numPr>
        <w:spacing w:after="200"/>
      </w:pPr>
      <w:r>
        <w:t>Clear scoring criteria</w:t>
      </w:r>
    </w:p>
    <w:p w:rsidRPr="00EE7B2A" w:rsidR="00FD173D" w:rsidP="006F78D2" w:rsidRDefault="00FD173D" w14:paraId="731A3AC7" w14:textId="06B6C15C">
      <w:pPr>
        <w:pStyle w:val="ListParagraph"/>
        <w:numPr>
          <w:ilvl w:val="0"/>
          <w:numId w:val="56"/>
        </w:numPr>
        <w:spacing w:after="200"/>
      </w:pPr>
      <w:r w:rsidRPr="00EE7B2A">
        <w:t>Competitive process that encourages applicants to submit innovative proposals and cost-effective solutions</w:t>
      </w:r>
    </w:p>
    <w:p w:rsidRPr="00EE7B2A" w:rsidR="00FC715A" w:rsidP="00FC715A" w:rsidRDefault="00FD173D" w14:paraId="41F31635" w14:textId="00BF7A2E">
      <w:pPr>
        <w:pStyle w:val="ListParagraph"/>
        <w:numPr>
          <w:ilvl w:val="0"/>
          <w:numId w:val="56"/>
        </w:numPr>
        <w:spacing w:after="200"/>
      </w:pPr>
      <w:r w:rsidRPr="00EE7B2A">
        <w:t>Fair review process that is impartial and free from conflicts of interest, with independent evaluators engaged to assess proposals</w:t>
      </w:r>
      <w:r w:rsidR="00FC4226">
        <w:t xml:space="preserve">, consistent with </w:t>
      </w:r>
      <w:r w:rsidR="00FC715A">
        <w:t xml:space="preserve">ADECA’s past broadband grant programs. </w:t>
      </w:r>
      <w:r w:rsidRPr="00CF118B" w:rsidR="00FC715A">
        <w:rPr>
          <w:rFonts w:eastAsia="Times New Roman" w:cs="Calibri"/>
          <w:color w:val="242424"/>
        </w:rPr>
        <w:t>To insure against risks of bias, collusion, conflicts of interest, and self-dealing, ADECA will ensure that all reviewers are financially independent of all applicants. Reviewers will be required to certify in writing that they have no employment, contractor, or other business relationship with any applicant or any affiliate or subsidiary of any applicant.</w:t>
      </w:r>
      <w:r w:rsidR="00C35F2C">
        <w:rPr>
          <w:rStyle w:val="FootnoteReference"/>
          <w:rFonts w:eastAsia="Times New Roman" w:cs="Calibri"/>
          <w:color w:val="242424"/>
        </w:rPr>
        <w:footnoteReference w:id="35"/>
      </w:r>
      <w:r w:rsidRPr="009B30A0" w:rsidR="00FC715A">
        <w:rPr>
          <w:rFonts w:eastAsia="Times New Roman" w:cs="Calibri"/>
          <w:color w:val="242424"/>
        </w:rPr>
        <w:t xml:space="preserve"> </w:t>
      </w:r>
    </w:p>
    <w:p w:rsidRPr="00EE7B2A" w:rsidR="00FD173D" w:rsidP="00FD173D" w:rsidRDefault="00FD173D" w14:paraId="54BCEB0E" w14:textId="0663789E">
      <w:r w:rsidRPr="00EE7B2A">
        <w:rPr>
          <w:b/>
          <w:bCs/>
        </w:rPr>
        <w:t>Competition</w:t>
      </w:r>
      <w:r w:rsidRPr="00EE7B2A">
        <w:t xml:space="preserve"> is at the heart of </w:t>
      </w:r>
      <w:r>
        <w:t>ADECA</w:t>
      </w:r>
      <w:r w:rsidRPr="00EE7B2A">
        <w:t xml:space="preserve">’s goals, methodology, and commitments. Creating a competitive environment for the BEAD </w:t>
      </w:r>
      <w:r w:rsidR="000226C0">
        <w:t>P</w:t>
      </w:r>
      <w:r w:rsidRPr="00EE7B2A">
        <w:t>rogram will be ensured through multiple means:</w:t>
      </w:r>
    </w:p>
    <w:p w:rsidRPr="00EE7B2A" w:rsidR="00FD173D" w:rsidP="006F78D2" w:rsidRDefault="00FD173D" w14:paraId="6E9265EE" w14:textId="15BFDFD4">
      <w:pPr>
        <w:pStyle w:val="ListParagraph"/>
        <w:numPr>
          <w:ilvl w:val="0"/>
          <w:numId w:val="57"/>
        </w:numPr>
        <w:spacing w:after="200"/>
      </w:pPr>
      <w:r w:rsidRPr="00EE7B2A">
        <w:t>Broad eligibility and participation</w:t>
      </w:r>
      <w:r>
        <w:t xml:space="preserve"> of a wide range of </w:t>
      </w:r>
      <w:r w:rsidRPr="00EE7B2A">
        <w:t>entities</w:t>
      </w:r>
      <w:r w:rsidR="00B61189">
        <w:t xml:space="preserve">, including </w:t>
      </w:r>
      <w:r w:rsidR="00B1275E">
        <w:t>non-traditional broadband providers identified in the BEAD NOFO</w:t>
      </w:r>
      <w:r w:rsidR="00B1275E">
        <w:rPr>
          <w:rStyle w:val="FootnoteReference"/>
        </w:rPr>
        <w:footnoteReference w:id="36"/>
      </w:r>
    </w:p>
    <w:p w:rsidRPr="00EE7B2A" w:rsidR="00FD173D" w:rsidP="006F78D2" w:rsidRDefault="00FD173D" w14:paraId="015D403E" w14:textId="6E684CEA">
      <w:pPr>
        <w:pStyle w:val="ListParagraph"/>
        <w:numPr>
          <w:ilvl w:val="0"/>
          <w:numId w:val="57"/>
        </w:numPr>
        <w:spacing w:after="200"/>
      </w:pPr>
      <w:r w:rsidRPr="00EE7B2A">
        <w:t>A low-burden grant program designed to make it feasible for all sizes of entities to compete without facing unreasonable costs or level of effort</w:t>
      </w:r>
    </w:p>
    <w:p w:rsidRPr="00EE7B2A" w:rsidR="00FD173D" w:rsidP="006F78D2" w:rsidRDefault="00FD173D" w14:paraId="717649D6" w14:textId="71BD7AE9">
      <w:pPr>
        <w:pStyle w:val="ListParagraph"/>
        <w:numPr>
          <w:ilvl w:val="0"/>
          <w:numId w:val="57"/>
        </w:numPr>
        <w:spacing w:after="200"/>
      </w:pPr>
      <w:r w:rsidRPr="00EE7B2A">
        <w:t>Incentives for collaboration by applicants with other providers, local governments, and community organizations</w:t>
      </w:r>
    </w:p>
    <w:p w:rsidRPr="00EE7B2A" w:rsidR="00635479" w:rsidP="006F78D2" w:rsidRDefault="00635479" w14:paraId="0D211E21" w14:textId="320F0AD8">
      <w:pPr>
        <w:pStyle w:val="ListParagraph"/>
        <w:numPr>
          <w:ilvl w:val="0"/>
          <w:numId w:val="57"/>
        </w:numPr>
        <w:spacing w:after="200"/>
      </w:pPr>
      <w:r>
        <w:t>Incentives for community support fo</w:t>
      </w:r>
      <w:r w:rsidR="006011A4">
        <w:t>r proposed projects</w:t>
      </w:r>
    </w:p>
    <w:p w:rsidRPr="00EE7B2A" w:rsidR="00FD173D" w:rsidP="008A211A" w:rsidRDefault="00FD173D" w14:paraId="61FB833D" w14:textId="77777777">
      <w:pPr>
        <w:pStyle w:val="Heading3"/>
        <w:numPr>
          <w:ilvl w:val="2"/>
          <w:numId w:val="22"/>
        </w:numPr>
        <w:rPr>
          <w:sz w:val="20"/>
          <w:szCs w:val="20"/>
        </w:rPr>
      </w:pPr>
      <w:bookmarkStart w:name="_Toc146637781" w:id="38"/>
      <w:bookmarkStart w:name="_Toc147151959" w:id="39"/>
      <w:bookmarkStart w:name="_Toc148069314" w:id="40"/>
      <w:bookmarkStart w:name="_Toc150852623" w:id="41"/>
      <w:r w:rsidRPr="00EE7B2A">
        <w:t>Technical assistance and administrative support</w:t>
      </w:r>
      <w:bookmarkEnd w:id="38"/>
      <w:bookmarkEnd w:id="39"/>
      <w:bookmarkEnd w:id="40"/>
      <w:bookmarkEnd w:id="41"/>
      <w:r w:rsidRPr="00EE7B2A">
        <w:t> </w:t>
      </w:r>
    </w:p>
    <w:p w:rsidRPr="00EE7B2A" w:rsidR="00FD173D" w:rsidP="00FD173D" w:rsidRDefault="00FD173D" w14:paraId="08E6A124" w14:textId="079ED9F9">
      <w:r w:rsidRPr="00EE7B2A">
        <w:t xml:space="preserve">To support openness, fairness, and competition in its BEAD grant efforts, </w:t>
      </w:r>
      <w:r>
        <w:t>ADECA</w:t>
      </w:r>
      <w:r w:rsidRPr="00EE7B2A">
        <w:t xml:space="preserve"> plans extensive communications, technical assistance, and administrative support for applicants throughout the process. </w:t>
      </w:r>
      <w:r>
        <w:t>As it has done with its other broadband grant programs, ADECA</w:t>
      </w:r>
      <w:r w:rsidRPr="00EE7B2A">
        <w:t xml:space="preserve"> will leverage its considerable grant funding experience and existing program framework to provide technical assistance resources and administrative support during the subgrantee selection process for its BEAD grant funding program. </w:t>
      </w:r>
      <w:r>
        <w:t>ADECA</w:t>
      </w:r>
      <w:r w:rsidRPr="00EE7B2A">
        <w:t xml:space="preserve"> will use its existing communications channels to provide all partners in the state with the most accurate and up</w:t>
      </w:r>
      <w:r w:rsidR="004617B4">
        <w:t>-</w:t>
      </w:r>
      <w:r w:rsidRPr="00EE7B2A">
        <w:t>to</w:t>
      </w:r>
      <w:r w:rsidR="004617B4">
        <w:t>-</w:t>
      </w:r>
      <w:r w:rsidRPr="00EE7B2A">
        <w:t xml:space="preserve">date information regarding key deadlines and milestones for its BEAD </w:t>
      </w:r>
      <w:r w:rsidR="00456967">
        <w:t>P</w:t>
      </w:r>
      <w:r w:rsidRPr="00EE7B2A">
        <w:t xml:space="preserve">rogram. </w:t>
      </w:r>
      <w:r>
        <w:t>ADECA</w:t>
      </w:r>
      <w:r w:rsidRPr="00EE7B2A">
        <w:t xml:space="preserve">’s outreach processes and technical assistance materials will provide guidance, templates, and information about each of the subgrantee selection process elements discussed below. </w:t>
      </w:r>
    </w:p>
    <w:p w:rsidRPr="00EE7B2A" w:rsidR="00FD173D" w:rsidP="00FD173D" w:rsidRDefault="007B0129" w14:paraId="12C09DB9" w14:textId="0CBC74F1">
      <w:r>
        <w:t>Through its state broadband mapping efforts</w:t>
      </w:r>
      <w:r w:rsidR="00EC7ED3">
        <w:t xml:space="preserve">, </w:t>
      </w:r>
      <w:r w:rsidR="002B214F">
        <w:t xml:space="preserve">community engagement, and </w:t>
      </w:r>
      <w:r w:rsidR="008C6759">
        <w:t>outreach listserv,</w:t>
      </w:r>
      <w:r w:rsidR="008C6759">
        <w:rPr>
          <w:rStyle w:val="FootnoteReference"/>
        </w:rPr>
        <w:footnoteReference w:id="37"/>
      </w:r>
      <w:r w:rsidR="008C6759">
        <w:t xml:space="preserve"> </w:t>
      </w:r>
      <w:r w:rsidR="00FD173D">
        <w:t>ADECA</w:t>
      </w:r>
      <w:r w:rsidRPr="00EE7B2A" w:rsidR="00FD173D">
        <w:t xml:space="preserve"> has an extensive email list of </w:t>
      </w:r>
      <w:r w:rsidR="00FD173D">
        <w:t>partner</w:t>
      </w:r>
      <w:r w:rsidRPr="00EE7B2A" w:rsidR="00FD173D">
        <w:t xml:space="preserve">s, including </w:t>
      </w:r>
      <w:r w:rsidR="00EC7ED3">
        <w:t>ISPs</w:t>
      </w:r>
      <w:r w:rsidRPr="00EE7B2A" w:rsidR="00FD173D">
        <w:t xml:space="preserve">, local governments, </w:t>
      </w:r>
      <w:r w:rsidR="00EC7ED3">
        <w:t>CAIs</w:t>
      </w:r>
      <w:r w:rsidRPr="00EE7B2A" w:rsidR="00FD173D">
        <w:t xml:space="preserve">, state agencies, and nonprofit organizations. </w:t>
      </w:r>
      <w:r w:rsidR="00FD173D">
        <w:t>ADECA</w:t>
      </w:r>
      <w:r w:rsidRPr="00EE7B2A" w:rsidR="00FD173D">
        <w:t xml:space="preserve"> also has a robust web and social media presence. </w:t>
      </w:r>
      <w:r w:rsidR="00FD173D">
        <w:t>ADECA</w:t>
      </w:r>
      <w:r w:rsidRPr="00EE7B2A" w:rsidR="00FD173D">
        <w:t xml:space="preserve"> will use these tools to alert potential applicants of each milestone during the process outlined below as well as providing information on technical assistance opportunities or updated information about program requirements. </w:t>
      </w:r>
      <w:r w:rsidR="00FD173D">
        <w:t>ADECA</w:t>
      </w:r>
      <w:r w:rsidRPr="00EE7B2A" w:rsidR="00FD173D">
        <w:t xml:space="preserve">’s partners will also be encouraged to further distribute information about the BEAD </w:t>
      </w:r>
      <w:r w:rsidR="00AB213C">
        <w:t>P</w:t>
      </w:r>
      <w:r w:rsidRPr="00EE7B2A" w:rsidR="00FD173D">
        <w:t xml:space="preserve">rogram through their own email lists and website postings. </w:t>
      </w:r>
      <w:r w:rsidR="00FD173D">
        <w:t>ADECA</w:t>
      </w:r>
      <w:r w:rsidRPr="00EE7B2A" w:rsidR="00FD173D">
        <w:t xml:space="preserve"> will also use its website as a repository for potential applicants to access detailed application materials and technical assistance resources</w:t>
      </w:r>
      <w:r w:rsidR="00B32D6C">
        <w:t>, including those issued by NTIA</w:t>
      </w:r>
      <w:r w:rsidRPr="00EE7B2A" w:rsidR="00FD173D">
        <w:t xml:space="preserve">. </w:t>
      </w:r>
    </w:p>
    <w:p w:rsidRPr="00EE7B2A" w:rsidR="00FD173D" w:rsidP="00FD173D" w:rsidRDefault="00FD173D" w14:paraId="026F8C2A" w14:textId="77777777">
      <w:r>
        <w:t>ADECA</w:t>
      </w:r>
      <w:r w:rsidRPr="00EE7B2A">
        <w:t xml:space="preserve"> expects to implement the following process for its BEAD grant funded outreach and communications: </w:t>
      </w:r>
    </w:p>
    <w:p w:rsidRPr="00EE7B2A" w:rsidR="00FD173D" w:rsidP="001B4244" w:rsidRDefault="00FD173D" w14:paraId="0C60E574" w14:textId="5775AA40">
      <w:pPr>
        <w:pStyle w:val="ListParagraph"/>
        <w:numPr>
          <w:ilvl w:val="0"/>
          <w:numId w:val="61"/>
        </w:numPr>
        <w:spacing w:after="200"/>
        <w:ind w:left="720"/>
      </w:pPr>
      <w:r>
        <w:t>ADECA</w:t>
      </w:r>
      <w:r w:rsidRPr="00EE7B2A">
        <w:t xml:space="preserve"> will announce the dates of its Prequalification Phase </w:t>
      </w:r>
      <w:r w:rsidR="0031673E">
        <w:t xml:space="preserve">in accordance with the </w:t>
      </w:r>
      <w:r w:rsidR="00FF7B7D">
        <w:t xml:space="preserve">timeline described in </w:t>
      </w:r>
      <w:r w:rsidR="00F06AE9">
        <w:t>Section 5.1.4.</w:t>
      </w:r>
      <w:r w:rsidR="0014142A">
        <w:t>1.</w:t>
      </w:r>
      <w:r w:rsidRPr="00EE7B2A">
        <w:t xml:space="preserve"> Potential </w:t>
      </w:r>
      <w:r w:rsidR="00094F49">
        <w:t xml:space="preserve">BEAD </w:t>
      </w:r>
      <w:r w:rsidRPr="00EE7B2A">
        <w:t xml:space="preserve">subgrantees must participate in the Prequalification Phase </w:t>
      </w:r>
      <w:r w:rsidR="00094F49">
        <w:t xml:space="preserve">in order to be eligible </w:t>
      </w:r>
      <w:r w:rsidRPr="00EE7B2A">
        <w:t>to submit a project-specific funding proposal during the Scoring Phase. </w:t>
      </w:r>
    </w:p>
    <w:p w:rsidRPr="00EE7B2A" w:rsidR="00FD173D" w:rsidP="001B4244" w:rsidRDefault="00FD173D" w14:paraId="7C4F3D79" w14:textId="1711C050">
      <w:pPr>
        <w:pStyle w:val="ListParagraph"/>
        <w:numPr>
          <w:ilvl w:val="0"/>
          <w:numId w:val="61"/>
        </w:numPr>
        <w:spacing w:after="200"/>
        <w:ind w:left="720"/>
      </w:pPr>
      <w:r w:rsidRPr="00EE7B2A">
        <w:t xml:space="preserve">At approximately the same time as this announcement of the </w:t>
      </w:r>
      <w:r w:rsidR="005127AE">
        <w:t>Prequalification Phase</w:t>
      </w:r>
      <w:r w:rsidRPr="00EE7B2A">
        <w:t xml:space="preserve"> dates, </w:t>
      </w:r>
      <w:r>
        <w:t>ADECA</w:t>
      </w:r>
      <w:r w:rsidRPr="00EE7B2A">
        <w:t xml:space="preserve"> will make </w:t>
      </w:r>
      <w:r>
        <w:t>prequalification</w:t>
      </w:r>
      <w:r w:rsidRPr="00EE7B2A">
        <w:t xml:space="preserve"> materials available on its website using a dedicated webpage</w:t>
      </w:r>
    </w:p>
    <w:p w:rsidRPr="00EE7B2A" w:rsidR="00FD173D" w:rsidP="001B4244" w:rsidRDefault="00FD173D" w14:paraId="06F653D8" w14:textId="77777777">
      <w:pPr>
        <w:pStyle w:val="ListParagraph"/>
        <w:numPr>
          <w:ilvl w:val="0"/>
          <w:numId w:val="61"/>
        </w:numPr>
        <w:spacing w:after="200"/>
        <w:ind w:left="720"/>
      </w:pPr>
      <w:r>
        <w:t>ADECA</w:t>
      </w:r>
      <w:r w:rsidRPr="00EE7B2A">
        <w:t xml:space="preserve"> will conduct an online application workshop on </w:t>
      </w:r>
      <w:r>
        <w:t xml:space="preserve">or around </w:t>
      </w:r>
      <w:r w:rsidRPr="00EE7B2A">
        <w:t xml:space="preserve">the first day of the Prequalification Phase window. This workshop will provide general instructions, discuss the program’s goals and objectives, map out major program milestones, answer questions, and provide other technical assistance. This workshop will be recorded and available on the </w:t>
      </w:r>
      <w:r>
        <w:t>ADECA</w:t>
      </w:r>
      <w:r w:rsidRPr="00EE7B2A">
        <w:t xml:space="preserve"> website and the FAQ document will be updated to reflect questions and answers from the workshop. </w:t>
      </w:r>
    </w:p>
    <w:p w:rsidRPr="00EE7B2A" w:rsidR="00FD173D" w:rsidP="001B4244" w:rsidRDefault="00FD173D" w14:paraId="32FB4AA1" w14:textId="5B9BB3A3">
      <w:pPr>
        <w:pStyle w:val="ListParagraph"/>
        <w:numPr>
          <w:ilvl w:val="0"/>
          <w:numId w:val="61"/>
        </w:numPr>
        <w:spacing w:after="200"/>
        <w:ind w:left="720"/>
      </w:pPr>
      <w:r w:rsidRPr="00EE7B2A">
        <w:t xml:space="preserve">During the Prequalification Phase window, </w:t>
      </w:r>
      <w:r>
        <w:t>ADECA</w:t>
      </w:r>
      <w:r w:rsidRPr="00EE7B2A">
        <w:t xml:space="preserve"> will </w:t>
      </w:r>
      <w:r w:rsidR="000F1532">
        <w:t>use its established</w:t>
      </w:r>
      <w:r w:rsidR="00AC3226">
        <w:t xml:space="preserve"> email communications channel to enable</w:t>
      </w:r>
      <w:r w:rsidRPr="00EE7B2A">
        <w:t xml:space="preserve"> participants to ask questions and request technical assistance. To provide transparency, fairness, and additional technical assistance, </w:t>
      </w:r>
      <w:r>
        <w:t>ADECA</w:t>
      </w:r>
      <w:r w:rsidRPr="00EE7B2A">
        <w:t xml:space="preserve"> will update its FAQ document on a regular basis with the questions and answers generated by the email inquiries and in-person meetings. </w:t>
      </w:r>
    </w:p>
    <w:p w:rsidRPr="00EE7B2A" w:rsidR="00FD173D" w:rsidP="001B4244" w:rsidRDefault="00FD173D" w14:paraId="35968B14" w14:textId="77777777">
      <w:pPr>
        <w:pStyle w:val="ListParagraph"/>
        <w:numPr>
          <w:ilvl w:val="0"/>
          <w:numId w:val="61"/>
        </w:numPr>
        <w:spacing w:after="200"/>
        <w:ind w:left="720"/>
      </w:pPr>
      <w:r>
        <w:t>ADECA</w:t>
      </w:r>
      <w:r w:rsidRPr="00EE7B2A">
        <w:t xml:space="preserve"> will allow for reasonable curing to seek to ensure an optimal participation level of qualified ISPs</w:t>
      </w:r>
    </w:p>
    <w:p w:rsidRPr="00EE7B2A" w:rsidR="00FD173D" w:rsidP="00FD173D" w:rsidRDefault="00FD173D" w14:paraId="6B625841" w14:textId="44F77C16">
      <w:r>
        <w:t>ADECA</w:t>
      </w:r>
      <w:r w:rsidRPr="00EE7B2A">
        <w:t xml:space="preserve"> expects to follow the same steps detailed above for its Scoring Phase</w:t>
      </w:r>
      <w:r w:rsidR="00274076">
        <w:t xml:space="preserve">, including </w:t>
      </w:r>
      <w:r w:rsidR="00FC0DEB">
        <w:t>another application workshop</w:t>
      </w:r>
      <w:r w:rsidRPr="00EE7B2A">
        <w:t xml:space="preserve">. During the Scoring Phase, </w:t>
      </w:r>
      <w:r>
        <w:t>ADECA</w:t>
      </w:r>
      <w:r w:rsidRPr="00EE7B2A">
        <w:t xml:space="preserve"> will also provide </w:t>
      </w:r>
      <w:r>
        <w:t>grant application</w:t>
      </w:r>
      <w:r w:rsidRPr="00EE7B2A">
        <w:t xml:space="preserve"> materials and information</w:t>
      </w:r>
      <w:r>
        <w:t xml:space="preserve">. </w:t>
      </w:r>
      <w:r w:rsidRPr="00EE7B2A">
        <w:t xml:space="preserve">These materials will consist of an Application and Guide, Program Guide, and FAQ documents. </w:t>
      </w:r>
      <w:r>
        <w:t>ADECA</w:t>
      </w:r>
      <w:r w:rsidRPr="00EE7B2A">
        <w:t xml:space="preserve"> will provide an additional resources page on its website to direct potential applicants to third</w:t>
      </w:r>
      <w:r w:rsidR="003E5720">
        <w:t>-</w:t>
      </w:r>
      <w:r w:rsidRPr="00EE7B2A">
        <w:t xml:space="preserve">party resources that may be of use, including those provided by NTIA, NIST, FCC, and others. </w:t>
      </w:r>
      <w:r>
        <w:t>ADECA</w:t>
      </w:r>
      <w:r w:rsidRPr="00EE7B2A">
        <w:t xml:space="preserve"> will continue to use all available communication channels to update applicants on milestones, deadlines, updated FAQ material, and technical assistance resources as they are made available by </w:t>
      </w:r>
      <w:r>
        <w:t>ADECA</w:t>
      </w:r>
      <w:r w:rsidRPr="00EE7B2A">
        <w:t>, NTIA, NIST, FCC</w:t>
      </w:r>
      <w:r w:rsidR="00092585">
        <w:t>,</w:t>
      </w:r>
      <w:r w:rsidRPr="00EE7B2A">
        <w:t xml:space="preserve"> or other relevant partners. </w:t>
      </w:r>
    </w:p>
    <w:p w:rsidRPr="00EE7B2A" w:rsidR="00FD173D" w:rsidP="008A211A" w:rsidRDefault="00FD173D" w14:paraId="36E09539" w14:textId="5D1A3D07">
      <w:pPr>
        <w:pStyle w:val="Heading3"/>
        <w:numPr>
          <w:ilvl w:val="2"/>
          <w:numId w:val="22"/>
        </w:numPr>
      </w:pPr>
      <w:bookmarkStart w:name="_Toc146637782" w:id="42"/>
      <w:bookmarkStart w:name="_Toc147151960" w:id="43"/>
      <w:bookmarkStart w:name="_Toc148069315" w:id="44"/>
      <w:bookmarkStart w:name="_Toc150852624" w:id="45"/>
      <w:r w:rsidRPr="00EE7B2A">
        <w:t xml:space="preserve">Overview of planned </w:t>
      </w:r>
      <w:bookmarkEnd w:id="42"/>
      <w:bookmarkEnd w:id="43"/>
      <w:bookmarkEnd w:id="44"/>
      <w:r w:rsidR="000E5E07">
        <w:t>s</w:t>
      </w:r>
      <w:r w:rsidRPr="00EE7B2A">
        <w:t xml:space="preserve">ubgrantee </w:t>
      </w:r>
      <w:r w:rsidR="000E5E07">
        <w:t>s</w:t>
      </w:r>
      <w:r w:rsidRPr="00EE7B2A">
        <w:t xml:space="preserve">election </w:t>
      </w:r>
      <w:r w:rsidR="000E5E07">
        <w:t>p</w:t>
      </w:r>
      <w:r w:rsidRPr="00EE7B2A">
        <w:t>rocess</w:t>
      </w:r>
      <w:bookmarkEnd w:id="45"/>
    </w:p>
    <w:p w:rsidRPr="00EE7B2A" w:rsidR="00FD173D" w:rsidP="00FD173D" w:rsidRDefault="00FD173D" w14:paraId="60C97CDA" w14:textId="372D8A09">
      <w:r w:rsidRPr="00EE7B2A">
        <w:t xml:space="preserve">The following is </w:t>
      </w:r>
      <w:r>
        <w:t>ADECA</w:t>
      </w:r>
      <w:r w:rsidRPr="00EE7B2A">
        <w:t xml:space="preserve">’s planned </w:t>
      </w:r>
      <w:r w:rsidR="00456967">
        <w:t>s</w:t>
      </w:r>
      <w:r w:rsidRPr="00EE7B2A">
        <w:t xml:space="preserve">ubgrantee </w:t>
      </w:r>
      <w:r w:rsidR="00456967">
        <w:t>s</w:t>
      </w:r>
      <w:r w:rsidRPr="00EE7B2A">
        <w:t xml:space="preserve">election </w:t>
      </w:r>
      <w:r w:rsidR="00456967">
        <w:t>p</w:t>
      </w:r>
      <w:r w:rsidRPr="00EE7B2A">
        <w:t xml:space="preserve">rocess, which is part of </w:t>
      </w:r>
      <w:r>
        <w:t>ADECA</w:t>
      </w:r>
      <w:r w:rsidRPr="00EE7B2A">
        <w:t xml:space="preserve">’s larger plan for ensuring broadband </w:t>
      </w:r>
      <w:r w:rsidR="001872B3">
        <w:t xml:space="preserve">availability for all </w:t>
      </w:r>
      <w:r>
        <w:t>Alabama</w:t>
      </w:r>
      <w:r w:rsidRPr="00EE7B2A">
        <w:t xml:space="preserve"> locations that are currently unserved</w:t>
      </w:r>
      <w:r>
        <w:t xml:space="preserve"> and </w:t>
      </w:r>
      <w:r w:rsidR="004F0094">
        <w:t xml:space="preserve">underserved, </w:t>
      </w:r>
      <w:r w:rsidR="001872B3">
        <w:t>if sufficient funds are available</w:t>
      </w:r>
      <w:r w:rsidRPr="00EE7B2A">
        <w:t xml:space="preserve">. </w:t>
      </w:r>
    </w:p>
    <w:p w:rsidR="00FD173D" w:rsidP="00FD173D" w:rsidRDefault="00FD173D" w14:paraId="2CC7AC89" w14:textId="5818D72A">
      <w:r>
        <w:t>ADECA</w:t>
      </w:r>
      <w:r w:rsidRPr="00EE7B2A">
        <w:t xml:space="preserve"> anticipates a multi-step process for selecting subgrantee</w:t>
      </w:r>
      <w:r w:rsidR="00BC6C16">
        <w:t>s</w:t>
      </w:r>
      <w:r w:rsidRPr="00EE7B2A">
        <w:t xml:space="preserve"> for its BEAD funds that will </w:t>
      </w:r>
      <w:r>
        <w:t xml:space="preserve">(1) </w:t>
      </w:r>
      <w:r w:rsidRPr="00EE7B2A">
        <w:t>begin with prequalification of applicants (referred to as the Prequalification Phase)</w:t>
      </w:r>
      <w:r>
        <w:t>, (2)</w:t>
      </w:r>
      <w:r w:rsidRPr="00EE7B2A">
        <w:t xml:space="preserve"> then proceed to receipt and scoring of grant applications (referred to as the Scoring Phase)</w:t>
      </w:r>
      <w:r>
        <w:t>, and (3) then proceed to negotiations with applicants (referred to as the Negotiation Phase)</w:t>
      </w:r>
      <w:r w:rsidRPr="00EE7B2A">
        <w:t xml:space="preserve">. </w:t>
      </w:r>
    </w:p>
    <w:p w:rsidR="00CB6F80" w:rsidP="00CB6F80" w:rsidRDefault="006062D5" w14:paraId="04E60411" w14:textId="5EBC852C">
      <w:r w:rsidRPr="00B26366">
        <w:rPr>
          <w:rFonts w:eastAsia="Calibri" w:cs="Calibri"/>
        </w:rPr>
        <w:t xml:space="preserve">ADECA would like to avail subgrantees of the 2 C.F.R. Part 200 exceptions and adjustments NTIA applies in the BEAD </w:t>
      </w:r>
      <w:r>
        <w:rPr>
          <w:rFonts w:eastAsia="Calibri" w:cs="Calibri"/>
        </w:rPr>
        <w:t>P</w:t>
      </w:r>
      <w:r w:rsidRPr="00B26366">
        <w:rPr>
          <w:rFonts w:eastAsia="Calibri" w:cs="Calibri"/>
        </w:rPr>
        <w:t>rogram. Should any revisions to this Initial Proposal be needed to accomplish this, ADECA would like an opportunity to make those revisions</w:t>
      </w:r>
      <w:r w:rsidR="00543A2F">
        <w:rPr>
          <w:rFonts w:eastAsia="Calibri" w:cs="Calibri"/>
        </w:rPr>
        <w:t>.</w:t>
      </w:r>
    </w:p>
    <w:p w:rsidR="00FD173D" w:rsidP="00FD173D" w:rsidRDefault="00FD173D" w14:paraId="0332C87C" w14:textId="11CC951A">
      <w:r>
        <w:t>ADECA anticipates that applicants will be able to apply for both unserved and underserved locations based on application service boundaries that the applicants will determine themselves</w:t>
      </w:r>
      <w:r w:rsidR="009A4A1D">
        <w:t xml:space="preserve">, subject to the </w:t>
      </w:r>
      <w:r w:rsidR="00BE0E62">
        <w:t>requirements described below</w:t>
      </w:r>
      <w:r>
        <w:t>. ADECA believes that Alabama’s interests will be best served by enabling the applicants to determine application boundaries rather than ADECA attempting to do this</w:t>
      </w:r>
      <w:r w:rsidR="00AA42AA">
        <w:t>.</w:t>
      </w:r>
      <w:r>
        <w:t xml:space="preserve"> NTIA rules give states the option of designating application boundaries to which applicants must conform their applications and within which applicants must commit to serving all eligible locations. By enabling applicants to do this design themselves, ADECA </w:t>
      </w:r>
      <w:r w:rsidR="000456D6">
        <w:t>anticipates</w:t>
      </w:r>
      <w:r>
        <w:t xml:space="preserve"> that companies of all sizes will have equal opportunity to apply for the funds—thus ensuring that small </w:t>
      </w:r>
      <w:r w:rsidR="000456D6">
        <w:t>ISPs</w:t>
      </w:r>
      <w:r>
        <w:t xml:space="preserve"> are not disadvantaged by the structure of the grant program. Furthermore, it is ADECA’s experience that applicants are best suited to determine </w:t>
      </w:r>
      <w:r w:rsidRPr="00EE7B2A">
        <w:t xml:space="preserve">the most </w:t>
      </w:r>
      <w:proofErr w:type="gramStart"/>
      <w:r w:rsidRPr="00EE7B2A">
        <w:t>economically</w:t>
      </w:r>
      <w:r w:rsidR="000456D6">
        <w:t>-</w:t>
      </w:r>
      <w:r w:rsidRPr="00EE7B2A">
        <w:t>viable</w:t>
      </w:r>
      <w:proofErr w:type="gramEnd"/>
      <w:r w:rsidRPr="00EE7B2A">
        <w:t xml:space="preserve"> grouping of </w:t>
      </w:r>
      <w:r>
        <w:t>unserved and underserved</w:t>
      </w:r>
      <w:r w:rsidRPr="00EE7B2A">
        <w:t xml:space="preserve"> locations into a single geographic unit for </w:t>
      </w:r>
      <w:r w:rsidR="0073694B">
        <w:t>application</w:t>
      </w:r>
      <w:r>
        <w:t>, and ADECA seeks to structure a grant program that makes best use of this expertise.</w:t>
      </w:r>
    </w:p>
    <w:p w:rsidR="00FD173D" w:rsidP="00FD173D" w:rsidRDefault="00FD173D" w14:paraId="4E41DFD0" w14:textId="07FF026B">
      <w:r>
        <w:t>At the same time, ADECA has chosen county boundaries as a means of creating structure for application service design. Alabama’s 67 counties and the communities within them have been key partners for ADECA over the past year as BEAD planning has been undertaken</w:t>
      </w:r>
      <w:r w:rsidR="009A4A1D">
        <w:t>,</w:t>
      </w:r>
      <w:r>
        <w:t xml:space="preserve"> and county boundaries are frequently logical boundaries of broadband infrastructure service areas.</w:t>
      </w:r>
    </w:p>
    <w:p w:rsidR="00FD173D" w:rsidP="00FD173D" w:rsidRDefault="00FD173D" w14:paraId="50341331" w14:textId="62E04740">
      <w:r>
        <w:t xml:space="preserve">ADECA thus plans to establish all 67 counties as application categories and to solicit applications for service to all or some of the eligible locations within the county. Applicants will be able to apply for multiple counties if they choose, but each application will be focused on a single county and all or a portion of the unserved and underserved locations in that county. </w:t>
      </w:r>
      <w:r w:rsidR="0098766C">
        <w:t xml:space="preserve">Applicants will be able to file only a single application per </w:t>
      </w:r>
      <w:r w:rsidR="008550E0">
        <w:t>county and</w:t>
      </w:r>
      <w:r w:rsidR="0098766C">
        <w:t xml:space="preserve"> will be required to provide all addresses they propose to serve, as well as a single polygon that illustrates their service area commitments and that allows for analysis of overlap and coverage.</w:t>
      </w:r>
    </w:p>
    <w:p w:rsidR="0098766C" w:rsidP="0098766C" w:rsidRDefault="009F6E90" w14:paraId="09544735" w14:textId="7A071F30">
      <w:r>
        <w:t>G</w:t>
      </w:r>
      <w:r w:rsidR="0098766C">
        <w:t>iven the statutory requirement to develop a broadband solution for 100 percent of unserved and underserved locations, ADECA will prioritize applications that commit to deploying broadband to all eligible locations, either by individual applicants or by consortia as provided herein.</w:t>
      </w:r>
    </w:p>
    <w:p w:rsidR="0098766C" w:rsidP="0098766C" w:rsidRDefault="009F6E90" w14:paraId="013C6FBC" w14:textId="3E968947">
      <w:r>
        <w:t>Through these approaches</w:t>
      </w:r>
      <w:r w:rsidR="0098766C">
        <w:t xml:space="preserve">, ADECA anticipates being able, during the Negotiation Phase following receipt of applications, to undertake negotiations with one or more applicants per county to arrive at an outcome that results in broadband service to all eligible locations. </w:t>
      </w:r>
    </w:p>
    <w:p w:rsidR="009F2254" w:rsidP="00FD173D" w:rsidRDefault="00FD173D" w14:paraId="4CB60A4B" w14:textId="77777777">
      <w:r>
        <w:t>ADECA recognizes the preference in federal BEAD policy for projects that involve deployment of fiber-to-the-premises, which are considered by NTIA to be “Priority Broadband Projects.”</w:t>
      </w:r>
      <w:r>
        <w:rPr>
          <w:rStyle w:val="FootnoteReference"/>
        </w:rPr>
        <w:footnoteReference w:id="38"/>
      </w:r>
      <w:r>
        <w:t xml:space="preserve"> That federal preference is consistent with the </w:t>
      </w:r>
      <w:r w:rsidR="00816EC5">
        <w:t>ADECA</w:t>
      </w:r>
      <w:r>
        <w:t xml:space="preserve">’s own policy to use public funds to build infrastructure capable of 100/100 </w:t>
      </w:r>
      <w:r w:rsidR="00A73CDF">
        <w:t xml:space="preserve">Mbps </w:t>
      </w:r>
      <w:r>
        <w:t>speeds wherever possible.</w:t>
      </w:r>
      <w:r w:rsidR="00816EC5">
        <w:rPr>
          <w:rStyle w:val="FootnoteReference"/>
        </w:rPr>
        <w:footnoteReference w:id="39"/>
      </w:r>
      <w:r>
        <w:t xml:space="preserve"> Given these two considerations, ADECA plans to prioritize fiber-to-the-premises proposals, consistent with the BEAD NOFO, and to make awards for alternative technologies only if and where the costs of fiber exceed the Extremely High Cost Per Location Threshold.</w:t>
      </w:r>
      <w:r w:rsidR="00913013">
        <w:t xml:space="preserve"> </w:t>
      </w:r>
    </w:p>
    <w:p w:rsidRPr="00EE7B2A" w:rsidR="00FD173D" w:rsidP="00FB39FD" w:rsidRDefault="00FD173D" w14:paraId="10F403BC" w14:textId="7C8A19F9">
      <w:r w:rsidRPr="008716D0">
        <w:t xml:space="preserve">ADECA’s data suggest that there exists a business case with respect to </w:t>
      </w:r>
      <w:r w:rsidRPr="008716D0" w:rsidR="005B1E24">
        <w:t>100</w:t>
      </w:r>
      <w:r w:rsidRPr="008716D0">
        <w:t xml:space="preserve"> percent of </w:t>
      </w:r>
      <w:r w:rsidRPr="00FE7C86" w:rsidR="005B1E24">
        <w:t xml:space="preserve">currently </w:t>
      </w:r>
      <w:r w:rsidRPr="008716D0">
        <w:t>unserved and underserved locations</w:t>
      </w:r>
      <w:r w:rsidRPr="008716D0" w:rsidR="005B1E24">
        <w:t xml:space="preserve"> </w:t>
      </w:r>
      <w:r w:rsidRPr="008716D0">
        <w:t>for applicants to request funding for fiber at a level that</w:t>
      </w:r>
      <w:r w:rsidRPr="000A231C" w:rsidR="000C6C4D">
        <w:t xml:space="preserve"> </w:t>
      </w:r>
      <w:r w:rsidRPr="008716D0">
        <w:t xml:space="preserve">will be equal to the BEAD funds available. </w:t>
      </w:r>
      <w:r w:rsidRPr="00934C2A" w:rsidR="004B0FF9">
        <w:t>Despite this analysis, g</w:t>
      </w:r>
      <w:r w:rsidRPr="00FA2228">
        <w:t xml:space="preserve">iven the unpredictability of fiber construction costs during the BEAD timeline and considering the challenges </w:t>
      </w:r>
      <w:r w:rsidRPr="00B312A3" w:rsidR="00AD00D1">
        <w:t xml:space="preserve">of </w:t>
      </w:r>
      <w:r w:rsidRPr="00FA2228">
        <w:t xml:space="preserve">reaching many extremely remote locations in some parts of Alabama, alternative technologies may </w:t>
      </w:r>
      <w:r w:rsidRPr="00B312A3" w:rsidR="004B0FF9">
        <w:t xml:space="preserve">still </w:t>
      </w:r>
      <w:r w:rsidRPr="00FA2228">
        <w:t xml:space="preserve">be necessary to address the needs of some unserved and underserved locations. </w:t>
      </w:r>
      <w:r w:rsidRPr="00B312A3" w:rsidR="00252998">
        <w:t xml:space="preserve">Furthermore, there may not exist in every part of the state an interested potential applicant that provides service over fiber. </w:t>
      </w:r>
      <w:r w:rsidRPr="00FA2228">
        <w:t>Given this</w:t>
      </w:r>
      <w:r w:rsidRPr="00B312A3" w:rsidR="008B5DBD">
        <w:t>,</w:t>
      </w:r>
      <w:r w:rsidRPr="00B312A3" w:rsidR="00531F48">
        <w:t xml:space="preserve"> and in order to maximize the benefits of competition and increase the range of options available</w:t>
      </w:r>
      <w:r w:rsidRPr="00FA2228">
        <w:t xml:space="preserve">, ADECA intends to accept applications not only for fiber but also for alternative technologies such as fixed wireless that are considered “non-Priority” under the </w:t>
      </w:r>
      <w:r w:rsidRPr="00B312A3" w:rsidR="004B0FF9">
        <w:t>BEAD NOFO</w:t>
      </w:r>
      <w:r w:rsidRPr="00FA2228">
        <w:t xml:space="preserve">, and to make those awards as necessary </w:t>
      </w:r>
      <w:r w:rsidRPr="00B312A3" w:rsidR="00D226A8">
        <w:t xml:space="preserve">in the event that </w:t>
      </w:r>
      <w:r w:rsidRPr="00FA2228">
        <w:t xml:space="preserve">locations do not receive viable </w:t>
      </w:r>
      <w:r w:rsidRPr="00B312A3" w:rsidR="00D226A8">
        <w:t>Priority Broadband</w:t>
      </w:r>
      <w:r w:rsidRPr="00FA2228">
        <w:t xml:space="preserve"> applications.</w:t>
      </w:r>
      <w:r w:rsidRPr="00B312A3" w:rsidR="004B0FF9">
        <w:rPr>
          <w:rStyle w:val="FootnoteReference"/>
        </w:rPr>
        <w:footnoteReference w:id="40"/>
      </w:r>
    </w:p>
    <w:p w:rsidRPr="00D528CA" w:rsidR="00D528CA" w:rsidP="004B198F" w:rsidRDefault="00D528CA" w14:paraId="77DF68F7" w14:textId="6B092387">
      <w:r w:rsidRPr="00D528CA">
        <w:t xml:space="preserve">In addition, given the large size of many Alabama counties and the goal of reaching 100 percent of each county, ADECA will accept applications from groups of applicants that choose to apply together, in consortium, to cover specific counties. In a consortium application, one entity </w:t>
      </w:r>
      <w:r w:rsidR="00C97BEC">
        <w:t>should</w:t>
      </w:r>
      <w:r w:rsidRPr="00D528CA">
        <w:t xml:space="preserve"> serve as the lead applicant and designated recipient of the award</w:t>
      </w:r>
      <w:r w:rsidR="005A5ADC">
        <w:t xml:space="preserve">. </w:t>
      </w:r>
      <w:r w:rsidRPr="00D528CA">
        <w:t xml:space="preserve">The consortium must demonstrate in its application how it is organized and how it will meet the requirements of the grant program. Furthermore, all consortium members must provide all relevant information during the Prequalification and Scoring Phases of the grant program. If ADECA makes a provisional award to a consortium and the lead applicant declines to accept the obligations of the award, the entire provisional award </w:t>
      </w:r>
      <w:r w:rsidR="00F3148B">
        <w:t>may</w:t>
      </w:r>
      <w:r w:rsidRPr="00D528CA">
        <w:t xml:space="preserve"> be cancelled and ADECA </w:t>
      </w:r>
      <w:r w:rsidR="007400A8">
        <w:t>may</w:t>
      </w:r>
      <w:r w:rsidRPr="00D528CA">
        <w:t xml:space="preserve"> seek an alternative solution for that county.</w:t>
      </w:r>
    </w:p>
    <w:p w:rsidRPr="00EE7B2A" w:rsidR="00FD173D" w:rsidP="008A211A" w:rsidRDefault="00FD173D" w14:paraId="218DEF2D" w14:textId="77777777">
      <w:pPr>
        <w:pStyle w:val="Heading3"/>
        <w:numPr>
          <w:ilvl w:val="2"/>
          <w:numId w:val="22"/>
        </w:numPr>
      </w:pPr>
      <w:bookmarkStart w:name="_Toc146637783" w:id="46"/>
      <w:bookmarkStart w:name="_Toc147151961" w:id="47"/>
      <w:bookmarkStart w:name="_Toc148069316" w:id="48"/>
      <w:bookmarkStart w:name="_Toc150852625" w:id="49"/>
      <w:r w:rsidRPr="00EE7B2A">
        <w:t>Phases</w:t>
      </w:r>
      <w:bookmarkEnd w:id="46"/>
      <w:bookmarkEnd w:id="47"/>
      <w:bookmarkEnd w:id="48"/>
      <w:bookmarkEnd w:id="49"/>
    </w:p>
    <w:p w:rsidRPr="00EE7B2A" w:rsidR="00FD173D" w:rsidP="00FD173D" w:rsidRDefault="00FD173D" w14:paraId="5D1D492B" w14:textId="2577AE96">
      <w:r w:rsidRPr="00EE7B2A">
        <w:t>The BEAD funding effort will be comprised of the following t</w:t>
      </w:r>
      <w:r>
        <w:t>hree</w:t>
      </w:r>
      <w:r w:rsidRPr="00EE7B2A">
        <w:t xml:space="preserve"> phases:</w:t>
      </w:r>
    </w:p>
    <w:p w:rsidRPr="00EE7B2A" w:rsidR="00FD173D" w:rsidP="006F78D2" w:rsidRDefault="00FD173D" w14:paraId="478CDCD3" w14:textId="77777777">
      <w:pPr>
        <w:pStyle w:val="ListParagraph"/>
        <w:numPr>
          <w:ilvl w:val="0"/>
          <w:numId w:val="60"/>
        </w:numPr>
        <w:spacing w:after="200"/>
      </w:pPr>
      <w:r w:rsidRPr="00EE7B2A">
        <w:rPr>
          <w:b/>
          <w:bCs/>
        </w:rPr>
        <w:t xml:space="preserve">Prequalification </w:t>
      </w:r>
      <w:r>
        <w:rPr>
          <w:b/>
          <w:bCs/>
        </w:rPr>
        <w:t>P</w:t>
      </w:r>
      <w:r w:rsidRPr="00EE7B2A">
        <w:rPr>
          <w:b/>
          <w:bCs/>
        </w:rPr>
        <w:t>hase</w:t>
      </w:r>
      <w:r w:rsidRPr="00EE7B2A">
        <w:t>, to establish the qualifications of prospective applicants</w:t>
      </w:r>
    </w:p>
    <w:p w:rsidR="00FD173D" w:rsidP="006F78D2" w:rsidRDefault="00FD173D" w14:paraId="02005B34" w14:textId="77777777">
      <w:pPr>
        <w:pStyle w:val="ListParagraph"/>
        <w:numPr>
          <w:ilvl w:val="0"/>
          <w:numId w:val="60"/>
        </w:numPr>
        <w:spacing w:after="200"/>
      </w:pPr>
      <w:r w:rsidRPr="007227B3">
        <w:rPr>
          <w:b/>
          <w:bCs/>
        </w:rPr>
        <w:t xml:space="preserve">Scoring </w:t>
      </w:r>
      <w:r>
        <w:rPr>
          <w:b/>
          <w:bCs/>
        </w:rPr>
        <w:t>P</w:t>
      </w:r>
      <w:r w:rsidRPr="007227B3">
        <w:rPr>
          <w:b/>
          <w:bCs/>
        </w:rPr>
        <w:t>hase</w:t>
      </w:r>
      <w:r w:rsidRPr="00EE7B2A">
        <w:t xml:space="preserve">, </w:t>
      </w:r>
      <w:r>
        <w:t>during which ADECA will receive, review, and score grant applications</w:t>
      </w:r>
    </w:p>
    <w:p w:rsidRPr="00EE7B2A" w:rsidR="00FD173D" w:rsidP="006F78D2" w:rsidRDefault="00FD173D" w14:paraId="62B7977B" w14:textId="77777777">
      <w:pPr>
        <w:pStyle w:val="ListParagraph"/>
        <w:numPr>
          <w:ilvl w:val="0"/>
          <w:numId w:val="60"/>
        </w:numPr>
        <w:spacing w:after="200"/>
      </w:pPr>
      <w:r w:rsidRPr="007227B3">
        <w:rPr>
          <w:b/>
          <w:bCs/>
        </w:rPr>
        <w:t xml:space="preserve">Negotiation Phase, </w:t>
      </w:r>
      <w:r w:rsidRPr="00EE7B2A">
        <w:t xml:space="preserve">in which </w:t>
      </w:r>
      <w:r>
        <w:t>ADECA</w:t>
      </w:r>
      <w:r w:rsidRPr="00EE7B2A">
        <w:t xml:space="preserve"> will engage with applicants to reach final project boundaries and costs</w:t>
      </w:r>
    </w:p>
    <w:p w:rsidRPr="00EE7B2A" w:rsidR="00FD173D" w:rsidP="00FD173D" w:rsidRDefault="00FD173D" w14:paraId="383B2F5D" w14:textId="681DAD55">
      <w:r>
        <w:t>In addition, ADECA</w:t>
      </w:r>
      <w:r w:rsidRPr="00EE7B2A">
        <w:t xml:space="preserve"> </w:t>
      </w:r>
      <w:r>
        <w:t xml:space="preserve">reserves the opportunity to undertake a second-round grant process to seek alternative applications in the event ADECA determines that it could get a better outcome by receiving new </w:t>
      </w:r>
      <w:r w:rsidR="0073694B">
        <w:t>application</w:t>
      </w:r>
      <w:r>
        <w:t xml:space="preserve">s based on alternative parameters, such as for unserved locations only, or in the event </w:t>
      </w:r>
      <w:r w:rsidR="00DE2C98">
        <w:t xml:space="preserve">an area receives </w:t>
      </w:r>
      <w:r w:rsidR="003E48BF">
        <w:t>no viable applications</w:t>
      </w:r>
      <w:r>
        <w:t xml:space="preserve">. </w:t>
      </w:r>
    </w:p>
    <w:p w:rsidRPr="00EE7B2A" w:rsidR="00FD173D" w:rsidP="00FD173D" w:rsidRDefault="00FD173D" w14:paraId="5194DFEC" w14:textId="397F2E05">
      <w:r w:rsidRPr="00EE7B2A">
        <w:t xml:space="preserve">The following </w:t>
      </w:r>
      <w:r w:rsidR="00A27B4A">
        <w:t xml:space="preserve">subsections </w:t>
      </w:r>
      <w:r w:rsidR="004973C1">
        <w:t xml:space="preserve">detail the phases </w:t>
      </w:r>
      <w:r>
        <w:t>ADECA</w:t>
      </w:r>
      <w:r w:rsidRPr="00EE7B2A">
        <w:t xml:space="preserve"> anticipates for the BEAD </w:t>
      </w:r>
      <w:r w:rsidR="00456967">
        <w:t>s</w:t>
      </w:r>
      <w:r w:rsidR="00835E30">
        <w:t xml:space="preserve">ubgrantee </w:t>
      </w:r>
      <w:r w:rsidR="00456967">
        <w:t>s</w:t>
      </w:r>
      <w:r w:rsidR="00835E30">
        <w:t xml:space="preserve">election </w:t>
      </w:r>
      <w:r w:rsidR="00456967">
        <w:t>p</w:t>
      </w:r>
      <w:r w:rsidRPr="00EE7B2A">
        <w:t xml:space="preserve">rocess, per NTIA’s template for Initial Proposal Volume </w:t>
      </w:r>
      <w:r w:rsidR="00304141">
        <w:t>2</w:t>
      </w:r>
      <w:r w:rsidRPr="00EE7B2A">
        <w:t>.</w:t>
      </w:r>
    </w:p>
    <w:p w:rsidRPr="00EE7B2A" w:rsidR="00FD173D" w:rsidP="00345D52" w:rsidRDefault="00FD173D" w14:paraId="575F321B" w14:textId="77777777">
      <w:pPr>
        <w:pStyle w:val="Heading4"/>
      </w:pPr>
      <w:r w:rsidRPr="00EE7B2A">
        <w:t xml:space="preserve">Prequalification </w:t>
      </w:r>
      <w:r>
        <w:t>P</w:t>
      </w:r>
      <w:r w:rsidRPr="00EE7B2A">
        <w:t>hase</w:t>
      </w:r>
    </w:p>
    <w:p w:rsidRPr="00EE7B2A" w:rsidR="00FD173D" w:rsidP="00FD173D" w:rsidRDefault="00FD173D" w14:paraId="7A1219AF" w14:textId="77777777">
      <w:r w:rsidRPr="00EE7B2A">
        <w:t xml:space="preserve">During the Prequalification Phase, </w:t>
      </w:r>
      <w:r>
        <w:t>ADECA</w:t>
      </w:r>
      <w:r w:rsidRPr="00EE7B2A">
        <w:t xml:space="preserve"> will accept prequalification materials from all prospective applicants, enabling applicants to establish their qualifications and </w:t>
      </w:r>
      <w:r>
        <w:t>ADECA</w:t>
      </w:r>
      <w:r w:rsidRPr="00EE7B2A">
        <w:t xml:space="preserve"> to prequalify them in advance of the Scoring Phase.</w:t>
      </w:r>
    </w:p>
    <w:p w:rsidRPr="00EE7B2A" w:rsidR="00FD173D" w:rsidP="00FD173D" w:rsidRDefault="00FD173D" w14:paraId="237053A6" w14:textId="12C4120E">
      <w:r w:rsidRPr="00EE7B2A">
        <w:t xml:space="preserve">The Prequalification Phase is designed to serve several crucial purposes. First, it helps mitigate the challenges of the compressed timeline for BEAD. It will enable </w:t>
      </w:r>
      <w:r>
        <w:t>ADECA</w:t>
      </w:r>
      <w:r w:rsidRPr="00EE7B2A">
        <w:t xml:space="preserve"> to maximize the limited time available for the Scoring Phase, extending the available time to this earlier phase to allow both prospective applicants and </w:t>
      </w:r>
      <w:r>
        <w:t>ADECA</w:t>
      </w:r>
      <w:r w:rsidRPr="00EE7B2A">
        <w:t xml:space="preserve">’s reviewers sufficient time to address qualifications. Given the rigorous and robust documentary requirements for BEAD, a prequalification process will enable applicants to spread their grant application efforts across a lengthier timeline. </w:t>
      </w:r>
    </w:p>
    <w:p w:rsidRPr="00EE7B2A" w:rsidR="00FD173D" w:rsidP="00FD173D" w:rsidRDefault="00FD173D" w14:paraId="2745D18F" w14:textId="7CBEAD8E">
      <w:r w:rsidRPr="00EE7B2A">
        <w:t xml:space="preserve">Second, the </w:t>
      </w:r>
      <w:r w:rsidRPr="00EE7B2A" w:rsidR="003C3919">
        <w:t xml:space="preserve">Prequalification Phase </w:t>
      </w:r>
      <w:r w:rsidRPr="00EE7B2A">
        <w:t xml:space="preserve">will help </w:t>
      </w:r>
      <w:r w:rsidR="00E02704">
        <w:t xml:space="preserve">ADECA </w:t>
      </w:r>
      <w:r w:rsidRPr="00EE7B2A">
        <w:t xml:space="preserve">manage </w:t>
      </w:r>
      <w:r w:rsidR="00E02704">
        <w:t xml:space="preserve">its </w:t>
      </w:r>
      <w:r w:rsidRPr="00EE7B2A">
        <w:t xml:space="preserve">own resources </w:t>
      </w:r>
      <w:r w:rsidR="003C3919">
        <w:t xml:space="preserve">more </w:t>
      </w:r>
      <w:r w:rsidRPr="00EE7B2A">
        <w:t xml:space="preserve">efficiently. By filtering out applicants </w:t>
      </w:r>
      <w:r w:rsidR="003F5A45">
        <w:t>that</w:t>
      </w:r>
      <w:r w:rsidRPr="00EE7B2A" w:rsidR="003F5A45">
        <w:t xml:space="preserve"> </w:t>
      </w:r>
      <w:r w:rsidRPr="00EE7B2A">
        <w:t xml:space="preserve">do not meet the minimum criteria, a prequalification process can ensure that reviewers can focus their time and attention on evaluating proposals from organizations that meet NTIA’s and </w:t>
      </w:r>
      <w:r w:rsidR="00E02704">
        <w:t>ADECA</w:t>
      </w:r>
      <w:r w:rsidRPr="00EE7B2A">
        <w:t xml:space="preserve">’s requirements and are most likely to achieve the objectives of the BEAD </w:t>
      </w:r>
      <w:r w:rsidR="008A3288">
        <w:t>P</w:t>
      </w:r>
      <w:r w:rsidRPr="00EE7B2A">
        <w:t xml:space="preserve">rogram. </w:t>
      </w:r>
    </w:p>
    <w:p w:rsidRPr="00EE7B2A" w:rsidR="00FD173D" w:rsidP="00FD173D" w:rsidRDefault="00FD173D" w14:paraId="3C853503" w14:textId="5DDEDE6C">
      <w:r w:rsidRPr="00EE7B2A">
        <w:t xml:space="preserve">Third, a </w:t>
      </w:r>
      <w:r w:rsidRPr="00EE7B2A" w:rsidR="003C3919">
        <w:t>Prequalification Phase</w:t>
      </w:r>
      <w:r w:rsidRPr="00EE7B2A">
        <w:t xml:space="preserve"> will enable adequate curing opportunity by providing additional time for follow-up data requests by </w:t>
      </w:r>
      <w:r>
        <w:t>ADECA</w:t>
      </w:r>
      <w:r w:rsidRPr="00EE7B2A">
        <w:t xml:space="preserve">, as necessary, and </w:t>
      </w:r>
      <w:r w:rsidR="00764B90">
        <w:t xml:space="preserve">the </w:t>
      </w:r>
      <w:r w:rsidRPr="00EE7B2A">
        <w:t>provision of additional information by applicants. With an earlier process for qualification, this curing need not take place at the same time as curing of proposed project applications, which will be an enormous undertaking in and of itself.</w:t>
      </w:r>
    </w:p>
    <w:p w:rsidRPr="00EE7B2A" w:rsidR="00FD173D" w:rsidP="00FD173D" w:rsidRDefault="00FD173D" w14:paraId="5D4F9AAA" w14:textId="4AAF9EF1">
      <w:r>
        <w:t>Alabama</w:t>
      </w:r>
      <w:r w:rsidRPr="00EE7B2A">
        <w:t xml:space="preserve">’s BEAD application materials will specify the </w:t>
      </w:r>
      <w:r w:rsidR="006213D7">
        <w:t>information</w:t>
      </w:r>
      <w:r w:rsidRPr="00EE7B2A">
        <w:t xml:space="preserve"> and certifications that are required for prequalification, together with the format and date for submission. The </w:t>
      </w:r>
      <w:r w:rsidR="006213D7">
        <w:t>information</w:t>
      </w:r>
      <w:r w:rsidRPr="00EE7B2A">
        <w:t xml:space="preserve"> and certifications will be focused on materials that address financial, managerial, and technical qualifications as well as experience and capacity</w:t>
      </w:r>
      <w:r w:rsidR="00611C57">
        <w:t xml:space="preserve"> of applicants</w:t>
      </w:r>
      <w:r w:rsidRPr="00EE7B2A">
        <w:t xml:space="preserve">. </w:t>
      </w:r>
    </w:p>
    <w:p w:rsidRPr="00EE7B2A" w:rsidR="00FD173D" w:rsidP="00FD173D" w:rsidRDefault="00FD173D" w14:paraId="51ED5F26" w14:textId="77777777">
      <w:r w:rsidRPr="00EE7B2A">
        <w:t xml:space="preserve">All entities whose prequalification materials are determined to be sufficient will be qualified by </w:t>
      </w:r>
      <w:r>
        <w:t>ADECA</w:t>
      </w:r>
      <w:r w:rsidRPr="00EE7B2A">
        <w:t xml:space="preserve"> to proceed to the Scoring Phase of the program and submit proposals. </w:t>
      </w:r>
    </w:p>
    <w:p w:rsidRPr="00EE7B2A" w:rsidR="00FD173D" w:rsidP="00FD173D" w:rsidRDefault="00FD173D" w14:paraId="1A680428" w14:textId="483B58B4">
      <w:r w:rsidRPr="00EE5193">
        <w:t>The Prequalification Phase will launch in early 2024, during the time that NTIA is reviewing the Initial Proposal, thus enabling ADECA and prospective applicants to benefit from the additional time before NTIA formally approves the Initial Proposal and enables the grant process to begin. The Prequalification Phase will begin early and will afford potential applicants considerable time to prepare and submit their prequalification materials.</w:t>
      </w:r>
    </w:p>
    <w:p w:rsidRPr="00EE7B2A" w:rsidR="00FD173D" w:rsidP="00FD173D" w:rsidRDefault="00FD173D" w14:paraId="237433B9" w14:textId="77A708F5">
      <w:r w:rsidRPr="00EE7B2A">
        <w:t>The following is a tentative schedule for the Prequalification Phase:</w:t>
      </w:r>
    </w:p>
    <w:p w:rsidRPr="00EE7B2A" w:rsidR="00F53EB3" w:rsidP="00E2373A" w:rsidRDefault="00F53EB3" w14:paraId="55588CDB" w14:textId="574BC1B6">
      <w:pPr>
        <w:pStyle w:val="Caption"/>
      </w:pPr>
      <w:bookmarkStart w:name="_Toc150852777" w:id="50"/>
      <w:r>
        <w:t xml:space="preserve">Table </w:t>
      </w:r>
      <w:r>
        <w:fldChar w:fldCharType="begin"/>
      </w:r>
      <w:r>
        <w:instrText xml:space="preserve"> SEQ Table \* ARABIC </w:instrText>
      </w:r>
      <w:r>
        <w:fldChar w:fldCharType="separate"/>
      </w:r>
      <w:r w:rsidR="00444AF1">
        <w:rPr>
          <w:noProof/>
        </w:rPr>
        <w:t>2</w:t>
      </w:r>
      <w:r>
        <w:fldChar w:fldCharType="end"/>
      </w:r>
      <w:r>
        <w:t>: Tentative schedule for Prequalification Phase</w:t>
      </w:r>
      <w:bookmarkEnd w:id="50"/>
    </w:p>
    <w:tbl>
      <w:tblPr>
        <w:tblStyle w:val="TableGrid"/>
        <w:tblW w:w="9355" w:type="dxa"/>
        <w:tblLook w:val="04A0" w:firstRow="1" w:lastRow="0" w:firstColumn="1" w:lastColumn="0" w:noHBand="0" w:noVBand="1"/>
      </w:tblPr>
      <w:tblGrid>
        <w:gridCol w:w="3116"/>
        <w:gridCol w:w="6239"/>
      </w:tblGrid>
      <w:tr w:rsidRPr="00DE5F18" w:rsidR="00FD173D" w:rsidTr="00E10A29" w14:paraId="7BAC18DB" w14:textId="77777777">
        <w:trPr>
          <w:tblHeader/>
        </w:trPr>
        <w:tc>
          <w:tcPr>
            <w:tcW w:w="3116" w:type="dxa"/>
            <w:tcBorders>
              <w:right w:val="single" w:color="FFFFFF" w:themeColor="background1" w:sz="4" w:space="0"/>
            </w:tcBorders>
            <w:shd w:val="clear" w:color="auto" w:fill="0A2458"/>
          </w:tcPr>
          <w:p w:rsidRPr="00A51023" w:rsidR="00FD173D" w:rsidP="004B46FE" w:rsidRDefault="00FD173D" w14:paraId="3BF0F4BB" w14:textId="77777777">
            <w:pPr>
              <w:jc w:val="left"/>
            </w:pPr>
            <w:r w:rsidRPr="00A51023">
              <w:t>Process element</w:t>
            </w:r>
          </w:p>
        </w:tc>
        <w:tc>
          <w:tcPr>
            <w:tcW w:w="6239" w:type="dxa"/>
            <w:tcBorders>
              <w:left w:val="single" w:color="FFFFFF" w:themeColor="background1" w:sz="4" w:space="0"/>
              <w:right w:val="single" w:color="FFFFFF" w:themeColor="background1" w:sz="4" w:space="0"/>
            </w:tcBorders>
            <w:shd w:val="clear" w:color="auto" w:fill="0A2458"/>
          </w:tcPr>
          <w:p w:rsidRPr="00A51023" w:rsidR="00FD173D" w:rsidP="004B46FE" w:rsidRDefault="00BF47A7" w14:paraId="25E99070" w14:textId="50DE234C">
            <w:pPr>
              <w:jc w:val="left"/>
            </w:pPr>
            <w:r w:rsidRPr="00E10A29">
              <w:t xml:space="preserve">Tentative </w:t>
            </w:r>
            <w:r w:rsidR="1F0E5070">
              <w:t>d</w:t>
            </w:r>
            <w:r w:rsidRPr="00A51023" w:rsidR="00FD173D">
              <w:t>ate</w:t>
            </w:r>
          </w:p>
        </w:tc>
      </w:tr>
      <w:tr w:rsidRPr="00DE5F18" w:rsidR="00FD173D" w:rsidTr="00E10A29" w14:paraId="07890A94" w14:textId="77777777">
        <w:tc>
          <w:tcPr>
            <w:tcW w:w="3116" w:type="dxa"/>
          </w:tcPr>
          <w:p w:rsidRPr="00A51023" w:rsidR="00FD173D" w:rsidRDefault="00FD173D" w14:paraId="144270BD" w14:textId="77777777">
            <w:pPr>
              <w:jc w:val="left"/>
            </w:pPr>
            <w:r w:rsidRPr="00A51023">
              <w:t>Prequalification materials released</w:t>
            </w:r>
          </w:p>
        </w:tc>
        <w:tc>
          <w:tcPr>
            <w:tcW w:w="6239" w:type="dxa"/>
          </w:tcPr>
          <w:p w:rsidRPr="00E10A29" w:rsidR="00FD173D" w:rsidP="006956A9" w:rsidRDefault="00FE2FBF" w14:paraId="53EBBAC8" w14:textId="068ED9B7">
            <w:pPr>
              <w:jc w:val="left"/>
            </w:pPr>
            <w:r w:rsidRPr="00E10A29">
              <w:t>15 days in advance of opening of Prequalification Phase window</w:t>
            </w:r>
            <w:r w:rsidRPr="00E10A29" w:rsidR="004F6AB3">
              <w:t xml:space="preserve"> for acceptance of prequalification materials</w:t>
            </w:r>
          </w:p>
        </w:tc>
      </w:tr>
      <w:tr w:rsidRPr="00DE5F18" w:rsidR="00FD173D" w:rsidTr="00E10A29" w14:paraId="3509CB3E" w14:textId="77777777">
        <w:tc>
          <w:tcPr>
            <w:tcW w:w="3116" w:type="dxa"/>
          </w:tcPr>
          <w:p w:rsidRPr="00A51023" w:rsidR="00FD173D" w:rsidRDefault="00FD173D" w14:paraId="2F678EDB" w14:textId="77777777">
            <w:pPr>
              <w:jc w:val="left"/>
            </w:pPr>
            <w:r w:rsidRPr="00A51023">
              <w:t>Prequalification workshop/webinar</w:t>
            </w:r>
          </w:p>
        </w:tc>
        <w:tc>
          <w:tcPr>
            <w:tcW w:w="6239" w:type="dxa"/>
            <w:shd w:val="clear" w:color="auto" w:fill="FFFFFF" w:themeFill="background1"/>
          </w:tcPr>
          <w:p w:rsidRPr="00E10A29" w:rsidR="00FD173D" w:rsidP="006956A9" w:rsidRDefault="00FE2FBF" w14:paraId="32E03F27" w14:textId="5F1EB65B">
            <w:pPr>
              <w:jc w:val="left"/>
            </w:pPr>
            <w:r w:rsidRPr="00E10A29">
              <w:t>On or around release of prequalification materials</w:t>
            </w:r>
          </w:p>
        </w:tc>
      </w:tr>
      <w:tr w:rsidRPr="00DE5F18" w:rsidR="00FD173D" w:rsidTr="00E10A29" w14:paraId="2E6BC693" w14:textId="77777777">
        <w:tc>
          <w:tcPr>
            <w:tcW w:w="3116" w:type="dxa"/>
          </w:tcPr>
          <w:p w:rsidRPr="00A51023" w:rsidR="00FD173D" w:rsidRDefault="00FD173D" w14:paraId="53C6CC82" w14:textId="77777777">
            <w:pPr>
              <w:jc w:val="left"/>
            </w:pPr>
            <w:r w:rsidRPr="00A51023">
              <w:t>Prequalification responses accepted by ADECA</w:t>
            </w:r>
          </w:p>
        </w:tc>
        <w:tc>
          <w:tcPr>
            <w:tcW w:w="6239" w:type="dxa"/>
          </w:tcPr>
          <w:p w:rsidRPr="00E10A29" w:rsidR="00FD173D" w:rsidP="006956A9" w:rsidRDefault="00F25005" w14:paraId="0CA07FE8" w14:textId="16E277AD">
            <w:pPr>
              <w:jc w:val="left"/>
            </w:pPr>
            <w:r w:rsidRPr="00E10A29">
              <w:t>30 days following opening of window for accepta</w:t>
            </w:r>
            <w:r w:rsidRPr="00E10A29" w:rsidR="004F6AB3">
              <w:t xml:space="preserve">nce of </w:t>
            </w:r>
            <w:r w:rsidRPr="00E10A29">
              <w:t xml:space="preserve">prequalification </w:t>
            </w:r>
            <w:r w:rsidRPr="00E10A29" w:rsidR="004F6AB3">
              <w:t>materials</w:t>
            </w:r>
          </w:p>
        </w:tc>
      </w:tr>
      <w:tr w:rsidRPr="00DE5F18" w:rsidR="00FD173D" w:rsidTr="00E10A29" w14:paraId="3F40615C" w14:textId="77777777">
        <w:tc>
          <w:tcPr>
            <w:tcW w:w="3116" w:type="dxa"/>
          </w:tcPr>
          <w:p w:rsidRPr="00A51023" w:rsidR="00FD173D" w:rsidRDefault="00FD173D" w14:paraId="77ADC114" w14:textId="77777777">
            <w:pPr>
              <w:jc w:val="left"/>
            </w:pPr>
            <w:r w:rsidRPr="00A51023">
              <w:t>Review of prequalification materials, including curing as necessary</w:t>
            </w:r>
          </w:p>
        </w:tc>
        <w:tc>
          <w:tcPr>
            <w:tcW w:w="6239" w:type="dxa"/>
          </w:tcPr>
          <w:p w:rsidRPr="00E10A29" w:rsidR="00FD173D" w:rsidP="006956A9" w:rsidRDefault="004F6AB3" w14:paraId="5FD507A3" w14:textId="71136B29">
            <w:pPr>
              <w:jc w:val="left"/>
            </w:pPr>
            <w:r w:rsidRPr="00E10A29">
              <w:t>45 days following closing of window for acceptance of prequalification materials</w:t>
            </w:r>
          </w:p>
        </w:tc>
      </w:tr>
      <w:tr w:rsidRPr="00DE5F18" w:rsidR="00FD173D" w:rsidTr="00E10A29" w14:paraId="38F9E802" w14:textId="77777777">
        <w:tc>
          <w:tcPr>
            <w:tcW w:w="3116" w:type="dxa"/>
          </w:tcPr>
          <w:p w:rsidRPr="00A51023" w:rsidR="00FD173D" w:rsidRDefault="00FD173D" w14:paraId="23E3DB78" w14:textId="77777777">
            <w:pPr>
              <w:jc w:val="left"/>
            </w:pPr>
            <w:r w:rsidRPr="00A51023">
              <w:t>Announcement of prequalification determinations</w:t>
            </w:r>
          </w:p>
        </w:tc>
        <w:tc>
          <w:tcPr>
            <w:tcW w:w="6239" w:type="dxa"/>
          </w:tcPr>
          <w:p w:rsidRPr="00E10A29" w:rsidR="00FD173D" w:rsidP="006956A9" w:rsidRDefault="004F6AB3" w14:paraId="77674449" w14:textId="197237D7">
            <w:pPr>
              <w:jc w:val="left"/>
            </w:pPr>
            <w:r w:rsidRPr="00E10A29">
              <w:t>Within 60 days of closing of window for acceptance of prequalification materials</w:t>
            </w:r>
          </w:p>
        </w:tc>
      </w:tr>
    </w:tbl>
    <w:p w:rsidRPr="00EE7B2A" w:rsidR="00FD173D" w:rsidP="00E2373A" w:rsidRDefault="00FD173D" w14:paraId="354376E9" w14:textId="77777777">
      <w:pPr>
        <w:pStyle w:val="Heading4"/>
        <w:spacing w:line="240" w:lineRule="auto"/>
      </w:pPr>
      <w:r w:rsidRPr="00EE7B2A">
        <w:t xml:space="preserve">Scoring </w:t>
      </w:r>
      <w:r>
        <w:t>P</w:t>
      </w:r>
      <w:r w:rsidRPr="00EE7B2A">
        <w:t>hase</w:t>
      </w:r>
    </w:p>
    <w:p w:rsidRPr="00EE7B2A" w:rsidR="00FD173D" w:rsidP="00FD173D" w:rsidRDefault="00000013" w14:paraId="7835A51A" w14:textId="23D665DE">
      <w:r>
        <w:t xml:space="preserve">Following NTIA approval of ADECA’s </w:t>
      </w:r>
      <w:r w:rsidR="00456967">
        <w:t>c</w:t>
      </w:r>
      <w:r>
        <w:t xml:space="preserve">hallenge </w:t>
      </w:r>
      <w:r w:rsidR="00456967">
        <w:t>p</w:t>
      </w:r>
      <w:r>
        <w:t>rocess outcome</w:t>
      </w:r>
      <w:r w:rsidR="007926CF">
        <w:t xml:space="preserve"> and the </w:t>
      </w:r>
      <w:r w:rsidR="00456967">
        <w:t>s</w:t>
      </w:r>
      <w:r w:rsidR="007926CF">
        <w:t xml:space="preserve">ubgrantee </w:t>
      </w:r>
      <w:r w:rsidR="00456967">
        <w:t>s</w:t>
      </w:r>
      <w:r w:rsidR="007926CF">
        <w:t xml:space="preserve">election Process described in this Initial Proposal Volume 2, </w:t>
      </w:r>
      <w:r w:rsidR="00FD173D">
        <w:t>ADECA</w:t>
      </w:r>
      <w:r w:rsidRPr="00EE7B2A" w:rsidR="00FD173D">
        <w:t xml:space="preserve"> will accept, review, and score grant applications for specific projects</w:t>
      </w:r>
      <w:r w:rsidR="00FD173D">
        <w:t>.</w:t>
      </w:r>
    </w:p>
    <w:p w:rsidRPr="00EE7B2A" w:rsidR="00FD173D" w:rsidP="0024400A" w:rsidRDefault="00FD173D" w14:paraId="3D0BDC31" w14:textId="77777777">
      <w:pPr>
        <w:pStyle w:val="Heading5"/>
      </w:pPr>
      <w:bookmarkStart w:name="_Ref148341145" w:id="51"/>
      <w:r w:rsidRPr="00EE7B2A">
        <w:t>Geographic boundaries</w:t>
      </w:r>
      <w:bookmarkEnd w:id="51"/>
    </w:p>
    <w:p w:rsidRPr="00EE7B2A" w:rsidR="00FD173D" w:rsidP="00FD173D" w:rsidRDefault="00FD173D" w14:paraId="0B0B267C" w14:textId="15F7485F">
      <w:r>
        <w:t>ADECA</w:t>
      </w:r>
      <w:r w:rsidRPr="00EE7B2A">
        <w:t xml:space="preserve"> anticipate</w:t>
      </w:r>
      <w:r>
        <w:t xml:space="preserve">s accepting applications for all unserved and underserved locations, as determined by the outcome of the </w:t>
      </w:r>
      <w:r w:rsidR="00456967">
        <w:t>c</w:t>
      </w:r>
      <w:r>
        <w:t xml:space="preserve">hallenge </w:t>
      </w:r>
      <w:r w:rsidR="00456967">
        <w:t>p</w:t>
      </w:r>
      <w:r>
        <w:t xml:space="preserve">rocess, based on geographic parameters that will be </w:t>
      </w:r>
      <w:r w:rsidR="00B65927">
        <w:t>selected</w:t>
      </w:r>
      <w:r>
        <w:t xml:space="preserve"> by the applicants </w:t>
      </w:r>
      <w:r w:rsidR="00B65927">
        <w:t xml:space="preserve">within a </w:t>
      </w:r>
      <w:r>
        <w:t>county</w:t>
      </w:r>
      <w:r w:rsidR="00B65927">
        <w:t>.</w:t>
      </w:r>
      <w:r w:rsidR="001530E8">
        <w:t xml:space="preserve"> This reflects </w:t>
      </w:r>
      <w:r>
        <w:t xml:space="preserve">ADECA’s experience that applicants are best suited to determine </w:t>
      </w:r>
      <w:r w:rsidRPr="00EE7B2A">
        <w:t xml:space="preserve">the most </w:t>
      </w:r>
      <w:proofErr w:type="gramStart"/>
      <w:r w:rsidRPr="00EE7B2A">
        <w:t>economically</w:t>
      </w:r>
      <w:r w:rsidR="001530E8">
        <w:t>-</w:t>
      </w:r>
      <w:r w:rsidRPr="00EE7B2A">
        <w:t>viable</w:t>
      </w:r>
      <w:proofErr w:type="gramEnd"/>
      <w:r w:rsidRPr="00EE7B2A">
        <w:t xml:space="preserve"> grouping of </w:t>
      </w:r>
      <w:r>
        <w:t>unserved and underserved</w:t>
      </w:r>
      <w:r w:rsidRPr="00EE7B2A">
        <w:t xml:space="preserve"> locations into a single geographic unit for </w:t>
      </w:r>
      <w:r w:rsidR="0073694B">
        <w:t>application</w:t>
      </w:r>
      <w:r w:rsidRPr="00EE7B2A">
        <w:t>.</w:t>
      </w:r>
    </w:p>
    <w:p w:rsidR="00FD173D" w:rsidP="00FD173D" w:rsidRDefault="00FD173D" w14:paraId="45D01EFD" w14:textId="5F282A8C">
      <w:r>
        <w:t>ADECA</w:t>
      </w:r>
      <w:r w:rsidRPr="00EE7B2A">
        <w:t xml:space="preserve"> </w:t>
      </w:r>
      <w:r>
        <w:t>will requ</w:t>
      </w:r>
      <w:r w:rsidR="00FF235E">
        <w:t>ire</w:t>
      </w:r>
      <w:r>
        <w:t xml:space="preserve"> that applicants divide their potential applications by county and submit separate applications for each county in which they propose to build new broadband infrastructure. The county </w:t>
      </w:r>
      <w:r w:rsidRPr="00EE7B2A">
        <w:t xml:space="preserve">has been selected as the </w:t>
      </w:r>
      <w:r>
        <w:t>framework</w:t>
      </w:r>
      <w:r w:rsidRPr="00EE7B2A">
        <w:t xml:space="preserve"> geographic area because </w:t>
      </w:r>
      <w:r>
        <w:t>local governments and ADECA have built strong partnerships in recent years</w:t>
      </w:r>
      <w:r w:rsidR="00C9737A">
        <w:t>,</w:t>
      </w:r>
      <w:r>
        <w:t xml:space="preserve"> because this</w:t>
      </w:r>
      <w:r w:rsidRPr="00EE7B2A">
        <w:t xml:space="preserve"> allows for established geographic boundaries</w:t>
      </w:r>
      <w:r>
        <w:t xml:space="preserve"> to enable comparison of applications, and because county boundaries </w:t>
      </w:r>
      <w:r w:rsidR="00677324">
        <w:t>may</w:t>
      </w:r>
      <w:r>
        <w:t xml:space="preserve"> align with</w:t>
      </w:r>
      <w:r w:rsidRPr="00EE7B2A">
        <w:t xml:space="preserve"> efficient </w:t>
      </w:r>
      <w:r>
        <w:t xml:space="preserve">broadband </w:t>
      </w:r>
      <w:r w:rsidRPr="00EE7B2A">
        <w:t>design parameters.</w:t>
      </w:r>
    </w:p>
    <w:p w:rsidR="00FD173D" w:rsidP="00FD173D" w:rsidRDefault="00FD173D" w14:paraId="5C41B5BC" w14:textId="08091069">
      <w:r>
        <w:t>ADECA will encourage submission of applications that address 100 percent of unserved and underserved locations in a county, but understands that, in many counties, two or more applicants may be required to ensure 100 percent coverage. In addition, in every county, there may</w:t>
      </w:r>
      <w:r w:rsidRPr="00EE7B2A">
        <w:t xml:space="preserve"> be individual locations that </w:t>
      </w:r>
      <w:r>
        <w:t>are so remote and hard to reach</w:t>
      </w:r>
      <w:r w:rsidR="00C2791B">
        <w:t>—</w:t>
      </w:r>
      <w:r>
        <w:t>with any terrestrial technology</w:t>
      </w:r>
      <w:r w:rsidR="00C2791B">
        <w:t>—</w:t>
      </w:r>
      <w:r w:rsidRPr="00EE7B2A">
        <w:t xml:space="preserve">that including those locations </w:t>
      </w:r>
      <w:r>
        <w:t>in an application</w:t>
      </w:r>
      <w:r w:rsidRPr="00EE7B2A">
        <w:t xml:space="preserve"> may make th</w:t>
      </w:r>
      <w:r>
        <w:t>e area</w:t>
      </w:r>
      <w:r w:rsidRPr="00EE7B2A">
        <w:t xml:space="preserve"> non-viable for </w:t>
      </w:r>
      <w:r w:rsidR="0073694B">
        <w:t>applications</w:t>
      </w:r>
      <w:r w:rsidRPr="00EE7B2A">
        <w:t xml:space="preserve"> at a cost that fits into the finite BEAD budget.</w:t>
      </w:r>
    </w:p>
    <w:p w:rsidR="00FD173D" w:rsidP="00FD173D" w:rsidRDefault="00FD173D" w14:paraId="5FE5E7BA" w14:textId="2155898D">
      <w:r>
        <w:t xml:space="preserve">For these reasons, ADECA will </w:t>
      </w:r>
      <w:r w:rsidR="006C6E31">
        <w:t>allow</w:t>
      </w:r>
      <w:r>
        <w:t xml:space="preserve"> applications for less than 100 percent of eligible locations in a </w:t>
      </w:r>
      <w:r w:rsidR="00D067AF">
        <w:t>county but</w:t>
      </w:r>
      <w:r>
        <w:t xml:space="preserve"> notes that its goal is to ensure service to 100 percent and</w:t>
      </w:r>
      <w:r w:rsidR="000F0BDB">
        <w:t>,</w:t>
      </w:r>
      <w:r>
        <w:t xml:space="preserve"> for that reason</w:t>
      </w:r>
      <w:r w:rsidR="000F0BDB">
        <w:t>,</w:t>
      </w:r>
      <w:r>
        <w:t xml:space="preserve"> may fund applications that propose to serve 100 percent or multiple applications that propose to serve portions of </w:t>
      </w:r>
      <w:r w:rsidR="000F0BDB">
        <w:t>a</w:t>
      </w:r>
      <w:r>
        <w:t xml:space="preserve"> county. Applicants will be advised that they will potentially be competing with applications that present better options for reaching ADECA’s goal of 100 percent</w:t>
      </w:r>
      <w:r w:rsidR="00AC1AA6">
        <w:t xml:space="preserve"> </w:t>
      </w:r>
      <w:r w:rsidR="006C6E31">
        <w:t>coverage</w:t>
      </w:r>
      <w:r>
        <w:t>.</w:t>
      </w:r>
      <w:r w:rsidRPr="00EE7B2A">
        <w:t xml:space="preserve"> </w:t>
      </w:r>
    </w:p>
    <w:p w:rsidR="00FD173D" w:rsidP="00FD173D" w:rsidRDefault="00FD173D" w14:paraId="11F7C322" w14:textId="4DB4DC7F">
      <w:r>
        <w:t>ADECA</w:t>
      </w:r>
      <w:r w:rsidRPr="00EE7B2A">
        <w:t xml:space="preserve"> has designed this strategy with an eye toward creating as much competitive pressure as possible so that applicants will provide the most competitive and well-priced </w:t>
      </w:r>
      <w:r w:rsidR="0073694B">
        <w:t>applications</w:t>
      </w:r>
      <w:r>
        <w:t xml:space="preserve"> for as much as possible of each county</w:t>
      </w:r>
      <w:r w:rsidRPr="00EE7B2A">
        <w:t xml:space="preserve">. Applicants that understand that their competitors might be submitting applications based on </w:t>
      </w:r>
      <w:r>
        <w:t>a larger percentage of locations within a county are likely to expand their proposed service area or propose lower pricing in an effort to be competitive</w:t>
      </w:r>
      <w:r w:rsidRPr="00EE7B2A">
        <w:t>.</w:t>
      </w:r>
      <w:r>
        <w:t xml:space="preserve"> </w:t>
      </w:r>
      <w:r w:rsidRPr="00EE7B2A">
        <w:t xml:space="preserve">As a result, this strategy will provide a range of alternative options for how </w:t>
      </w:r>
      <w:r>
        <w:t>ADECA</w:t>
      </w:r>
      <w:r w:rsidRPr="00EE7B2A">
        <w:t xml:space="preserve"> can use its finite BEAD funds to reach as many </w:t>
      </w:r>
      <w:r>
        <w:t>unserved and underserved</w:t>
      </w:r>
      <w:r w:rsidRPr="00EE7B2A">
        <w:t xml:space="preserve"> </w:t>
      </w:r>
      <w:r>
        <w:t>Alabama</w:t>
      </w:r>
      <w:r w:rsidRPr="00EE7B2A">
        <w:t xml:space="preserve"> locations as possible in the most efficient and impactful way. </w:t>
      </w:r>
    </w:p>
    <w:p w:rsidRPr="00EE7B2A" w:rsidR="00FD173D" w:rsidP="00FD173D" w:rsidRDefault="00FD173D" w14:paraId="6905ACCA" w14:textId="2714ACD5">
      <w:r>
        <w:t>Below</w:t>
      </w:r>
      <w:r w:rsidRPr="00EE7B2A">
        <w:t xml:space="preserve"> is </w:t>
      </w:r>
      <w:r>
        <w:t>a tentative</w:t>
      </w:r>
      <w:r w:rsidRPr="00EE7B2A">
        <w:t xml:space="preserve"> format</w:t>
      </w:r>
      <w:r>
        <w:t>, subject to revision and clarification,</w:t>
      </w:r>
      <w:r w:rsidRPr="00EE7B2A">
        <w:t xml:space="preserve"> in which </w:t>
      </w:r>
      <w:r>
        <w:t>ADECA</w:t>
      </w:r>
      <w:r w:rsidRPr="00EE7B2A">
        <w:t xml:space="preserve"> will provide </w:t>
      </w:r>
      <w:r w:rsidR="00E53763">
        <w:t xml:space="preserve">the </w:t>
      </w:r>
      <w:r w:rsidRPr="00EE7B2A">
        <w:t xml:space="preserve">opportunity for applicants to submit applications for </w:t>
      </w:r>
      <w:r>
        <w:t>each county</w:t>
      </w:r>
      <w:r w:rsidRPr="00EE7B2A">
        <w:t xml:space="preserve"> based on this approach</w:t>
      </w:r>
      <w:r>
        <w:t>. Applicants will also be required to provide mapping data per ADECA’s specifications so that applications can be scored and compared to each other.</w:t>
      </w:r>
    </w:p>
    <w:p w:rsidRPr="00EE7B2A" w:rsidR="00130A00" w:rsidP="00806972" w:rsidRDefault="00130A00" w14:paraId="6CC12A53" w14:textId="45B49A10">
      <w:pPr>
        <w:pStyle w:val="Caption"/>
      </w:pPr>
      <w:bookmarkStart w:name="_Toc150852778" w:id="52"/>
      <w:r>
        <w:t xml:space="preserve">Table </w:t>
      </w:r>
      <w:r>
        <w:fldChar w:fldCharType="begin"/>
      </w:r>
      <w:r>
        <w:instrText xml:space="preserve"> SEQ Table \* ARABIC </w:instrText>
      </w:r>
      <w:r>
        <w:fldChar w:fldCharType="separate"/>
      </w:r>
      <w:r w:rsidR="00444AF1">
        <w:rPr>
          <w:noProof/>
        </w:rPr>
        <w:t>3</w:t>
      </w:r>
      <w:r>
        <w:fldChar w:fldCharType="end"/>
      </w:r>
      <w:r>
        <w:t>: Tentative format for county-based applications</w:t>
      </w:r>
      <w:bookmarkEnd w:id="52"/>
    </w:p>
    <w:tbl>
      <w:tblPr>
        <w:tblStyle w:val="TableGrid"/>
        <w:tblW w:w="0" w:type="auto"/>
        <w:tblLook w:val="04A0" w:firstRow="1" w:lastRow="0" w:firstColumn="1" w:lastColumn="0" w:noHBand="0" w:noVBand="1"/>
      </w:tblPr>
      <w:tblGrid>
        <w:gridCol w:w="4674"/>
        <w:gridCol w:w="4676"/>
      </w:tblGrid>
      <w:tr w:rsidRPr="00623643" w:rsidR="00FD173D" w:rsidTr="00040E03" w14:paraId="25E0B4B6" w14:textId="77777777">
        <w:trPr>
          <w:tblHeader/>
        </w:trPr>
        <w:tc>
          <w:tcPr>
            <w:tcW w:w="4674" w:type="dxa"/>
            <w:tcBorders>
              <w:right w:val="single" w:color="FFFFFF" w:themeColor="background1" w:sz="4" w:space="0"/>
            </w:tcBorders>
            <w:shd w:val="clear" w:color="auto" w:fill="0A2458"/>
          </w:tcPr>
          <w:p w:rsidRPr="00322FE0" w:rsidR="00FD173D" w:rsidRDefault="00FD173D" w14:paraId="19C2BF7D" w14:textId="037E7ECC">
            <w:pPr>
              <w:jc w:val="left"/>
              <w:rPr>
                <w:color w:val="FFFFFF" w:themeColor="background1"/>
              </w:rPr>
            </w:pPr>
            <w:r w:rsidRPr="00322FE0">
              <w:rPr>
                <w:color w:val="FFFFFF" w:themeColor="background1"/>
              </w:rPr>
              <w:t>County</w:t>
            </w:r>
            <w:r w:rsidR="00365431">
              <w:rPr>
                <w:color w:val="FFFFFF" w:themeColor="background1"/>
              </w:rPr>
              <w:t xml:space="preserve"> [name]</w:t>
            </w:r>
          </w:p>
        </w:tc>
        <w:tc>
          <w:tcPr>
            <w:tcW w:w="4676" w:type="dxa"/>
            <w:tcBorders>
              <w:left w:val="single" w:color="FFFFFF" w:themeColor="background1" w:sz="4" w:space="0"/>
            </w:tcBorders>
            <w:shd w:val="clear" w:color="auto" w:fill="0A2458"/>
          </w:tcPr>
          <w:p w:rsidRPr="00322FE0" w:rsidR="00FD173D" w:rsidRDefault="00FD173D" w14:paraId="5F38ECC9" w14:textId="77777777">
            <w:pPr>
              <w:jc w:val="left"/>
              <w:rPr>
                <w:color w:val="FFFFFF" w:themeColor="background1"/>
              </w:rPr>
            </w:pPr>
          </w:p>
        </w:tc>
      </w:tr>
      <w:tr w:rsidRPr="00623643" w:rsidR="00FD173D" w14:paraId="7B98037D" w14:textId="77777777">
        <w:tc>
          <w:tcPr>
            <w:tcW w:w="4674" w:type="dxa"/>
          </w:tcPr>
          <w:p w:rsidRPr="00322FE0" w:rsidR="00FD173D" w:rsidRDefault="00FD173D" w14:paraId="38816DDA" w14:textId="77777777">
            <w:pPr>
              <w:jc w:val="left"/>
            </w:pPr>
            <w:r w:rsidRPr="00322FE0">
              <w:t>Percentage of unserved locations within the county applicant proposes to serve</w:t>
            </w:r>
          </w:p>
        </w:tc>
        <w:tc>
          <w:tcPr>
            <w:tcW w:w="4676" w:type="dxa"/>
          </w:tcPr>
          <w:p w:rsidRPr="00322FE0" w:rsidR="00FD173D" w:rsidRDefault="00FD173D" w14:paraId="586025D3" w14:textId="77777777">
            <w:pPr>
              <w:jc w:val="left"/>
            </w:pPr>
          </w:p>
        </w:tc>
      </w:tr>
      <w:tr w:rsidRPr="00623643" w:rsidR="00FD173D" w14:paraId="41DCD14B" w14:textId="77777777">
        <w:tc>
          <w:tcPr>
            <w:tcW w:w="4674" w:type="dxa"/>
          </w:tcPr>
          <w:p w:rsidRPr="00322FE0" w:rsidR="00FD173D" w:rsidRDefault="00FD173D" w14:paraId="11CACB93" w14:textId="77777777">
            <w:pPr>
              <w:jc w:val="left"/>
            </w:pPr>
            <w:r w:rsidRPr="00322FE0">
              <w:t>Percentage of underserved locations within the county applicant proposes to serve</w:t>
            </w:r>
          </w:p>
        </w:tc>
        <w:tc>
          <w:tcPr>
            <w:tcW w:w="4676" w:type="dxa"/>
          </w:tcPr>
          <w:p w:rsidRPr="00322FE0" w:rsidR="00FD173D" w:rsidRDefault="00FD173D" w14:paraId="2BF06EF1" w14:textId="77777777">
            <w:pPr>
              <w:jc w:val="left"/>
            </w:pPr>
          </w:p>
        </w:tc>
      </w:tr>
      <w:tr w:rsidRPr="00623643" w:rsidR="00FD173D" w14:paraId="3D968284" w14:textId="77777777">
        <w:tc>
          <w:tcPr>
            <w:tcW w:w="4674" w:type="dxa"/>
          </w:tcPr>
          <w:p w:rsidRPr="00322FE0" w:rsidR="00FD173D" w:rsidRDefault="00FD173D" w14:paraId="4F55F77F" w14:textId="77777777">
            <w:pPr>
              <w:jc w:val="left"/>
            </w:pPr>
            <w:r w:rsidRPr="00322FE0">
              <w:t>Total requested grant funds</w:t>
            </w:r>
          </w:p>
        </w:tc>
        <w:tc>
          <w:tcPr>
            <w:tcW w:w="4676" w:type="dxa"/>
          </w:tcPr>
          <w:p w:rsidRPr="00322FE0" w:rsidR="00FD173D" w:rsidRDefault="00FD173D" w14:paraId="3004A764" w14:textId="77777777">
            <w:pPr>
              <w:jc w:val="left"/>
            </w:pPr>
          </w:p>
        </w:tc>
      </w:tr>
      <w:tr w:rsidRPr="00623643" w:rsidR="00FD173D" w14:paraId="54D5FD17" w14:textId="77777777">
        <w:tc>
          <w:tcPr>
            <w:tcW w:w="4674" w:type="dxa"/>
          </w:tcPr>
          <w:p w:rsidRPr="00322FE0" w:rsidR="00FD173D" w:rsidRDefault="00FD173D" w14:paraId="5219DDF7" w14:textId="77777777">
            <w:pPr>
              <w:jc w:val="left"/>
            </w:pPr>
            <w:r w:rsidRPr="00322FE0">
              <w:t>Average cost per location applicant proposes to serve</w:t>
            </w:r>
          </w:p>
        </w:tc>
        <w:tc>
          <w:tcPr>
            <w:tcW w:w="4676" w:type="dxa"/>
          </w:tcPr>
          <w:p w:rsidRPr="00322FE0" w:rsidR="00FD173D" w:rsidRDefault="00FD173D" w14:paraId="456528AB" w14:textId="77777777">
            <w:pPr>
              <w:jc w:val="left"/>
            </w:pPr>
          </w:p>
        </w:tc>
      </w:tr>
    </w:tbl>
    <w:p w:rsidRPr="00EE7B2A" w:rsidR="00FD173D" w:rsidP="00806972" w:rsidRDefault="00FD173D" w14:paraId="305B3472" w14:textId="77777777">
      <w:pPr>
        <w:spacing w:after="0" w:line="240" w:lineRule="auto"/>
      </w:pPr>
    </w:p>
    <w:p w:rsidRPr="00EE7B2A" w:rsidR="00FD173D" w:rsidP="00AD4F9E" w:rsidRDefault="00FD173D" w14:paraId="35F7D221" w14:textId="77777777">
      <w:pPr>
        <w:pStyle w:val="Heading5"/>
      </w:pPr>
      <w:r>
        <w:t>Cost as a factor in scoring</w:t>
      </w:r>
    </w:p>
    <w:p w:rsidR="00FD173D" w:rsidP="00FD173D" w:rsidRDefault="00FD173D" w14:paraId="7F451839" w14:textId="6DC39BC0">
      <w:r>
        <w:t>To enable effective scoring of applications</w:t>
      </w:r>
      <w:r w:rsidRPr="00EE7B2A">
        <w:t xml:space="preserve">, </w:t>
      </w:r>
      <w:r>
        <w:t>ADECA</w:t>
      </w:r>
      <w:r w:rsidRPr="00EE7B2A">
        <w:t xml:space="preserve"> </w:t>
      </w:r>
      <w:r w:rsidR="00A725AF">
        <w:t>undertook</w:t>
      </w:r>
      <w:r w:rsidRPr="00EE7B2A">
        <w:t xml:space="preserve"> a modeling process </w:t>
      </w:r>
      <w:r w:rsidR="00A725AF">
        <w:t>in 2023</w:t>
      </w:r>
      <w:r w:rsidRPr="00EE7B2A">
        <w:t xml:space="preserve"> to understand technical, financial, and economic parameters of building fiber to all </w:t>
      </w:r>
      <w:r>
        <w:t>unserved and underserved</w:t>
      </w:r>
      <w:r w:rsidRPr="00EE7B2A">
        <w:t xml:space="preserve"> locations in </w:t>
      </w:r>
      <w:r>
        <w:t>Alabama</w:t>
      </w:r>
      <w:r w:rsidRPr="00EE7B2A">
        <w:t xml:space="preserve">. The projections from that process will be utilized to </w:t>
      </w:r>
      <w:r>
        <w:t>create cost benchmarks that will facilitate ADECA’s scoring of the costs proposed in each grant application. To maximize competition and incent</w:t>
      </w:r>
      <w:r w:rsidR="00603F2A">
        <w:t>ivize</w:t>
      </w:r>
      <w:r>
        <w:t xml:space="preserve"> the lowest cost proposals possible, the benchmark data will not be released to potential applicants but will serve as a means by which ADECA can evaluate proposed pricing.</w:t>
      </w:r>
    </w:p>
    <w:p w:rsidR="00FD173D" w:rsidP="00FD173D" w:rsidRDefault="00FD173D" w14:paraId="18BF338D" w14:textId="65F9707E">
      <w:r w:rsidRPr="00EE7B2A">
        <w:t xml:space="preserve">The benchmark costs will be derived in part from </w:t>
      </w:r>
      <w:r>
        <w:t>ADECA</w:t>
      </w:r>
      <w:r w:rsidRPr="00EE7B2A">
        <w:t>'s own cost model, which represents a customized engineering and financial modeling tool</w:t>
      </w:r>
      <w:r w:rsidR="00313E49">
        <w:rPr>
          <w:rStyle w:val="FootnoteReference"/>
        </w:rPr>
        <w:footnoteReference w:id="41"/>
      </w:r>
      <w:r w:rsidRPr="00EE7B2A">
        <w:t xml:space="preserve"> whose inputs have been developed based on local and regional data regarding capital costs, operating costs, and revenue opportunities in various parts of </w:t>
      </w:r>
      <w:r>
        <w:t>Alabama</w:t>
      </w:r>
      <w:r w:rsidRPr="00EE7B2A">
        <w:t xml:space="preserve">. The cost model allows </w:t>
      </w:r>
      <w:r>
        <w:t>ADECA</w:t>
      </w:r>
      <w:r w:rsidRPr="00EE7B2A">
        <w:t xml:space="preserve"> to develop an area-by-area benchmark by which to evaluate funding proposals and proposed match commitments.</w:t>
      </w:r>
    </w:p>
    <w:p w:rsidRPr="00EE7B2A" w:rsidR="00FD173D" w:rsidP="00FD173D" w:rsidRDefault="00FD173D" w14:paraId="7A2970FA" w14:textId="520F1275">
      <w:r>
        <w:t>Critically, use of localized benchmarks for scoring cost proposals is a means of ensuring fairness of process across the state and for all ISPs. This is because the cost scoring will be based on the relationship of proposed costs to the local benchmark, which reflects local deployment conditions in which some locations are considerably more expensive to deploy than others. ADECA has concluded that such scoring is more appropriate and fair</w:t>
      </w:r>
      <w:r w:rsidR="00FB5E6A">
        <w:t>er</w:t>
      </w:r>
      <w:r>
        <w:t xml:space="preserve"> than scoring costs based on a fixed formula that does not recognize the considerably higher costs that some locations require.</w:t>
      </w:r>
    </w:p>
    <w:p w:rsidRPr="00EE7B2A" w:rsidR="00FD173D" w:rsidP="00FD173D" w:rsidRDefault="00FD173D" w14:paraId="22E00EF9" w14:textId="1E0CC026">
      <w:r>
        <w:t>To effectuate this set of goals,</w:t>
      </w:r>
      <w:r w:rsidRPr="00EE7B2A">
        <w:t xml:space="preserve"> </w:t>
      </w:r>
      <w:r>
        <w:t>ADECA</w:t>
      </w:r>
      <w:r w:rsidRPr="00EE7B2A">
        <w:t xml:space="preserve"> proposes to award up to </w:t>
      </w:r>
      <w:r>
        <w:t>5</w:t>
      </w:r>
      <w:r w:rsidRPr="00EE7B2A">
        <w:t xml:space="preserve">0 points (out of </w:t>
      </w:r>
      <w:r w:rsidR="00115CC9">
        <w:t>100</w:t>
      </w:r>
      <w:r w:rsidRPr="00EE7B2A">
        <w:t xml:space="preserve"> total possible </w:t>
      </w:r>
      <w:r w:rsidR="00115CC9">
        <w:t>points</w:t>
      </w:r>
      <w:r w:rsidRPr="00EE7B2A">
        <w:t xml:space="preserve">) for proposed grant costs and proposes to score applications based on the grant amount proposed relative to the benchmarked pricing developed by </w:t>
      </w:r>
      <w:r>
        <w:t>ADECA</w:t>
      </w:r>
      <w:r w:rsidRPr="00EE7B2A">
        <w:t xml:space="preserve"> for each </w:t>
      </w:r>
      <w:r>
        <w:t>location</w:t>
      </w:r>
      <w:r w:rsidRPr="00EE7B2A">
        <w:t xml:space="preserve">. </w:t>
      </w:r>
      <w:r w:rsidR="008E1F7A">
        <w:t>Specific information</w:t>
      </w:r>
      <w:r>
        <w:t xml:space="preserve"> </w:t>
      </w:r>
      <w:r w:rsidR="00115CC9">
        <w:t>regarding</w:t>
      </w:r>
      <w:r>
        <w:t xml:space="preserve"> scoring is included in </w:t>
      </w:r>
      <w:r w:rsidRPr="00EE7B2A">
        <w:t xml:space="preserve">Section </w:t>
      </w:r>
      <w:r w:rsidR="004A7DDF">
        <w:rPr>
          <w:highlight w:val="yellow"/>
        </w:rPr>
        <w:fldChar w:fldCharType="begin"/>
      </w:r>
      <w:r w:rsidR="004A7DDF">
        <w:instrText xml:space="preserve"> REF _Ref148340927 \r \h </w:instrText>
      </w:r>
      <w:r w:rsidR="004A7DDF">
        <w:rPr>
          <w:highlight w:val="yellow"/>
        </w:rPr>
      </w:r>
      <w:r w:rsidR="004A7DDF">
        <w:rPr>
          <w:highlight w:val="yellow"/>
        </w:rPr>
        <w:fldChar w:fldCharType="separate"/>
      </w:r>
      <w:r w:rsidR="004A7DDF">
        <w:t>5.3</w:t>
      </w:r>
      <w:r w:rsidR="004A7DDF">
        <w:rPr>
          <w:highlight w:val="yellow"/>
        </w:rPr>
        <w:fldChar w:fldCharType="end"/>
      </w:r>
      <w:r w:rsidRPr="00EE7B2A">
        <w:t xml:space="preserve"> below.</w:t>
      </w:r>
    </w:p>
    <w:p w:rsidRPr="00EE7B2A" w:rsidR="00FD173D" w:rsidP="00AD4F9E" w:rsidRDefault="00FD173D" w14:paraId="08AB2C85" w14:textId="6F3A313D">
      <w:pPr>
        <w:pStyle w:val="Heading5"/>
      </w:pPr>
      <w:r>
        <w:t>A</w:t>
      </w:r>
      <w:r w:rsidRPr="00EE7B2A">
        <w:t>pplication process</w:t>
      </w:r>
    </w:p>
    <w:p w:rsidRPr="00EE7B2A" w:rsidR="00FD173D" w:rsidP="00FD173D" w:rsidRDefault="00A867FC" w14:paraId="4ED8F169" w14:textId="44C62001">
      <w:r>
        <w:t xml:space="preserve">ADECA anticipates </w:t>
      </w:r>
      <w:r w:rsidR="00494742">
        <w:t>launching the BEAD application window as follows:</w:t>
      </w:r>
    </w:p>
    <w:p w:rsidRPr="00EE7B2A" w:rsidR="00FD173D" w:rsidP="00142882" w:rsidRDefault="00FD173D" w14:paraId="73B2278D" w14:textId="5A3F3935">
      <w:pPr>
        <w:pStyle w:val="ListParagraph"/>
        <w:numPr>
          <w:ilvl w:val="0"/>
          <w:numId w:val="61"/>
        </w:numPr>
        <w:spacing w:after="200"/>
        <w:ind w:left="720"/>
      </w:pPr>
      <w:r>
        <w:t>ADECA</w:t>
      </w:r>
      <w:r w:rsidRPr="00EE7B2A">
        <w:t xml:space="preserve"> will make BEAD application materials available on its website using a dedicated webpage. These materials will consist of an Application and Guide, Program Guide, and FAQ documents. </w:t>
      </w:r>
      <w:r>
        <w:t>ADECA</w:t>
      </w:r>
      <w:r w:rsidRPr="00EE7B2A">
        <w:t xml:space="preserve"> will provide an additional resources page on its website to direct potential applicants to third</w:t>
      </w:r>
      <w:r w:rsidR="00916B40">
        <w:t>-</w:t>
      </w:r>
      <w:r w:rsidRPr="00EE7B2A">
        <w:t>party resources that may be of use, including those provided by NTIA, NIST, FCC, and others. </w:t>
      </w:r>
    </w:p>
    <w:p w:rsidRPr="00EE7B2A" w:rsidR="00FD173D" w:rsidP="00142882" w:rsidRDefault="00FD173D" w14:paraId="14A44755" w14:textId="16CF5206">
      <w:pPr>
        <w:pStyle w:val="ListParagraph"/>
        <w:numPr>
          <w:ilvl w:val="0"/>
          <w:numId w:val="61"/>
        </w:numPr>
        <w:spacing w:after="200"/>
        <w:ind w:left="720"/>
      </w:pPr>
      <w:r>
        <w:t>ADECA</w:t>
      </w:r>
      <w:r w:rsidRPr="00EE7B2A">
        <w:t xml:space="preserve"> will conduct an online application workshop </w:t>
      </w:r>
      <w:r>
        <w:t xml:space="preserve">on or around the day </w:t>
      </w:r>
      <w:r w:rsidR="000D4FFF">
        <w:t>that the grant application window opens</w:t>
      </w:r>
      <w:r w:rsidRPr="00EE7B2A">
        <w:t xml:space="preserve">. This workshop will provide general instructions, discuss the program’s goals and objectives, map out major program milestones, answer questions, and provide other technical assistance. This workshop will be recorded and available on the </w:t>
      </w:r>
      <w:r>
        <w:t>ADECA</w:t>
      </w:r>
      <w:r w:rsidRPr="00EE7B2A">
        <w:t xml:space="preserve"> website and the FAQ document will be updated frequently to reflect questions and answers from the workshop and questions received by email. </w:t>
      </w:r>
    </w:p>
    <w:p w:rsidR="00FD173D" w:rsidP="00142882" w:rsidRDefault="00FD173D" w14:paraId="7D514C23" w14:textId="77777777">
      <w:pPr>
        <w:pStyle w:val="ListParagraph"/>
        <w:numPr>
          <w:ilvl w:val="0"/>
          <w:numId w:val="61"/>
        </w:numPr>
        <w:spacing w:after="200"/>
        <w:ind w:left="720"/>
      </w:pPr>
      <w:r w:rsidRPr="00EE7B2A">
        <w:t xml:space="preserve">During the time the grant application window is open, </w:t>
      </w:r>
      <w:r>
        <w:t>ADECA</w:t>
      </w:r>
      <w:r w:rsidRPr="00EE7B2A">
        <w:t xml:space="preserve"> will have a dedicated email address available for participants to use to ask questions and request technical assistance and reasonable curing. To provide transparency, fairness, and additional technical assistance, </w:t>
      </w:r>
      <w:r>
        <w:t>ADECA</w:t>
      </w:r>
      <w:r w:rsidRPr="00EE7B2A">
        <w:t xml:space="preserve"> will update its FAQ document on a regular basis with the questions and answers generated by the email inquiries and in-person meetings. </w:t>
      </w:r>
    </w:p>
    <w:p w:rsidR="00FD173D" w:rsidP="00FD173D" w:rsidRDefault="00FD173D" w14:paraId="32E2C6C3" w14:textId="41C8828D">
      <w:r>
        <w:t>The following is a tentative schedule for the Scoring Phase:</w:t>
      </w:r>
    </w:p>
    <w:p w:rsidR="003E47F2" w:rsidP="00666C57" w:rsidRDefault="003E47F2" w14:paraId="192E5857" w14:textId="4DCAB25A">
      <w:pPr>
        <w:pStyle w:val="Caption"/>
      </w:pPr>
      <w:bookmarkStart w:name="_Toc150852779" w:id="53"/>
      <w:r>
        <w:t xml:space="preserve">Table </w:t>
      </w:r>
      <w:r>
        <w:fldChar w:fldCharType="begin"/>
      </w:r>
      <w:r>
        <w:instrText xml:space="preserve"> SEQ Table \* ARABIC </w:instrText>
      </w:r>
      <w:r>
        <w:fldChar w:fldCharType="separate"/>
      </w:r>
      <w:r w:rsidR="00444AF1">
        <w:rPr>
          <w:noProof/>
        </w:rPr>
        <w:t>4</w:t>
      </w:r>
      <w:r>
        <w:fldChar w:fldCharType="end"/>
      </w:r>
      <w:r>
        <w:t>: Tentative schedule for Scoring Phase</w:t>
      </w:r>
      <w:bookmarkEnd w:id="53"/>
    </w:p>
    <w:tbl>
      <w:tblPr>
        <w:tblStyle w:val="TableGrid"/>
        <w:tblW w:w="9355" w:type="dxa"/>
        <w:tblLook w:val="04A0" w:firstRow="1" w:lastRow="0" w:firstColumn="1" w:lastColumn="0" w:noHBand="0" w:noVBand="1"/>
      </w:tblPr>
      <w:tblGrid>
        <w:gridCol w:w="3116"/>
        <w:gridCol w:w="6239"/>
      </w:tblGrid>
      <w:tr w:rsidRPr="00DE5F18" w:rsidR="00FD173D" w:rsidTr="00232311" w14:paraId="5C13E7B3" w14:textId="77777777">
        <w:trPr>
          <w:trHeight w:val="300"/>
          <w:tblHeader/>
        </w:trPr>
        <w:tc>
          <w:tcPr>
            <w:tcW w:w="3116" w:type="dxa"/>
            <w:tcBorders>
              <w:right w:val="single" w:color="FFFFFF" w:themeColor="background1" w:sz="4" w:space="0"/>
            </w:tcBorders>
            <w:shd w:val="clear" w:color="auto" w:fill="0A2458"/>
          </w:tcPr>
          <w:p w:rsidRPr="00474D83" w:rsidR="00FD173D" w:rsidP="004B46FE" w:rsidRDefault="00FD173D" w14:paraId="40EFFDFB" w14:textId="77777777">
            <w:pPr>
              <w:jc w:val="left"/>
            </w:pPr>
            <w:r w:rsidRPr="00474D83">
              <w:t>Process element</w:t>
            </w:r>
          </w:p>
        </w:tc>
        <w:tc>
          <w:tcPr>
            <w:tcW w:w="6239" w:type="dxa"/>
            <w:tcBorders>
              <w:left w:val="single" w:color="FFFFFF" w:themeColor="background1" w:sz="4" w:space="0"/>
              <w:right w:val="single" w:color="FFFFFF" w:themeColor="background1" w:sz="4" w:space="0"/>
            </w:tcBorders>
            <w:shd w:val="clear" w:color="auto" w:fill="0A2458"/>
          </w:tcPr>
          <w:p w:rsidRPr="00474D83" w:rsidR="00FD173D" w:rsidP="004B46FE" w:rsidRDefault="00232311" w14:paraId="51EF698A" w14:textId="3D0E7441">
            <w:pPr>
              <w:jc w:val="left"/>
            </w:pPr>
            <w:r>
              <w:t>Tentative</w:t>
            </w:r>
            <w:r w:rsidRPr="00474D83" w:rsidR="00FD173D">
              <w:t xml:space="preserve"> date</w:t>
            </w:r>
          </w:p>
        </w:tc>
      </w:tr>
      <w:tr w:rsidRPr="00DE5F18" w:rsidR="00FD173D" w:rsidTr="00666C57" w14:paraId="64A1B373" w14:textId="77777777">
        <w:trPr>
          <w:trHeight w:val="300"/>
        </w:trPr>
        <w:tc>
          <w:tcPr>
            <w:tcW w:w="3116" w:type="dxa"/>
          </w:tcPr>
          <w:p w:rsidRPr="00666C57" w:rsidR="00FD173D" w:rsidRDefault="00FD173D" w14:paraId="02AC9579" w14:textId="77777777">
            <w:pPr>
              <w:jc w:val="left"/>
            </w:pPr>
            <w:r w:rsidRPr="00666C57">
              <w:t>Application materials released</w:t>
            </w:r>
          </w:p>
        </w:tc>
        <w:tc>
          <w:tcPr>
            <w:tcW w:w="6239" w:type="dxa"/>
          </w:tcPr>
          <w:p w:rsidRPr="00666C57" w:rsidR="00FD173D" w:rsidP="00142BAC" w:rsidRDefault="00365431" w14:paraId="31EEF576" w14:textId="6B356879">
            <w:pPr>
              <w:jc w:val="left"/>
            </w:pPr>
            <w:r w:rsidRPr="00666C57">
              <w:t xml:space="preserve">Within 30 days following approval by NTIA of Initial Proposal Volume </w:t>
            </w:r>
            <w:r w:rsidR="77131881">
              <w:t>2</w:t>
            </w:r>
          </w:p>
        </w:tc>
      </w:tr>
      <w:tr w:rsidRPr="00DE5F18" w:rsidR="00FD173D" w:rsidTr="00666C57" w14:paraId="62E2CD5B" w14:textId="77777777">
        <w:trPr>
          <w:trHeight w:val="300"/>
        </w:trPr>
        <w:tc>
          <w:tcPr>
            <w:tcW w:w="3116" w:type="dxa"/>
          </w:tcPr>
          <w:p w:rsidRPr="00666C57" w:rsidR="00FD173D" w:rsidRDefault="00FD173D" w14:paraId="2A6E296E" w14:textId="77777777">
            <w:pPr>
              <w:jc w:val="left"/>
            </w:pPr>
            <w:r w:rsidRPr="00666C57">
              <w:t>Application workshop/webinar</w:t>
            </w:r>
          </w:p>
        </w:tc>
        <w:tc>
          <w:tcPr>
            <w:tcW w:w="6239" w:type="dxa"/>
            <w:shd w:val="clear" w:color="auto" w:fill="FFFFFF" w:themeFill="background1"/>
          </w:tcPr>
          <w:p w:rsidRPr="00666C57" w:rsidR="00FD173D" w:rsidP="00142BAC" w:rsidRDefault="00365431" w14:paraId="5F3834F4" w14:textId="279113A8">
            <w:pPr>
              <w:jc w:val="left"/>
            </w:pPr>
            <w:r w:rsidRPr="00666C57">
              <w:t>On or around the date of release of application materials</w:t>
            </w:r>
          </w:p>
        </w:tc>
      </w:tr>
      <w:tr w:rsidRPr="00DE5F18" w:rsidR="00FD173D" w:rsidTr="00666C57" w14:paraId="1045CA38" w14:textId="77777777">
        <w:trPr>
          <w:trHeight w:val="300"/>
        </w:trPr>
        <w:tc>
          <w:tcPr>
            <w:tcW w:w="3116" w:type="dxa"/>
          </w:tcPr>
          <w:p w:rsidRPr="00666C57" w:rsidR="00FD173D" w:rsidRDefault="00FD173D" w14:paraId="31ED19CA" w14:textId="77777777">
            <w:pPr>
              <w:jc w:val="left"/>
            </w:pPr>
            <w:r w:rsidRPr="00666C57">
              <w:t>Q&amp;A period</w:t>
            </w:r>
          </w:p>
        </w:tc>
        <w:tc>
          <w:tcPr>
            <w:tcW w:w="6239" w:type="dxa"/>
            <w:shd w:val="clear" w:color="auto" w:fill="FFFFFF" w:themeFill="background1"/>
          </w:tcPr>
          <w:p w:rsidRPr="00666C57" w:rsidR="00FD173D" w:rsidP="00142BAC" w:rsidRDefault="00365431" w14:paraId="70032C47" w14:textId="65E5E752">
            <w:pPr>
              <w:jc w:val="left"/>
            </w:pPr>
            <w:r w:rsidRPr="00666C57">
              <w:t>30 days following release of application materials</w:t>
            </w:r>
          </w:p>
        </w:tc>
      </w:tr>
      <w:tr w:rsidRPr="00DE5F18" w:rsidR="00FD173D" w:rsidTr="00666C57" w14:paraId="4D96E170" w14:textId="77777777">
        <w:trPr>
          <w:trHeight w:val="300"/>
        </w:trPr>
        <w:tc>
          <w:tcPr>
            <w:tcW w:w="3116" w:type="dxa"/>
          </w:tcPr>
          <w:p w:rsidRPr="00666C57" w:rsidR="00FD173D" w:rsidRDefault="00FD173D" w14:paraId="606B9338" w14:textId="77777777">
            <w:pPr>
              <w:jc w:val="left"/>
            </w:pPr>
            <w:r w:rsidRPr="00666C57">
              <w:t>Applications accepted by ADECA</w:t>
            </w:r>
          </w:p>
        </w:tc>
        <w:tc>
          <w:tcPr>
            <w:tcW w:w="6239" w:type="dxa"/>
          </w:tcPr>
          <w:p w:rsidRPr="00666C57" w:rsidR="00FD173D" w:rsidP="00142BAC" w:rsidRDefault="00365431" w14:paraId="19FBB31F" w14:textId="5C0AE01C">
            <w:pPr>
              <w:jc w:val="left"/>
            </w:pPr>
            <w:r w:rsidRPr="00666C57">
              <w:t>45 days following release of application materials</w:t>
            </w:r>
          </w:p>
        </w:tc>
      </w:tr>
      <w:tr w:rsidRPr="00DE5F18" w:rsidR="00FD173D" w:rsidTr="00666C57" w14:paraId="5E1AF690" w14:textId="77777777">
        <w:trPr>
          <w:trHeight w:val="300"/>
        </w:trPr>
        <w:tc>
          <w:tcPr>
            <w:tcW w:w="3116" w:type="dxa"/>
          </w:tcPr>
          <w:p w:rsidRPr="00666C57" w:rsidR="00FD173D" w:rsidRDefault="00FD173D" w14:paraId="3053733C" w14:textId="77777777">
            <w:pPr>
              <w:jc w:val="left"/>
            </w:pPr>
            <w:r w:rsidRPr="00666C57">
              <w:t>Review of application materials, including curing as necessary</w:t>
            </w:r>
          </w:p>
        </w:tc>
        <w:tc>
          <w:tcPr>
            <w:tcW w:w="6239" w:type="dxa"/>
          </w:tcPr>
          <w:p w:rsidRPr="00666C57" w:rsidR="00FD173D" w:rsidP="00142BAC" w:rsidRDefault="00365431" w14:paraId="0C788DB5" w14:textId="0F3E8EA6">
            <w:pPr>
              <w:jc w:val="left"/>
            </w:pPr>
            <w:r w:rsidRPr="00666C57">
              <w:t>45 days following closing of application window for receipt of applications</w:t>
            </w:r>
          </w:p>
        </w:tc>
      </w:tr>
    </w:tbl>
    <w:p w:rsidRPr="00EE7B2A" w:rsidR="00FD173D" w:rsidP="00666C57" w:rsidRDefault="00FD173D" w14:paraId="516B0ED2" w14:textId="77777777">
      <w:pPr>
        <w:pStyle w:val="Heading4"/>
        <w:spacing w:before="240" w:line="240" w:lineRule="auto"/>
      </w:pPr>
      <w:r w:rsidRPr="00EE7B2A">
        <w:t xml:space="preserve">Negotiation </w:t>
      </w:r>
      <w:r>
        <w:t>Phase</w:t>
      </w:r>
    </w:p>
    <w:p w:rsidRPr="00EE7B2A" w:rsidR="00FD173D" w:rsidP="00FD173D" w:rsidRDefault="00FD173D" w14:paraId="1324814F" w14:textId="15AC5A36">
      <w:r w:rsidRPr="00EE7B2A">
        <w:t>During the Negotiation P</w:t>
      </w:r>
      <w:r>
        <w:t>hase</w:t>
      </w:r>
      <w:r w:rsidRPr="00EE7B2A">
        <w:t xml:space="preserve">, </w:t>
      </w:r>
      <w:r>
        <w:t>ADECA</w:t>
      </w:r>
      <w:r w:rsidRPr="00EE7B2A">
        <w:t xml:space="preserve"> will engage with applicants in negotiations designed to reach final agreement on two topics: project area boundaries and costs.</w:t>
      </w:r>
    </w:p>
    <w:p w:rsidRPr="00EE7B2A" w:rsidR="00FD173D" w:rsidP="00FD173D" w:rsidRDefault="00FD173D" w14:paraId="7A816034" w14:textId="40EE64F2">
      <w:r w:rsidRPr="00EE7B2A">
        <w:t xml:space="preserve">Once applications are received, </w:t>
      </w:r>
      <w:r>
        <w:t>ADECA</w:t>
      </w:r>
      <w:r w:rsidRPr="00EE7B2A">
        <w:t xml:space="preserve"> will evaluate the full range of applications that are received and will consider how to follow up in a process that is designed to enable </w:t>
      </w:r>
      <w:r>
        <w:t>ADECA</w:t>
      </w:r>
      <w:r w:rsidRPr="00EE7B2A">
        <w:t xml:space="preserve"> to reach the best possible comprehensive and statewide outcome</w:t>
      </w:r>
      <w:r w:rsidR="009D3545">
        <w:t xml:space="preserve"> through the BEAD grant process</w:t>
      </w:r>
      <w:r w:rsidRPr="00EE7B2A">
        <w:t xml:space="preserve">. </w:t>
      </w:r>
      <w:r w:rsidRPr="00EE7B2A" w:rsidR="006502CA">
        <w:t>NTIA</w:t>
      </w:r>
      <w:r w:rsidR="006502CA">
        <w:t>’</w:t>
      </w:r>
      <w:r w:rsidRPr="00EE7B2A" w:rsidR="006502CA">
        <w:t>s</w:t>
      </w:r>
      <w:r w:rsidRPr="00EE7B2A">
        <w:t xml:space="preserve"> rules for the program explicitly allow for negotiation for a range of purposes, including to </w:t>
      </w:r>
      <w:r w:rsidRPr="00EE7B2A" w:rsidR="007733B7">
        <w:t xml:space="preserve">expand or reduce </w:t>
      </w:r>
      <w:r w:rsidR="007733B7">
        <w:t xml:space="preserve">geographic boundaries for proposed projects </w:t>
      </w:r>
      <w:r w:rsidR="00671D12">
        <w:t xml:space="preserve">or </w:t>
      </w:r>
      <w:r w:rsidRPr="00EE7B2A">
        <w:t>reduce or change pricing.</w:t>
      </w:r>
      <w:r w:rsidR="00273A24">
        <w:rPr>
          <w:rStyle w:val="FootnoteReference"/>
        </w:rPr>
        <w:footnoteReference w:id="42"/>
      </w:r>
      <w:r w:rsidRPr="00EE7B2A">
        <w:t xml:space="preserve"> </w:t>
      </w:r>
      <w:r>
        <w:t>ADECA</w:t>
      </w:r>
      <w:r w:rsidRPr="00EE7B2A">
        <w:t xml:space="preserve"> intends to use the </w:t>
      </w:r>
      <w:r w:rsidR="00BA67DB">
        <w:t>N</w:t>
      </w:r>
      <w:r w:rsidRPr="00EE7B2A">
        <w:t xml:space="preserve">egotiation </w:t>
      </w:r>
      <w:r w:rsidR="00BA67DB">
        <w:t>P</w:t>
      </w:r>
      <w:r w:rsidRPr="00EE7B2A">
        <w:t xml:space="preserve">hase of the program for both purposes: to negotiate </w:t>
      </w:r>
      <w:r w:rsidR="00565BF1">
        <w:t>geographic boundaries</w:t>
      </w:r>
      <w:r w:rsidRPr="00EE7B2A" w:rsidR="00565BF1">
        <w:t xml:space="preserve"> where necessary</w:t>
      </w:r>
      <w:r w:rsidR="00565BF1">
        <w:t xml:space="preserve"> to ensure like-to-like comparisons of competing proposals</w:t>
      </w:r>
      <w:r w:rsidR="00037687">
        <w:t>, as well as</w:t>
      </w:r>
      <w:r w:rsidR="00565BF1">
        <w:t xml:space="preserve"> </w:t>
      </w:r>
      <w:r w:rsidRPr="00EE7B2A">
        <w:t xml:space="preserve">to negotiate pricing with applicants to secure for the consumers of </w:t>
      </w:r>
      <w:r>
        <w:t>Alabama</w:t>
      </w:r>
      <w:r w:rsidRPr="00EE7B2A">
        <w:t xml:space="preserve"> the best possible deal for the BEAD funds.</w:t>
      </w:r>
    </w:p>
    <w:p w:rsidRPr="00EE7B2A" w:rsidR="00FD173D" w:rsidP="00FD173D" w:rsidRDefault="00037687" w14:paraId="5054A70C" w14:textId="20E017D5">
      <w:r w:rsidRPr="00804C9D">
        <w:rPr>
          <w:b/>
        </w:rPr>
        <w:t>Geographic boundaries</w:t>
      </w:r>
      <w:r>
        <w:t xml:space="preserve">. </w:t>
      </w:r>
      <w:r w:rsidRPr="00EE7B2A" w:rsidR="00FD173D">
        <w:t xml:space="preserve">In the event that </w:t>
      </w:r>
      <w:r w:rsidR="00741B6D">
        <w:t>areas exist</w:t>
      </w:r>
      <w:r w:rsidRPr="00EE7B2A" w:rsidR="00FD173D">
        <w:t xml:space="preserve"> that do not receive any application at all, </w:t>
      </w:r>
      <w:r w:rsidR="00FD173D">
        <w:t>ADECA</w:t>
      </w:r>
      <w:r w:rsidRPr="00EE7B2A" w:rsidR="00FD173D">
        <w:t xml:space="preserve"> will negotiate with one or more applicants to determine whether and under what circumstances they would be willing to serve those. </w:t>
      </w:r>
      <w:r w:rsidR="00FD173D">
        <w:t>ADECA</w:t>
      </w:r>
      <w:r w:rsidRPr="00EE7B2A" w:rsidR="00FD173D">
        <w:t xml:space="preserve"> may negotiate with one or more entities at a time in order to maximize the compressed timeline and secure the best possible deal for taxpayer funds, enabling the BEAD funds to serve as many </w:t>
      </w:r>
      <w:r w:rsidR="00FD173D">
        <w:t>unserved and underserved</w:t>
      </w:r>
      <w:r w:rsidRPr="00EE7B2A" w:rsidR="00FD173D">
        <w:t xml:space="preserve"> locations as possible. </w:t>
      </w:r>
      <w:r w:rsidR="00FD173D">
        <w:t>Furthermore, in the event proposed geographic areas overlap with each other, ADECA will negotiate with one or more applicants to secure the required outcome: a single awardee for each unserved and underserved location, with the most cost-effective pricing given the available BEAD funds.</w:t>
      </w:r>
    </w:p>
    <w:p w:rsidRPr="00EE7B2A" w:rsidR="00FD173D" w:rsidP="00FD173D" w:rsidRDefault="00037687" w14:paraId="5A995073" w14:textId="2FB719F6">
      <w:r w:rsidRPr="00804C9D">
        <w:rPr>
          <w:b/>
        </w:rPr>
        <w:t>Pricing</w:t>
      </w:r>
      <w:r>
        <w:t>.</w:t>
      </w:r>
      <w:r w:rsidR="00FD173D">
        <w:t xml:space="preserve"> ADECA will negotiate pricing</w:t>
      </w:r>
      <w:r w:rsidRPr="00EE7B2A" w:rsidR="00FD173D">
        <w:t xml:space="preserve"> with respect to </w:t>
      </w:r>
      <w:r w:rsidR="00FD173D">
        <w:t>locations for which no applications are received and for w</w:t>
      </w:r>
      <w:r w:rsidRPr="00EE7B2A" w:rsidR="00FD173D">
        <w:t xml:space="preserve">hich </w:t>
      </w:r>
      <w:r w:rsidR="00FD173D">
        <w:t>ADECA</w:t>
      </w:r>
      <w:r w:rsidRPr="00EE7B2A" w:rsidR="00FD173D">
        <w:t xml:space="preserve"> would like to attract other applicants</w:t>
      </w:r>
      <w:r>
        <w:t>, as well as</w:t>
      </w:r>
      <w:r w:rsidR="00FD173D">
        <w:t xml:space="preserve"> </w:t>
      </w:r>
      <w:r w:rsidRPr="00EE7B2A" w:rsidR="00FD173D">
        <w:t xml:space="preserve">with respect to </w:t>
      </w:r>
      <w:r w:rsidR="00FD173D">
        <w:t>locations</w:t>
      </w:r>
      <w:r w:rsidRPr="00EE7B2A" w:rsidR="00FD173D">
        <w:t xml:space="preserve"> that received </w:t>
      </w:r>
      <w:r w:rsidR="0073694B">
        <w:t>applications</w:t>
      </w:r>
      <w:r w:rsidRPr="00EE7B2A" w:rsidR="00FD173D">
        <w:t xml:space="preserve"> but where it may be possible to secure lower pricing. </w:t>
      </w:r>
      <w:r w:rsidR="00FD173D">
        <w:t>ADECA</w:t>
      </w:r>
      <w:r w:rsidRPr="00EE7B2A" w:rsidR="00FD173D">
        <w:t xml:space="preserve"> reserves flexibility to negotiate with one or more entities regarding potential pricing, seeking to maximize the reach and value of the BEAD funds to bring </w:t>
      </w:r>
      <w:r w:rsidR="00FD173D">
        <w:t>broadband</w:t>
      </w:r>
      <w:r w:rsidRPr="00EE7B2A" w:rsidR="00FD173D">
        <w:t xml:space="preserve"> to </w:t>
      </w:r>
      <w:r w:rsidR="00FD173D">
        <w:t>unserved and underserved</w:t>
      </w:r>
      <w:r w:rsidRPr="00EE7B2A" w:rsidR="00FD173D">
        <w:t xml:space="preserve"> locations throughout </w:t>
      </w:r>
      <w:r w:rsidR="00FD173D">
        <w:t>Alabama</w:t>
      </w:r>
      <w:r w:rsidRPr="00EE7B2A" w:rsidR="00FD173D">
        <w:t xml:space="preserve">. Among the range of circumstances in which </w:t>
      </w:r>
      <w:r w:rsidR="00FD173D">
        <w:t>ADECA</w:t>
      </w:r>
      <w:r w:rsidRPr="00EE7B2A" w:rsidR="00FD173D">
        <w:t xml:space="preserve"> may wish to negotiate pricing are the following: </w:t>
      </w:r>
    </w:p>
    <w:p w:rsidRPr="00EE7B2A" w:rsidR="00FD173D" w:rsidP="006F78D2" w:rsidRDefault="00FD173D" w14:paraId="46B0247E" w14:textId="77777777">
      <w:pPr>
        <w:pStyle w:val="ListParagraph"/>
        <w:numPr>
          <w:ilvl w:val="0"/>
          <w:numId w:val="64"/>
        </w:numPr>
        <w:spacing w:after="200"/>
      </w:pPr>
      <w:r w:rsidRPr="00EE7B2A">
        <w:t xml:space="preserve">A </w:t>
      </w:r>
      <w:r>
        <w:t>location</w:t>
      </w:r>
      <w:r w:rsidRPr="00EE7B2A">
        <w:t xml:space="preserve"> does not receive any applications and </w:t>
      </w:r>
      <w:r>
        <w:t>ADECA</w:t>
      </w:r>
      <w:r w:rsidRPr="00EE7B2A">
        <w:t xml:space="preserve"> negotiates for pricing to serve it</w:t>
      </w:r>
    </w:p>
    <w:p w:rsidRPr="00EE7B2A" w:rsidR="00FD173D" w:rsidP="006F78D2" w:rsidRDefault="00FD173D" w14:paraId="6E74D202" w14:textId="77777777">
      <w:pPr>
        <w:pStyle w:val="ListParagraph"/>
        <w:numPr>
          <w:ilvl w:val="0"/>
          <w:numId w:val="64"/>
        </w:numPr>
        <w:spacing w:after="200"/>
      </w:pPr>
      <w:r w:rsidRPr="00EE7B2A">
        <w:t xml:space="preserve">More than one applicant provides a proposal for a given </w:t>
      </w:r>
      <w:r>
        <w:t>location</w:t>
      </w:r>
      <w:r w:rsidRPr="00EE7B2A">
        <w:t xml:space="preserve"> and </w:t>
      </w:r>
      <w:r>
        <w:t>ADECA</w:t>
      </w:r>
      <w:r w:rsidRPr="00EE7B2A">
        <w:t xml:space="preserve"> negotiates with all to secure best and final offers that deliver the best pricing prior to establishing final scoring</w:t>
      </w:r>
    </w:p>
    <w:p w:rsidR="00FD173D" w:rsidP="00FD173D" w:rsidRDefault="00FD173D" w14:paraId="12A98792" w14:textId="14EE476E">
      <w:r w:rsidRPr="00EE7B2A">
        <w:t xml:space="preserve">In sum, </w:t>
      </w:r>
      <w:r>
        <w:t>ADECA</w:t>
      </w:r>
      <w:r w:rsidRPr="00EE7B2A">
        <w:t xml:space="preserve"> believes that flexibility to take the necessary steps during the </w:t>
      </w:r>
      <w:r>
        <w:t>Ne</w:t>
      </w:r>
      <w:r w:rsidRPr="00EE7B2A">
        <w:t xml:space="preserve">gotiation </w:t>
      </w:r>
      <w:r>
        <w:t>P</w:t>
      </w:r>
      <w:r w:rsidRPr="00EE7B2A">
        <w:t xml:space="preserve">hase is an essential element of securing the best, fairest, </w:t>
      </w:r>
      <w:r w:rsidR="000F60F9">
        <w:t xml:space="preserve">and </w:t>
      </w:r>
      <w:r w:rsidRPr="00EE7B2A">
        <w:t xml:space="preserve">most competitive outcome for the BEAD process, particularly given the need for </w:t>
      </w:r>
      <w:r>
        <w:t>ADECA</w:t>
      </w:r>
      <w:r w:rsidRPr="00EE7B2A">
        <w:t xml:space="preserve">’s efforts to develop a broadband solution for 100 percent of </w:t>
      </w:r>
      <w:r>
        <w:t>unserved and underserved</w:t>
      </w:r>
      <w:r w:rsidRPr="00EE7B2A">
        <w:t xml:space="preserve"> locations in </w:t>
      </w:r>
      <w:r>
        <w:t>Alabama</w:t>
      </w:r>
      <w:r w:rsidRPr="00EE7B2A">
        <w:t>.</w:t>
      </w:r>
    </w:p>
    <w:p w:rsidR="00FD173D" w:rsidP="00FD173D" w:rsidRDefault="00FD173D" w14:paraId="0CC2B4CC" w14:textId="2DF799A6">
      <w:r>
        <w:t>The following is a tentative schedule for the Negotiation Phase:</w:t>
      </w:r>
    </w:p>
    <w:p w:rsidR="002D5AD9" w:rsidP="002C4279" w:rsidRDefault="002D5AD9" w14:paraId="4EF7EC53" w14:textId="7DD52662">
      <w:pPr>
        <w:pStyle w:val="Caption"/>
      </w:pPr>
      <w:bookmarkStart w:name="_Toc150852780" w:id="54"/>
      <w:r>
        <w:t xml:space="preserve">Table </w:t>
      </w:r>
      <w:r>
        <w:fldChar w:fldCharType="begin"/>
      </w:r>
      <w:r>
        <w:instrText xml:space="preserve"> SEQ Table \* ARABIC </w:instrText>
      </w:r>
      <w:r>
        <w:fldChar w:fldCharType="separate"/>
      </w:r>
      <w:r w:rsidR="00444AF1">
        <w:rPr>
          <w:noProof/>
        </w:rPr>
        <w:t>5</w:t>
      </w:r>
      <w:r>
        <w:fldChar w:fldCharType="end"/>
      </w:r>
      <w:r>
        <w:t>: Tentative schedule for Negotiation Phase</w:t>
      </w:r>
      <w:bookmarkEnd w:id="54"/>
    </w:p>
    <w:tbl>
      <w:tblPr>
        <w:tblStyle w:val="TableGrid"/>
        <w:tblW w:w="9355" w:type="dxa"/>
        <w:tblLook w:val="04A0" w:firstRow="1" w:lastRow="0" w:firstColumn="1" w:lastColumn="0" w:noHBand="0" w:noVBand="1"/>
      </w:tblPr>
      <w:tblGrid>
        <w:gridCol w:w="3116"/>
        <w:gridCol w:w="6239"/>
      </w:tblGrid>
      <w:tr w:rsidRPr="00DE5F18" w:rsidR="00FD173D" w:rsidTr="007063FC" w14:paraId="46559242" w14:textId="77777777">
        <w:trPr>
          <w:tblHeader/>
        </w:trPr>
        <w:tc>
          <w:tcPr>
            <w:tcW w:w="3116" w:type="dxa"/>
            <w:tcBorders>
              <w:right w:val="single" w:color="FFFFFF" w:themeColor="background1" w:sz="4" w:space="0"/>
            </w:tcBorders>
            <w:shd w:val="clear" w:color="auto" w:fill="0A2458"/>
          </w:tcPr>
          <w:p w:rsidRPr="00035C0C" w:rsidR="00FD173D" w:rsidP="004B46FE" w:rsidRDefault="00FD173D" w14:paraId="249EB7E6" w14:textId="77777777">
            <w:pPr>
              <w:jc w:val="left"/>
            </w:pPr>
            <w:r w:rsidRPr="00035C0C">
              <w:t>Process element</w:t>
            </w:r>
          </w:p>
        </w:tc>
        <w:tc>
          <w:tcPr>
            <w:tcW w:w="6239" w:type="dxa"/>
            <w:tcBorders>
              <w:left w:val="single" w:color="FFFFFF" w:themeColor="background1" w:sz="4" w:space="0"/>
              <w:right w:val="single" w:color="FFFFFF" w:themeColor="background1" w:sz="4" w:space="0"/>
            </w:tcBorders>
            <w:shd w:val="clear" w:color="auto" w:fill="0A2458"/>
          </w:tcPr>
          <w:p w:rsidRPr="00035C0C" w:rsidR="00FD173D" w:rsidP="004B46FE" w:rsidRDefault="0043282F" w14:paraId="7801B876" w14:textId="52DDC025">
            <w:pPr>
              <w:jc w:val="left"/>
            </w:pPr>
            <w:r>
              <w:t xml:space="preserve">Tentative </w:t>
            </w:r>
            <w:r w:rsidRPr="00035C0C" w:rsidR="00FD173D">
              <w:t>date</w:t>
            </w:r>
          </w:p>
        </w:tc>
      </w:tr>
      <w:tr w:rsidRPr="00DE5F18" w:rsidR="00FD173D" w:rsidTr="007063FC" w14:paraId="2647B53A" w14:textId="77777777">
        <w:tc>
          <w:tcPr>
            <w:tcW w:w="3116" w:type="dxa"/>
          </w:tcPr>
          <w:p w:rsidRPr="00035C0C" w:rsidR="00FD173D" w:rsidRDefault="00FD173D" w14:paraId="5BD8CBB6" w14:textId="77777777">
            <w:pPr>
              <w:jc w:val="left"/>
            </w:pPr>
            <w:r w:rsidRPr="00035C0C">
              <w:t>Completion of application review and scoring</w:t>
            </w:r>
          </w:p>
        </w:tc>
        <w:tc>
          <w:tcPr>
            <w:tcW w:w="6239" w:type="dxa"/>
          </w:tcPr>
          <w:p w:rsidRPr="00A0379C" w:rsidR="00FD173D" w:rsidP="00B86496" w:rsidRDefault="00365431" w14:paraId="270BE7E0" w14:textId="12C6AE6A">
            <w:pPr>
              <w:jc w:val="left"/>
            </w:pPr>
            <w:r w:rsidRPr="00A0379C">
              <w:t>45 days following closing of window for receipt of applications</w:t>
            </w:r>
          </w:p>
        </w:tc>
      </w:tr>
      <w:tr w:rsidRPr="00DE5F18" w:rsidR="00FD173D" w:rsidTr="007063FC" w14:paraId="6911308D" w14:textId="77777777">
        <w:tc>
          <w:tcPr>
            <w:tcW w:w="3116" w:type="dxa"/>
          </w:tcPr>
          <w:p w:rsidRPr="00986787" w:rsidR="00FD173D" w:rsidRDefault="00FD173D" w14:paraId="28004684" w14:textId="77777777">
            <w:pPr>
              <w:jc w:val="left"/>
            </w:pPr>
            <w:r w:rsidRPr="00986787">
              <w:t>Negotiations between ADECA and one or more applicants for each county</w:t>
            </w:r>
          </w:p>
        </w:tc>
        <w:tc>
          <w:tcPr>
            <w:tcW w:w="6239" w:type="dxa"/>
            <w:shd w:val="clear" w:color="auto" w:fill="FFFFFF" w:themeFill="background1"/>
          </w:tcPr>
          <w:p w:rsidRPr="00A0379C" w:rsidR="00FD173D" w:rsidP="00B86496" w:rsidRDefault="00365431" w14:paraId="2D9E04A1" w14:textId="1DBE61BF">
            <w:pPr>
              <w:jc w:val="left"/>
            </w:pPr>
            <w:r w:rsidRPr="00A0379C">
              <w:t>Within 90 days following closing of window for receipt of applications</w:t>
            </w:r>
          </w:p>
        </w:tc>
      </w:tr>
      <w:tr w:rsidRPr="00DE5F18" w:rsidR="00FD173D" w:rsidTr="007063FC" w14:paraId="627AAC0E" w14:textId="77777777">
        <w:tc>
          <w:tcPr>
            <w:tcW w:w="3116" w:type="dxa"/>
          </w:tcPr>
          <w:p w:rsidRPr="00986787" w:rsidR="00FD173D" w:rsidRDefault="00FD173D" w14:paraId="5380745A" w14:textId="77777777">
            <w:pPr>
              <w:jc w:val="left"/>
            </w:pPr>
            <w:r w:rsidRPr="00986787">
              <w:t>Announcement of second round for receipt of applications, if necessary, with distribution of application materials</w:t>
            </w:r>
          </w:p>
        </w:tc>
        <w:tc>
          <w:tcPr>
            <w:tcW w:w="6239" w:type="dxa"/>
          </w:tcPr>
          <w:p w:rsidRPr="00A0379C" w:rsidR="00FD173D" w:rsidP="00B86496" w:rsidRDefault="00365431" w14:paraId="01FC8674" w14:textId="2BAFFFC8">
            <w:pPr>
              <w:jc w:val="left"/>
            </w:pPr>
            <w:r w:rsidRPr="00A0379C">
              <w:t>Within 90 days following closing of window for receipt of applications, as necessary</w:t>
            </w:r>
          </w:p>
        </w:tc>
      </w:tr>
      <w:tr w:rsidRPr="00DE5F18" w:rsidR="00FD173D" w:rsidTr="007063FC" w14:paraId="3C9ED66F" w14:textId="77777777">
        <w:tc>
          <w:tcPr>
            <w:tcW w:w="3116" w:type="dxa"/>
          </w:tcPr>
          <w:p w:rsidRPr="00986787" w:rsidR="00FD173D" w:rsidRDefault="00FD173D" w14:paraId="17278F86" w14:textId="12982E59">
            <w:pPr>
              <w:jc w:val="left"/>
            </w:pPr>
            <w:r w:rsidRPr="00986787">
              <w:t>Review, evaluation, and scoring of second round applications, if necessary</w:t>
            </w:r>
          </w:p>
        </w:tc>
        <w:tc>
          <w:tcPr>
            <w:tcW w:w="6239" w:type="dxa"/>
          </w:tcPr>
          <w:p w:rsidRPr="00A0379C" w:rsidR="00FD173D" w:rsidP="00B86496" w:rsidRDefault="00365431" w14:paraId="63B9B383" w14:textId="7726B5FD">
            <w:pPr>
              <w:jc w:val="left"/>
            </w:pPr>
            <w:r w:rsidRPr="00A0379C">
              <w:t>Within 120 days following closing of window for receipt of applications, as necessary</w:t>
            </w:r>
          </w:p>
        </w:tc>
      </w:tr>
      <w:tr w:rsidRPr="00DE5F18" w:rsidR="00FD173D" w:rsidTr="007063FC" w14:paraId="628A3F65" w14:textId="77777777">
        <w:tc>
          <w:tcPr>
            <w:tcW w:w="3116" w:type="dxa"/>
          </w:tcPr>
          <w:p w:rsidRPr="00986787" w:rsidR="00FD173D" w:rsidRDefault="00FD173D" w14:paraId="34952EB3" w14:textId="77777777">
            <w:pPr>
              <w:jc w:val="left"/>
            </w:pPr>
            <w:r w:rsidRPr="00986787">
              <w:t>Announcement of provisional awards</w:t>
            </w:r>
          </w:p>
        </w:tc>
        <w:tc>
          <w:tcPr>
            <w:tcW w:w="6239" w:type="dxa"/>
          </w:tcPr>
          <w:p w:rsidRPr="00A0379C" w:rsidR="00FD173D" w:rsidP="00B86496" w:rsidRDefault="00365431" w14:paraId="5A2D62B7" w14:textId="76C170F3">
            <w:pPr>
              <w:jc w:val="left"/>
            </w:pPr>
            <w:r w:rsidRPr="00A0379C">
              <w:t>Within 150 days following initiation of the Scoring Phase</w:t>
            </w:r>
          </w:p>
        </w:tc>
      </w:tr>
    </w:tbl>
    <w:p w:rsidRPr="00EE7B2A" w:rsidR="00FD173D" w:rsidP="008B29AB" w:rsidRDefault="00FD173D" w14:paraId="0FA7A935" w14:textId="77777777">
      <w:pPr>
        <w:pStyle w:val="Heading5"/>
        <w:spacing w:before="240" w:line="240" w:lineRule="auto"/>
      </w:pPr>
      <w:r w:rsidRPr="00EE7B2A">
        <w:t>Provisional award</w:t>
      </w:r>
      <w:r>
        <w:t>s and Final Proposal</w:t>
      </w:r>
    </w:p>
    <w:p w:rsidRPr="009F7EAF" w:rsidR="00552F6B" w:rsidP="003A1188" w:rsidRDefault="00FD173D" w14:paraId="549F5C62" w14:textId="7D1C068F">
      <w:pPr>
        <w:shd w:val="clear" w:color="auto" w:fill="FFFFFF"/>
        <w:rPr>
          <w:rFonts w:eastAsia="Times New Roman" w:cs="Calibri"/>
        </w:rPr>
      </w:pPr>
      <w:r w:rsidRPr="00EE7B2A">
        <w:t xml:space="preserve">Once </w:t>
      </w:r>
      <w:r>
        <w:t>ADECA</w:t>
      </w:r>
      <w:r w:rsidRPr="00EE7B2A">
        <w:t xml:space="preserve"> and the applicants have concluded successful negotiations, </w:t>
      </w:r>
      <w:r>
        <w:t>ADECA</w:t>
      </w:r>
      <w:r w:rsidRPr="00EE7B2A">
        <w:t xml:space="preserve"> will issue provisional awards under the agreed upon terms. These pending awards will be included in </w:t>
      </w:r>
      <w:r>
        <w:t>ADECA</w:t>
      </w:r>
      <w:r w:rsidRPr="00EE7B2A">
        <w:t xml:space="preserve">’s Final Proposal </w:t>
      </w:r>
      <w:r w:rsidRPr="009F7EAF" w:rsidR="00552F6B">
        <w:rPr>
          <w:rFonts w:eastAsia="Times New Roman" w:cs="Calibri"/>
        </w:rPr>
        <w:t>that will be submitted to</w:t>
      </w:r>
      <w:r w:rsidRPr="009F7EAF">
        <w:rPr>
          <w:rFonts w:eastAsia="Times New Roman" w:cs="Calibri"/>
        </w:rPr>
        <w:t xml:space="preserve"> NTIA </w:t>
      </w:r>
      <w:r w:rsidRPr="009F7EAF" w:rsidR="00552F6B">
        <w:rPr>
          <w:rFonts w:eastAsia="Times New Roman" w:cs="Calibri"/>
        </w:rPr>
        <w:t>following a 30-day public comment period, as required by federal rules.</w:t>
      </w:r>
    </w:p>
    <w:p w:rsidRPr="009F7EAF" w:rsidR="00552F6B" w:rsidP="003A1188" w:rsidRDefault="00552F6B" w14:paraId="4671625F" w14:textId="196782CE">
      <w:pPr>
        <w:shd w:val="clear" w:color="auto" w:fill="FFFFFF"/>
        <w:rPr>
          <w:rFonts w:eastAsia="Times New Roman" w:cs="Calibri"/>
        </w:rPr>
      </w:pPr>
      <w:r w:rsidRPr="009F7EAF">
        <w:rPr>
          <w:rFonts w:eastAsia="Times New Roman" w:cs="Calibri"/>
        </w:rPr>
        <w:t> </w:t>
      </w:r>
      <w:r w:rsidRPr="009F7EAF" w:rsidR="00FD173D">
        <w:rPr>
          <w:rFonts w:eastAsia="Times New Roman" w:cs="Calibri"/>
        </w:rPr>
        <w:t>Upon NTIA approval</w:t>
      </w:r>
      <w:r w:rsidRPr="009F7EAF">
        <w:rPr>
          <w:rFonts w:eastAsia="Times New Roman" w:cs="Calibri"/>
        </w:rPr>
        <w:t xml:space="preserve"> of the Final Proposal</w:t>
      </w:r>
      <w:r w:rsidRPr="009F7EAF" w:rsidR="00FD173D">
        <w:rPr>
          <w:rFonts w:eastAsia="Times New Roman" w:cs="Calibri"/>
        </w:rPr>
        <w:t xml:space="preserve">, </w:t>
      </w:r>
      <w:r w:rsidRPr="00552F6B" w:rsidR="00FD173D">
        <w:rPr>
          <w:rFonts w:eastAsia="Times New Roman" w:cs="Calibri"/>
        </w:rPr>
        <w:t>ADECA</w:t>
      </w:r>
      <w:r w:rsidRPr="009F7EAF" w:rsidR="00FD173D">
        <w:rPr>
          <w:rFonts w:eastAsia="Times New Roman" w:cs="Calibri"/>
        </w:rPr>
        <w:t xml:space="preserve"> will finalize </w:t>
      </w:r>
      <w:r w:rsidR="00923172">
        <w:rPr>
          <w:rFonts w:eastAsia="Times New Roman" w:cs="Calibri"/>
        </w:rPr>
        <w:t>and execute subgrant agree</w:t>
      </w:r>
      <w:r w:rsidR="00A85A5A">
        <w:rPr>
          <w:rFonts w:eastAsia="Times New Roman" w:cs="Calibri"/>
        </w:rPr>
        <w:t>ments with the successful</w:t>
      </w:r>
      <w:r w:rsidRPr="009F7EAF" w:rsidR="00FD173D">
        <w:rPr>
          <w:rFonts w:eastAsia="Times New Roman" w:cs="Calibri"/>
        </w:rPr>
        <w:t xml:space="preserve">. </w:t>
      </w:r>
      <w:r w:rsidR="00A85A5A">
        <w:rPr>
          <w:rFonts w:eastAsia="Times New Roman" w:cs="Calibri"/>
        </w:rPr>
        <w:t xml:space="preserve">As discussed below, </w:t>
      </w:r>
      <w:r w:rsidRPr="00552F6B">
        <w:rPr>
          <w:rFonts w:eastAsia="Times New Roman" w:cs="Calibri"/>
        </w:rPr>
        <w:t>ADECA</w:t>
      </w:r>
      <w:r w:rsidRPr="009F7EAF">
        <w:rPr>
          <w:rFonts w:eastAsia="Times New Roman" w:cs="Calibri"/>
        </w:rPr>
        <w:t xml:space="preserve"> will </w:t>
      </w:r>
      <w:r w:rsidR="005E6403">
        <w:rPr>
          <w:rFonts w:eastAsia="Times New Roman" w:cs="Calibri"/>
        </w:rPr>
        <w:t>incorporate</w:t>
      </w:r>
      <w:r w:rsidRPr="009F7EAF">
        <w:rPr>
          <w:rFonts w:eastAsia="Times New Roman" w:cs="Calibri"/>
        </w:rPr>
        <w:t xml:space="preserve"> NTIA’s recommended Sub-granting Accountability Procedures</w:t>
      </w:r>
      <w:r w:rsidR="005E6403">
        <w:rPr>
          <w:rFonts w:eastAsia="Times New Roman" w:cs="Calibri"/>
        </w:rPr>
        <w:t xml:space="preserve"> in its su</w:t>
      </w:r>
      <w:r w:rsidR="00AB35CD">
        <w:rPr>
          <w:rFonts w:eastAsia="Times New Roman" w:cs="Calibri"/>
        </w:rPr>
        <w:t>b</w:t>
      </w:r>
      <w:r w:rsidR="005E6403">
        <w:rPr>
          <w:rFonts w:eastAsia="Times New Roman" w:cs="Calibri"/>
        </w:rPr>
        <w:t>grant agreements</w:t>
      </w:r>
      <w:r w:rsidRPr="009F7EAF">
        <w:rPr>
          <w:rFonts w:eastAsia="Times New Roman" w:cs="Calibri"/>
        </w:rPr>
        <w:t xml:space="preserve">, which will include: 1) disbursement of funding </w:t>
      </w:r>
      <w:r w:rsidR="00AB35CD">
        <w:rPr>
          <w:rFonts w:eastAsia="Times New Roman" w:cs="Calibri"/>
        </w:rPr>
        <w:t xml:space="preserve">to subgrantees </w:t>
      </w:r>
      <w:r w:rsidRPr="009F7EAF">
        <w:rPr>
          <w:rFonts w:eastAsia="Times New Roman" w:cs="Calibri"/>
        </w:rPr>
        <w:t xml:space="preserve">on a reimbursable basis, to ensure completion of subsidized activities; 2) claw-back provisions to allow for the recoupment of funds in the case of broken commitments; and 3) timely subgrantee reporting mandates and robust monitoring procedures aligned with </w:t>
      </w:r>
      <w:r w:rsidRPr="00552F6B">
        <w:rPr>
          <w:rFonts w:eastAsia="Times New Roman" w:cs="Calibri"/>
        </w:rPr>
        <w:t>ADECA</w:t>
      </w:r>
      <w:r w:rsidRPr="009F7EAF">
        <w:rPr>
          <w:rFonts w:eastAsia="Times New Roman" w:cs="Calibri"/>
        </w:rPr>
        <w:t>’s reporting schedule to NTIA.</w:t>
      </w:r>
    </w:p>
    <w:p w:rsidRPr="003A1188" w:rsidR="003A1188" w:rsidP="003A1188" w:rsidRDefault="003A1188" w14:paraId="4F2EEA5B" w14:textId="595802F2">
      <w:r>
        <w:t>If an applicant is provisionally awarded one or more projects and the awarded party fails to execute on all commitments—such as when the party is not willing to accept full responsibility of the entire award—ADECA reserves the right to declare the award in default and solicit alternate proposals from incumbents or proposers of nearby project areas.</w:t>
      </w:r>
    </w:p>
    <w:p w:rsidRPr="00EE7B2A" w:rsidR="00FD173D" w:rsidP="008A211A" w:rsidRDefault="00FD173D" w14:paraId="29C56F7D" w14:textId="77777777">
      <w:pPr>
        <w:pStyle w:val="Heading2"/>
        <w:numPr>
          <w:ilvl w:val="1"/>
          <w:numId w:val="22"/>
        </w:numPr>
      </w:pPr>
      <w:bookmarkStart w:name="_Toc146637784" w:id="55"/>
      <w:bookmarkStart w:name="_Toc147151962" w:id="56"/>
      <w:bookmarkStart w:name="_Toc148069317" w:id="57"/>
      <w:bookmarkStart w:name="_Toc150852626" w:id="58"/>
      <w:r>
        <w:t>O</w:t>
      </w:r>
      <w:r w:rsidRPr="00EE7B2A">
        <w:t>verall timeline</w:t>
      </w:r>
      <w:bookmarkEnd w:id="55"/>
      <w:bookmarkEnd w:id="56"/>
      <w:bookmarkEnd w:id="57"/>
      <w:bookmarkEnd w:id="58"/>
    </w:p>
    <w:p w:rsidRPr="00EE7B2A" w:rsidR="00FD173D" w:rsidP="00FD173D" w:rsidRDefault="00FD173D" w14:paraId="1652DBAA" w14:textId="0ECE4D6C">
      <w:r w:rsidRPr="00EE7B2A">
        <w:t xml:space="preserve">The following is a tentative overall timeline for the </w:t>
      </w:r>
      <w:r>
        <w:t>full grant process</w:t>
      </w:r>
      <w:r w:rsidRPr="00EE7B2A">
        <w:t>:</w:t>
      </w:r>
    </w:p>
    <w:p w:rsidRPr="00EE7B2A" w:rsidR="00F53EB3" w:rsidP="00E2373A" w:rsidRDefault="00F53EB3" w14:paraId="012F8E48" w14:textId="7F7FEF36">
      <w:pPr>
        <w:pStyle w:val="Caption"/>
      </w:pPr>
      <w:bookmarkStart w:name="_Toc150852781" w:id="59"/>
      <w:r>
        <w:t xml:space="preserve">Table </w:t>
      </w:r>
      <w:r>
        <w:fldChar w:fldCharType="begin"/>
      </w:r>
      <w:r>
        <w:instrText xml:space="preserve"> SEQ Table \* ARABIC </w:instrText>
      </w:r>
      <w:r>
        <w:fldChar w:fldCharType="separate"/>
      </w:r>
      <w:r w:rsidR="00444AF1">
        <w:rPr>
          <w:noProof/>
        </w:rPr>
        <w:t>6</w:t>
      </w:r>
      <w:r>
        <w:fldChar w:fldCharType="end"/>
      </w:r>
      <w:r>
        <w:t>: Tentative grant process timeline</w:t>
      </w:r>
      <w:bookmarkEnd w:id="59"/>
    </w:p>
    <w:tbl>
      <w:tblPr>
        <w:tblStyle w:val="TableGrid"/>
        <w:tblW w:w="9355" w:type="dxa"/>
        <w:tblLook w:val="04A0" w:firstRow="1" w:lastRow="0" w:firstColumn="1" w:lastColumn="0" w:noHBand="0" w:noVBand="1"/>
      </w:tblPr>
      <w:tblGrid>
        <w:gridCol w:w="5268"/>
        <w:gridCol w:w="4087"/>
      </w:tblGrid>
      <w:tr w:rsidRPr="00CF69D3" w:rsidR="00A10672" w:rsidTr="00A10672" w14:paraId="03E854F6" w14:textId="77777777">
        <w:trPr>
          <w:trHeight w:val="300"/>
          <w:tblHeader/>
        </w:trPr>
        <w:tc>
          <w:tcPr>
            <w:tcW w:w="5268" w:type="dxa"/>
            <w:tcBorders>
              <w:right w:val="single" w:color="FFFFFF" w:themeColor="background1" w:sz="4" w:space="0"/>
            </w:tcBorders>
            <w:shd w:val="clear" w:color="auto" w:fill="0A2458"/>
          </w:tcPr>
          <w:p w:rsidRPr="003A597F" w:rsidR="00A10672" w:rsidP="004B46FE" w:rsidRDefault="00A10672" w14:paraId="03C1C6A7" w14:textId="77777777">
            <w:pPr>
              <w:widowControl/>
              <w:jc w:val="left"/>
            </w:pPr>
            <w:r w:rsidRPr="003A597F">
              <w:t>Process element</w:t>
            </w:r>
          </w:p>
        </w:tc>
        <w:tc>
          <w:tcPr>
            <w:tcW w:w="4087" w:type="dxa"/>
            <w:tcBorders>
              <w:left w:val="single" w:color="FFFFFF" w:themeColor="background1" w:sz="4" w:space="0"/>
              <w:right w:val="single" w:color="FFFFFF" w:themeColor="background1" w:sz="4" w:space="0"/>
            </w:tcBorders>
            <w:shd w:val="clear" w:color="auto" w:fill="0A2458"/>
          </w:tcPr>
          <w:p w:rsidRPr="003A597F" w:rsidR="00A10672" w:rsidP="004B46FE" w:rsidRDefault="00A10672" w14:paraId="3BEEA97E" w14:textId="0DB12DEA">
            <w:pPr>
              <w:widowControl/>
              <w:jc w:val="left"/>
            </w:pPr>
            <w:r>
              <w:t>Tentative</w:t>
            </w:r>
            <w:r w:rsidRPr="003A597F">
              <w:t xml:space="preserve"> date</w:t>
            </w:r>
            <w:r w:rsidR="009865E8">
              <w:t>, subject to change</w:t>
            </w:r>
          </w:p>
        </w:tc>
      </w:tr>
      <w:tr w:rsidRPr="00CF69D3" w:rsidR="00A10672" w:rsidTr="00A10672" w14:paraId="6D6E1DA4" w14:textId="77777777">
        <w:trPr>
          <w:trHeight w:val="300"/>
        </w:trPr>
        <w:tc>
          <w:tcPr>
            <w:tcW w:w="5268" w:type="dxa"/>
          </w:tcPr>
          <w:p w:rsidRPr="003A597F" w:rsidR="00A10672" w:rsidP="00B86496" w:rsidRDefault="00A10672" w14:paraId="03100FFA" w14:textId="77777777">
            <w:pPr>
              <w:widowControl/>
              <w:jc w:val="left"/>
            </w:pPr>
            <w:r w:rsidRPr="003A597F">
              <w:t>Prequalification materials released</w:t>
            </w:r>
          </w:p>
        </w:tc>
        <w:tc>
          <w:tcPr>
            <w:tcW w:w="4087" w:type="dxa"/>
          </w:tcPr>
          <w:p w:rsidR="00A10672" w:rsidP="4F712AD2" w:rsidRDefault="00A10672" w14:paraId="2B19AE25" w14:textId="068ED9B7">
            <w:pPr>
              <w:jc w:val="left"/>
            </w:pPr>
            <w:r>
              <w:t>15 days in advance of opening of Prequalification Phase window for acceptance of prequalification materials</w:t>
            </w:r>
          </w:p>
        </w:tc>
      </w:tr>
      <w:tr w:rsidRPr="00CF69D3" w:rsidR="00A10672" w:rsidTr="00A10672" w14:paraId="66DE534B" w14:textId="77777777">
        <w:trPr>
          <w:trHeight w:val="300"/>
        </w:trPr>
        <w:tc>
          <w:tcPr>
            <w:tcW w:w="5268" w:type="dxa"/>
          </w:tcPr>
          <w:p w:rsidRPr="003A597F" w:rsidR="00A10672" w:rsidP="00B86496" w:rsidRDefault="00A10672" w14:paraId="3474045B" w14:textId="77777777">
            <w:pPr>
              <w:widowControl/>
              <w:jc w:val="left"/>
            </w:pPr>
            <w:r w:rsidRPr="003A597F">
              <w:t>Prequalification workshop/webinar</w:t>
            </w:r>
          </w:p>
        </w:tc>
        <w:tc>
          <w:tcPr>
            <w:tcW w:w="4087" w:type="dxa"/>
            <w:shd w:val="clear" w:color="auto" w:fill="FFFFFF" w:themeFill="background1"/>
          </w:tcPr>
          <w:p w:rsidR="00A10672" w:rsidP="4F712AD2" w:rsidRDefault="00A10672" w14:paraId="7FFE4187" w14:textId="5F1EB65B">
            <w:pPr>
              <w:jc w:val="left"/>
            </w:pPr>
            <w:r>
              <w:t>On or around release of prequalification materials</w:t>
            </w:r>
          </w:p>
        </w:tc>
      </w:tr>
      <w:tr w:rsidRPr="00CF69D3" w:rsidR="00A10672" w:rsidTr="00A10672" w14:paraId="4D79ACE8" w14:textId="77777777">
        <w:trPr>
          <w:trHeight w:val="300"/>
        </w:trPr>
        <w:tc>
          <w:tcPr>
            <w:tcW w:w="5268" w:type="dxa"/>
          </w:tcPr>
          <w:p w:rsidRPr="003A597F" w:rsidR="00A10672" w:rsidP="00B86496" w:rsidRDefault="00A10672" w14:paraId="7A2E53E3" w14:textId="77777777">
            <w:pPr>
              <w:widowControl/>
              <w:jc w:val="left"/>
            </w:pPr>
            <w:r w:rsidRPr="003A597F">
              <w:t>Prequalification responses accepted by ADECA</w:t>
            </w:r>
          </w:p>
        </w:tc>
        <w:tc>
          <w:tcPr>
            <w:tcW w:w="4087" w:type="dxa"/>
          </w:tcPr>
          <w:p w:rsidR="00A10672" w:rsidP="4F712AD2" w:rsidRDefault="00A10672" w14:paraId="14FD0291" w14:textId="16E277AD">
            <w:pPr>
              <w:jc w:val="left"/>
            </w:pPr>
            <w:r>
              <w:t>30 days following opening of window for acceptance of prequalification materials</w:t>
            </w:r>
          </w:p>
        </w:tc>
      </w:tr>
      <w:tr w:rsidRPr="00CF69D3" w:rsidR="00A10672" w:rsidTr="00A10672" w14:paraId="0F8CDF2D" w14:textId="77777777">
        <w:trPr>
          <w:trHeight w:val="300"/>
        </w:trPr>
        <w:tc>
          <w:tcPr>
            <w:tcW w:w="5268" w:type="dxa"/>
          </w:tcPr>
          <w:p w:rsidRPr="003A597F" w:rsidR="00A10672" w:rsidP="00B86496" w:rsidRDefault="00A10672" w14:paraId="4FEB12EE" w14:textId="77777777">
            <w:pPr>
              <w:widowControl/>
              <w:jc w:val="left"/>
            </w:pPr>
            <w:r w:rsidRPr="003A597F">
              <w:t>Review of prequalification materials, including curing as necessary</w:t>
            </w:r>
          </w:p>
        </w:tc>
        <w:tc>
          <w:tcPr>
            <w:tcW w:w="4087" w:type="dxa"/>
          </w:tcPr>
          <w:p w:rsidR="00A10672" w:rsidP="4F712AD2" w:rsidRDefault="00A10672" w14:paraId="25B9D407" w14:textId="71136B29">
            <w:pPr>
              <w:jc w:val="left"/>
            </w:pPr>
            <w:r>
              <w:t>45 days following closing of window for acceptance of prequalification materials</w:t>
            </w:r>
          </w:p>
        </w:tc>
      </w:tr>
      <w:tr w:rsidRPr="00CF69D3" w:rsidR="00A10672" w:rsidTr="00A10672" w14:paraId="6FCA79BF" w14:textId="77777777">
        <w:trPr>
          <w:trHeight w:val="300"/>
        </w:trPr>
        <w:tc>
          <w:tcPr>
            <w:tcW w:w="5268" w:type="dxa"/>
          </w:tcPr>
          <w:p w:rsidRPr="003A597F" w:rsidR="00A10672" w:rsidP="00B86496" w:rsidRDefault="00A10672" w14:paraId="2A5A85D5" w14:textId="77777777">
            <w:pPr>
              <w:widowControl/>
              <w:jc w:val="left"/>
            </w:pPr>
            <w:r w:rsidRPr="003A597F">
              <w:t>Announcement of prequalification determinations</w:t>
            </w:r>
          </w:p>
        </w:tc>
        <w:tc>
          <w:tcPr>
            <w:tcW w:w="4087" w:type="dxa"/>
          </w:tcPr>
          <w:p w:rsidR="00A10672" w:rsidP="4F712AD2" w:rsidRDefault="00A10672" w14:paraId="1D22BEA4" w14:textId="197237D7">
            <w:pPr>
              <w:jc w:val="left"/>
            </w:pPr>
            <w:r>
              <w:t>Within 60 days of closing of window for acceptance of prequalification materials</w:t>
            </w:r>
          </w:p>
        </w:tc>
      </w:tr>
      <w:tr w:rsidRPr="00CF69D3" w:rsidR="00A10672" w:rsidTr="00A10672" w14:paraId="7261EF59" w14:textId="77777777">
        <w:trPr>
          <w:trHeight w:val="300"/>
        </w:trPr>
        <w:tc>
          <w:tcPr>
            <w:tcW w:w="5268" w:type="dxa"/>
          </w:tcPr>
          <w:p w:rsidR="00A10672" w:rsidP="4F712AD2" w:rsidRDefault="00A10672" w14:paraId="60EF3093" w14:textId="734F8BD9">
            <w:pPr>
              <w:jc w:val="left"/>
            </w:pPr>
            <w:r>
              <w:t>BEAD grant application materials, including eligible locations, released</w:t>
            </w:r>
          </w:p>
        </w:tc>
        <w:tc>
          <w:tcPr>
            <w:tcW w:w="4087" w:type="dxa"/>
          </w:tcPr>
          <w:p w:rsidR="00A10672" w:rsidP="4F712AD2" w:rsidRDefault="00A10672" w14:paraId="11DCB395" w14:textId="1EFDEC38">
            <w:pPr>
              <w:jc w:val="left"/>
            </w:pPr>
            <w:r>
              <w:t>Within 30 days following approval by NTIA of Initial Proposal Volume 2</w:t>
            </w:r>
          </w:p>
        </w:tc>
      </w:tr>
      <w:tr w:rsidRPr="00CF69D3" w:rsidR="00A10672" w:rsidTr="00A10672" w14:paraId="193E76F2" w14:textId="77777777">
        <w:trPr>
          <w:trHeight w:val="300"/>
        </w:trPr>
        <w:tc>
          <w:tcPr>
            <w:tcW w:w="5268" w:type="dxa"/>
          </w:tcPr>
          <w:p w:rsidR="00A10672" w:rsidP="0099404C" w:rsidRDefault="00A10672" w14:paraId="5C758DEB" w14:textId="77777777">
            <w:pPr>
              <w:widowControl/>
              <w:jc w:val="left"/>
            </w:pPr>
            <w:r>
              <w:t>BEAD grant application workshop/webinar</w:t>
            </w:r>
          </w:p>
        </w:tc>
        <w:tc>
          <w:tcPr>
            <w:tcW w:w="4087" w:type="dxa"/>
          </w:tcPr>
          <w:p w:rsidR="00A10672" w:rsidP="0099404C" w:rsidRDefault="00A10672" w14:paraId="67F18430" w14:textId="279113A8">
            <w:pPr>
              <w:widowControl/>
              <w:jc w:val="left"/>
            </w:pPr>
            <w:r>
              <w:t>On or around the date of release of application materials</w:t>
            </w:r>
          </w:p>
        </w:tc>
      </w:tr>
      <w:tr w:rsidRPr="00CF69D3" w:rsidR="00A10672" w:rsidTr="00A10672" w14:paraId="626DF739" w14:textId="77777777">
        <w:trPr>
          <w:trHeight w:val="300"/>
        </w:trPr>
        <w:tc>
          <w:tcPr>
            <w:tcW w:w="5268" w:type="dxa"/>
          </w:tcPr>
          <w:p w:rsidRPr="003A597F" w:rsidR="00A10672" w:rsidP="00B86496" w:rsidRDefault="00A10672" w14:paraId="1F2C8DFA" w14:textId="28085B4E">
            <w:pPr>
              <w:widowControl/>
              <w:jc w:val="left"/>
            </w:pPr>
            <w:r w:rsidRPr="003A597F">
              <w:t>BEAD grant applications accepted by ADECA</w:t>
            </w:r>
          </w:p>
        </w:tc>
        <w:tc>
          <w:tcPr>
            <w:tcW w:w="4087" w:type="dxa"/>
          </w:tcPr>
          <w:p w:rsidR="00A10672" w:rsidDel="4F712AD2" w:rsidP="4F712AD2" w:rsidRDefault="00A10672" w14:paraId="6B592CDF" w14:textId="6B81C5F0">
            <w:pPr>
              <w:jc w:val="left"/>
            </w:pPr>
            <w:r>
              <w:t>45 days following release of application materials</w:t>
            </w:r>
          </w:p>
        </w:tc>
      </w:tr>
      <w:tr w:rsidRPr="00CF69D3" w:rsidR="00A10672" w:rsidTr="00A10672" w14:paraId="3CC717B2" w14:textId="77777777">
        <w:trPr>
          <w:trHeight w:val="300"/>
        </w:trPr>
        <w:tc>
          <w:tcPr>
            <w:tcW w:w="5268" w:type="dxa"/>
          </w:tcPr>
          <w:p w:rsidRPr="003A597F" w:rsidR="00A10672" w:rsidP="00B86496" w:rsidRDefault="00A10672" w14:paraId="2FB22757" w14:textId="77777777">
            <w:pPr>
              <w:widowControl/>
              <w:jc w:val="left"/>
            </w:pPr>
            <w:r w:rsidRPr="003A597F">
              <w:t>Review of BEAD grant application materials, including curing as necessary</w:t>
            </w:r>
          </w:p>
        </w:tc>
        <w:tc>
          <w:tcPr>
            <w:tcW w:w="4087" w:type="dxa"/>
          </w:tcPr>
          <w:p w:rsidR="00A10672" w:rsidP="4F712AD2" w:rsidRDefault="00A10672" w14:paraId="5BB33E20" w14:textId="115D251B">
            <w:pPr>
              <w:jc w:val="left"/>
            </w:pPr>
            <w:r>
              <w:t>45 days following closing of application window for receipt of applications</w:t>
            </w:r>
          </w:p>
          <w:p w:rsidR="00A10672" w:rsidP="4F712AD2" w:rsidRDefault="00A10672" w14:paraId="6E81D73A" w14:textId="057A7B1A">
            <w:pPr>
              <w:jc w:val="left"/>
            </w:pPr>
          </w:p>
        </w:tc>
      </w:tr>
      <w:tr w:rsidRPr="00CF69D3" w:rsidR="00A10672" w:rsidTr="00A10672" w14:paraId="7B0E0F86" w14:textId="77777777">
        <w:trPr>
          <w:trHeight w:val="300"/>
        </w:trPr>
        <w:tc>
          <w:tcPr>
            <w:tcW w:w="5268" w:type="dxa"/>
          </w:tcPr>
          <w:p w:rsidRPr="003A597F" w:rsidR="00A10672" w:rsidP="00B86496" w:rsidRDefault="00A10672" w14:paraId="3CE4D165" w14:textId="77777777">
            <w:pPr>
              <w:widowControl/>
              <w:jc w:val="left"/>
            </w:pPr>
            <w:r w:rsidRPr="003A597F">
              <w:t>Negotiation process and/or second phase grant window</w:t>
            </w:r>
          </w:p>
        </w:tc>
        <w:tc>
          <w:tcPr>
            <w:tcW w:w="4087" w:type="dxa"/>
          </w:tcPr>
          <w:p w:rsidR="00A10672" w:rsidP="4F712AD2" w:rsidRDefault="00A10672" w14:paraId="379AF285" w14:textId="188960ED">
            <w:pPr>
              <w:jc w:val="left"/>
            </w:pPr>
            <w:r>
              <w:t>Within 90-120 days following closing of window for receipt of applications</w:t>
            </w:r>
          </w:p>
        </w:tc>
      </w:tr>
      <w:tr w:rsidRPr="00CF69D3" w:rsidR="00A10672" w:rsidTr="00A10672" w14:paraId="59A34185" w14:textId="77777777">
        <w:trPr>
          <w:trHeight w:val="300"/>
        </w:trPr>
        <w:tc>
          <w:tcPr>
            <w:tcW w:w="5268" w:type="dxa"/>
          </w:tcPr>
          <w:p w:rsidRPr="003A597F" w:rsidR="00A10672" w:rsidP="00B86496" w:rsidRDefault="00A10672" w14:paraId="65766FAE" w14:textId="77777777">
            <w:pPr>
              <w:widowControl/>
              <w:jc w:val="left"/>
            </w:pPr>
            <w:r w:rsidRPr="003A597F">
              <w:t>Review of BEAD grant application materials, including curing as necessary</w:t>
            </w:r>
          </w:p>
        </w:tc>
        <w:tc>
          <w:tcPr>
            <w:tcW w:w="4087" w:type="dxa"/>
          </w:tcPr>
          <w:p w:rsidR="00A10672" w:rsidP="4F712AD2" w:rsidRDefault="00A10672" w14:paraId="1058BE47" w14:textId="2BAFFFC8">
            <w:pPr>
              <w:jc w:val="left"/>
            </w:pPr>
            <w:r>
              <w:t>Within 90 days following closing of window for receipt of applications, as necessary</w:t>
            </w:r>
          </w:p>
        </w:tc>
      </w:tr>
      <w:tr w:rsidRPr="00CF69D3" w:rsidR="00A10672" w:rsidTr="00A10672" w14:paraId="2ED0E2C9" w14:textId="77777777">
        <w:trPr>
          <w:trHeight w:val="300"/>
        </w:trPr>
        <w:tc>
          <w:tcPr>
            <w:tcW w:w="5268" w:type="dxa"/>
          </w:tcPr>
          <w:p w:rsidRPr="003A597F" w:rsidR="00A10672" w:rsidP="00B86496" w:rsidRDefault="00A10672" w14:paraId="67157005" w14:textId="77777777">
            <w:pPr>
              <w:widowControl/>
              <w:jc w:val="left"/>
            </w:pPr>
            <w:r w:rsidRPr="003A597F">
              <w:t>Announcement of provisional BEAD determinations, subject to NTIA approval of the Final Proposal</w:t>
            </w:r>
          </w:p>
        </w:tc>
        <w:tc>
          <w:tcPr>
            <w:tcW w:w="4087" w:type="dxa"/>
          </w:tcPr>
          <w:p w:rsidRPr="00E2373A" w:rsidR="00A10672" w:rsidP="00B86496" w:rsidRDefault="00A10672" w14:paraId="78CBE099" w14:textId="76C170F3">
            <w:pPr>
              <w:widowControl/>
              <w:jc w:val="left"/>
            </w:pPr>
            <w:r>
              <w:t>Within 150 days following initiation of the Scoring Phase</w:t>
            </w:r>
          </w:p>
          <w:p w:rsidRPr="00E2373A" w:rsidR="00A10672" w:rsidP="00B86496" w:rsidRDefault="00A10672" w14:paraId="3C774E74" w14:textId="31AF8D2F">
            <w:pPr>
              <w:widowControl/>
              <w:jc w:val="left"/>
              <w:rPr>
                <w:highlight w:val="yellow"/>
              </w:rPr>
            </w:pPr>
          </w:p>
        </w:tc>
      </w:tr>
      <w:tr w:rsidRPr="00CF69D3" w:rsidR="00A10672" w:rsidTr="00A10672" w14:paraId="73F8AFEA" w14:textId="77777777">
        <w:trPr>
          <w:trHeight w:val="300"/>
        </w:trPr>
        <w:tc>
          <w:tcPr>
            <w:tcW w:w="5268" w:type="dxa"/>
          </w:tcPr>
          <w:p w:rsidRPr="00E2373A" w:rsidR="00A10672" w:rsidP="00B86496" w:rsidRDefault="00A10672" w14:paraId="0DA8A0BE" w14:textId="4DB34B36">
            <w:pPr>
              <w:jc w:val="left"/>
            </w:pPr>
            <w:r w:rsidRPr="00E2373A">
              <w:t>30-day public comment period</w:t>
            </w:r>
          </w:p>
        </w:tc>
        <w:tc>
          <w:tcPr>
            <w:tcW w:w="4087" w:type="dxa"/>
          </w:tcPr>
          <w:p w:rsidRPr="00B86496" w:rsidR="00A10672" w:rsidP="00B86496" w:rsidRDefault="00A10672" w14:paraId="192B636E" w14:textId="3B588218">
            <w:pPr>
              <w:jc w:val="left"/>
            </w:pPr>
            <w:r>
              <w:t>Immediately following announcement of provisional BEAD determinations</w:t>
            </w:r>
          </w:p>
        </w:tc>
      </w:tr>
      <w:tr w:rsidRPr="00CF69D3" w:rsidR="00A10672" w:rsidTr="00A10672" w14:paraId="68C9C3AF" w14:textId="77777777">
        <w:trPr>
          <w:trHeight w:val="300"/>
        </w:trPr>
        <w:tc>
          <w:tcPr>
            <w:tcW w:w="5268" w:type="dxa"/>
          </w:tcPr>
          <w:p w:rsidRPr="00B86496" w:rsidR="00A10672" w:rsidP="00B86496" w:rsidRDefault="00A10672" w14:paraId="1E98F8DC" w14:textId="77777777">
            <w:pPr>
              <w:widowControl/>
              <w:jc w:val="left"/>
            </w:pPr>
            <w:r w:rsidRPr="003A597F">
              <w:t>Submission to NTIA of the Final Proposal</w:t>
            </w:r>
          </w:p>
        </w:tc>
        <w:tc>
          <w:tcPr>
            <w:tcW w:w="4087" w:type="dxa"/>
          </w:tcPr>
          <w:p w:rsidRPr="00B86496" w:rsidR="00A10672" w:rsidP="00B86496" w:rsidRDefault="00A10672" w14:paraId="6D8FE078" w14:textId="02952312">
            <w:pPr>
              <w:widowControl/>
              <w:jc w:val="left"/>
            </w:pPr>
            <w:r>
              <w:t>Within 365 days of approval by NTIA of the Initial Proposal Volume 2</w:t>
            </w:r>
          </w:p>
        </w:tc>
      </w:tr>
    </w:tbl>
    <w:p w:rsidRPr="00EE7B2A" w:rsidR="00FD173D" w:rsidP="008A211A" w:rsidRDefault="00FD173D" w14:paraId="02641DED" w14:textId="77777777">
      <w:pPr>
        <w:pStyle w:val="Heading2"/>
        <w:numPr>
          <w:ilvl w:val="1"/>
          <w:numId w:val="22"/>
        </w:numPr>
      </w:pPr>
      <w:bookmarkStart w:name="_Toc146637785" w:id="60"/>
      <w:bookmarkStart w:name="_Ref146637937" w:id="61"/>
      <w:bookmarkStart w:name="_Toc147151963" w:id="62"/>
      <w:bookmarkStart w:name="_Ref147152922" w:id="63"/>
      <w:bookmarkStart w:name="_Toc148069318" w:id="64"/>
      <w:bookmarkStart w:name="_Ref148340927" w:id="65"/>
      <w:bookmarkStart w:name="_Toc150852627" w:id="66"/>
      <w:bookmarkEnd w:id="35"/>
      <w:r w:rsidRPr="00EE7B2A">
        <w:t>Scoring methodology</w:t>
      </w:r>
      <w:bookmarkEnd w:id="60"/>
      <w:bookmarkEnd w:id="61"/>
      <w:bookmarkEnd w:id="62"/>
      <w:bookmarkEnd w:id="63"/>
      <w:bookmarkEnd w:id="64"/>
      <w:bookmarkEnd w:id="65"/>
      <w:bookmarkEnd w:id="66"/>
    </w:p>
    <w:p w:rsidRPr="00EE7B2A" w:rsidR="00FD173D" w:rsidP="008A211A" w:rsidRDefault="00FD173D" w14:paraId="55DCCA8A" w14:textId="77777777">
      <w:pPr>
        <w:pStyle w:val="Heading3"/>
        <w:numPr>
          <w:ilvl w:val="2"/>
          <w:numId w:val="22"/>
        </w:numPr>
      </w:pPr>
      <w:bookmarkStart w:name="_Toc146637786" w:id="67"/>
      <w:bookmarkStart w:name="_Toc147151964" w:id="68"/>
      <w:bookmarkStart w:name="_Toc148069319" w:id="69"/>
      <w:bookmarkStart w:name="_Toc150852628" w:id="70"/>
      <w:r w:rsidRPr="00EE7B2A">
        <w:t>Prequalification Phase</w:t>
      </w:r>
      <w:bookmarkEnd w:id="67"/>
      <w:bookmarkEnd w:id="68"/>
      <w:bookmarkEnd w:id="69"/>
      <w:bookmarkEnd w:id="70"/>
    </w:p>
    <w:p w:rsidRPr="00EE7B2A" w:rsidR="00FD173D" w:rsidP="00FD173D" w:rsidRDefault="00FD173D" w14:paraId="1252E7E1" w14:textId="77777777">
      <w:r>
        <w:t>Alabama</w:t>
      </w:r>
      <w:r w:rsidRPr="00EE7B2A">
        <w:t xml:space="preserve">’s BEAD application materials will specify the materials and certifications that are required for prequalification, together with the format and date for submission. The materials and certifications will be focused on materials that address financial, managerial, and technical qualifications as well as experience and capacity. </w:t>
      </w:r>
    </w:p>
    <w:p w:rsidRPr="00EE7B2A" w:rsidR="00FD173D" w:rsidP="00FD173D" w:rsidRDefault="00FD173D" w14:paraId="119661C2" w14:textId="084A0932">
      <w:r w:rsidRPr="00EE7B2A">
        <w:t xml:space="preserve">Other than materials regarding Fair Labor Standards, the materials submitted during the Prequalification Phase will not be scored but will rather be evaluated to determine whether or not the submitting entity is qualified to participate in the process. Materials regarding Fair Labor Standards will be evaluated for prequalification purposes and </w:t>
      </w:r>
      <w:r w:rsidR="00B43076">
        <w:t xml:space="preserve">also will be considered during the Scoring Phase if the applicant </w:t>
      </w:r>
      <w:r w:rsidR="00A938DA">
        <w:t>passes the Prequalification Phase</w:t>
      </w:r>
      <w:r w:rsidRPr="00EE7B2A">
        <w:t>, per the scoring rubric described below.</w:t>
      </w:r>
    </w:p>
    <w:p w:rsidRPr="00EE7B2A" w:rsidR="00FD173D" w:rsidP="00FD173D" w:rsidRDefault="00FD173D" w14:paraId="5130F9BC" w14:textId="749FF7F3">
      <w:r w:rsidRPr="00EE7B2A">
        <w:t xml:space="preserve">In the event reviewers find the data submitted to be insufficient or unclear, </w:t>
      </w:r>
      <w:r>
        <w:t>ADECA</w:t>
      </w:r>
      <w:r w:rsidRPr="00EE7B2A">
        <w:t xml:space="preserve"> may choose to cure submissions by providing applicants with </w:t>
      </w:r>
      <w:r w:rsidR="00A64951">
        <w:t xml:space="preserve">up to 5 business days </w:t>
      </w:r>
      <w:r w:rsidRPr="00EE7B2A">
        <w:t>to clarify or submit additional materials. All requests for clarification or additional submissions will be made in writing and all responses will be required to be in writing, with full documentation.</w:t>
      </w:r>
    </w:p>
    <w:p w:rsidRPr="00EE7B2A" w:rsidR="00FD173D" w:rsidP="00FD173D" w:rsidRDefault="00FD173D" w14:paraId="5EE98C38" w14:textId="77777777">
      <w:r w:rsidRPr="00EE7B2A">
        <w:t xml:space="preserve">All entities whose prequalification materials are determined to be sufficient will be qualified by </w:t>
      </w:r>
      <w:r>
        <w:t>ADECA</w:t>
      </w:r>
      <w:r w:rsidRPr="00EE7B2A">
        <w:t xml:space="preserve"> to proceed to the Scoring Phase of the program and submit proposals. </w:t>
      </w:r>
    </w:p>
    <w:p w:rsidRPr="00EE7B2A" w:rsidR="00FD173D" w:rsidP="00FD173D" w:rsidRDefault="00FD173D" w14:paraId="40B521E7" w14:textId="7336D6A8">
      <w:r w:rsidRPr="00EE7B2A">
        <w:t xml:space="preserve">In the Prequalification Phase, </w:t>
      </w:r>
      <w:r>
        <w:t>ADECA</w:t>
      </w:r>
      <w:r w:rsidRPr="00EE7B2A">
        <w:t xml:space="preserve"> will require the following materials for purposes of determining whether prospective subgrantees are qualified to receive awards in the event their applications score accordingly:</w:t>
      </w:r>
    </w:p>
    <w:p w:rsidRPr="00EE7B2A" w:rsidR="00FD173D" w:rsidP="005F25A2" w:rsidRDefault="00FD173D" w14:paraId="7FE2616C" w14:textId="77777777">
      <w:pPr>
        <w:keepNext/>
      </w:pPr>
      <w:r w:rsidRPr="00EE7B2A">
        <w:t>Financial capability</w:t>
      </w:r>
    </w:p>
    <w:p w:rsidRPr="00EE7B2A" w:rsidR="00FD173D" w:rsidP="006F78D2" w:rsidRDefault="00AA0AC9" w14:paraId="2AC06984" w14:textId="627621E7">
      <w:pPr>
        <w:pStyle w:val="ListParagraph"/>
        <w:numPr>
          <w:ilvl w:val="0"/>
          <w:numId w:val="49"/>
        </w:numPr>
        <w:spacing w:after="200"/>
      </w:pPr>
      <w:r>
        <w:t>Financial statements from the prior fiscal year that are audited by an independent certified public accountant</w:t>
      </w:r>
    </w:p>
    <w:p w:rsidR="00021D1E" w:rsidP="006F78D2" w:rsidRDefault="00BF55B4" w14:paraId="40EC4F86" w14:textId="11C6AA7C">
      <w:pPr>
        <w:pStyle w:val="ListParagraph"/>
        <w:numPr>
          <w:ilvl w:val="0"/>
          <w:numId w:val="49"/>
        </w:numPr>
        <w:spacing w:after="200"/>
      </w:pPr>
      <w:r>
        <w:t xml:space="preserve">If the </w:t>
      </w:r>
      <w:r w:rsidR="00B87199">
        <w:t>applicant</w:t>
      </w:r>
      <w:r>
        <w:t xml:space="preserve"> has not been </w:t>
      </w:r>
      <w:r w:rsidR="00DC2980">
        <w:t xml:space="preserve">audited during the ordinary course </w:t>
      </w:r>
      <w:r w:rsidR="008D450C">
        <w:t xml:space="preserve">of business, in lieu of submitting audited financial statements, it must submit unaudited financial statements from the prior fiscal year and certify that it will provide financial statements from the prior fiscal year that are audited by an independent certified public accountant by a deadline specified by ADECA </w:t>
      </w:r>
    </w:p>
    <w:p w:rsidRPr="00EE7B2A" w:rsidR="00FD173D" w:rsidP="006F78D2" w:rsidRDefault="00D54F1F" w14:paraId="329CBB67" w14:textId="5BB27A24">
      <w:pPr>
        <w:pStyle w:val="ListParagraph"/>
        <w:numPr>
          <w:ilvl w:val="0"/>
          <w:numId w:val="49"/>
        </w:numPr>
        <w:spacing w:after="200"/>
      </w:pPr>
      <w:r>
        <w:t>A s</w:t>
      </w:r>
      <w:r w:rsidRPr="00EE7B2A" w:rsidR="00FD173D">
        <w:t>tatement signed by an executive with the authority to bind the company that certifies the financial qualifications</w:t>
      </w:r>
    </w:p>
    <w:p w:rsidRPr="00EE7B2A" w:rsidR="00FD173D" w:rsidP="00CB1C4F" w:rsidRDefault="00FD173D" w14:paraId="41CE3F13" w14:textId="77777777">
      <w:pPr>
        <w:keepNext/>
      </w:pPr>
      <w:r w:rsidRPr="00EE7B2A">
        <w:t>Managerial capability</w:t>
      </w:r>
    </w:p>
    <w:p w:rsidRPr="00EE7B2A" w:rsidR="00FD173D" w:rsidP="006F78D2" w:rsidRDefault="00FD173D" w14:paraId="2056A1E2" w14:textId="77777777">
      <w:pPr>
        <w:pStyle w:val="ListParagraph"/>
        <w:numPr>
          <w:ilvl w:val="0"/>
          <w:numId w:val="50"/>
        </w:numPr>
        <w:spacing w:after="200"/>
      </w:pPr>
      <w:r w:rsidRPr="00EE7B2A">
        <w:t>Resumes of relevant management staff that cumulatively demonstrate a minimum of five years of experience with broadband network design, construction, maintenance, and operations</w:t>
      </w:r>
    </w:p>
    <w:p w:rsidRPr="00EE7B2A" w:rsidR="00FD173D" w:rsidP="006F78D2" w:rsidRDefault="00D54F1F" w14:paraId="368D16BF" w14:textId="4FAAA321">
      <w:pPr>
        <w:pStyle w:val="ListParagraph"/>
        <w:numPr>
          <w:ilvl w:val="0"/>
          <w:numId w:val="50"/>
        </w:numPr>
        <w:spacing w:after="200"/>
      </w:pPr>
      <w:r>
        <w:t>An o</w:t>
      </w:r>
      <w:r w:rsidRPr="00EE7B2A" w:rsidR="00FD173D">
        <w:t>rganizational chart and a narrative detailing the applicant’s processes and structure to manage large projects</w:t>
      </w:r>
    </w:p>
    <w:p w:rsidRPr="00EE7B2A" w:rsidR="00FD173D" w:rsidP="00CB1C4F" w:rsidRDefault="00FD173D" w14:paraId="5DAE6757" w14:textId="77777777">
      <w:pPr>
        <w:keepNext/>
      </w:pPr>
      <w:r w:rsidRPr="00EE7B2A">
        <w:t>Technical capability</w:t>
      </w:r>
    </w:p>
    <w:p w:rsidRPr="00EE7B2A" w:rsidR="00FD173D" w:rsidP="006F78D2" w:rsidRDefault="00FD173D" w14:paraId="06BF592A" w14:textId="7C13B849">
      <w:pPr>
        <w:pStyle w:val="ListParagraph"/>
        <w:numPr>
          <w:ilvl w:val="0"/>
          <w:numId w:val="51"/>
        </w:numPr>
        <w:spacing w:after="200"/>
      </w:pPr>
      <w:r w:rsidRPr="00EE7B2A">
        <w:t>If not submitted as part of the managerial capability requirements, applicants must provide the resumes of an employed C</w:t>
      </w:r>
      <w:r w:rsidR="00D54F1F">
        <w:t>hief Technology Officer</w:t>
      </w:r>
      <w:r w:rsidRPr="00EE7B2A">
        <w:t xml:space="preserve"> </w:t>
      </w:r>
      <w:r w:rsidR="00B60F89">
        <w:t xml:space="preserve">(or equivalent) </w:t>
      </w:r>
      <w:r w:rsidRPr="00EE7B2A">
        <w:t>and contractor oversight team with the relevant certifications (both management and non-management) for deployment projects as mandated by state and federal law</w:t>
      </w:r>
    </w:p>
    <w:p w:rsidRPr="00EE7B2A" w:rsidR="00FD173D" w:rsidP="006F78D2" w:rsidRDefault="00FD173D" w14:paraId="75CC4A97" w14:textId="2BCF80D5">
      <w:pPr>
        <w:pStyle w:val="ListParagraph"/>
        <w:numPr>
          <w:ilvl w:val="0"/>
          <w:numId w:val="51"/>
        </w:numPr>
        <w:spacing w:after="200"/>
      </w:pPr>
      <w:r w:rsidRPr="00EE7B2A">
        <w:t>Certification that</w:t>
      </w:r>
      <w:r w:rsidR="0056609D">
        <w:t>,</w:t>
      </w:r>
      <w:r w:rsidRPr="00EE7B2A">
        <w:t xml:space="preserve"> if the applicant chooses to contract resources, all contracted resources will have the relevant and necessary skills</w:t>
      </w:r>
    </w:p>
    <w:p w:rsidRPr="00EE7B2A" w:rsidR="00FD173D" w:rsidP="00DE2D2C" w:rsidRDefault="00FD173D" w14:paraId="395674BF" w14:textId="77777777">
      <w:pPr>
        <w:keepNext/>
      </w:pPr>
      <w:r w:rsidRPr="00EE7B2A">
        <w:t>Operational capability</w:t>
      </w:r>
    </w:p>
    <w:p w:rsidRPr="00EE7B2A" w:rsidR="00FD173D" w:rsidP="006F78D2" w:rsidRDefault="00FD173D" w14:paraId="44C9A0D3" w14:textId="5914EABE">
      <w:pPr>
        <w:pStyle w:val="ListParagraph"/>
        <w:numPr>
          <w:ilvl w:val="0"/>
          <w:numId w:val="53"/>
        </w:numPr>
        <w:spacing w:after="200"/>
        <w:rPr>
          <w:b/>
          <w:bCs/>
        </w:rPr>
      </w:pPr>
      <w:r w:rsidRPr="00EE7B2A">
        <w:t xml:space="preserve">Certification that </w:t>
      </w:r>
      <w:r w:rsidR="00771423">
        <w:t xml:space="preserve">the </w:t>
      </w:r>
      <w:r w:rsidRPr="00EE7B2A">
        <w:t>applicant ha</w:t>
      </w:r>
      <w:r w:rsidR="002D5801">
        <w:t>s</w:t>
      </w:r>
      <w:r w:rsidRPr="00EE7B2A">
        <w:t xml:space="preserve"> provided a voice, broadband, and/or electric transmission or distribution service for at least two consecutive years or that </w:t>
      </w:r>
      <w:r w:rsidR="00897001">
        <w:t>it is</w:t>
      </w:r>
      <w:r w:rsidRPr="00EE7B2A">
        <w:t xml:space="preserve"> a wholly owned subsidiary of such an entity and attest to and specify the number of years the applicant or its parent company has been operating</w:t>
      </w:r>
    </w:p>
    <w:p w:rsidRPr="00EE7B2A" w:rsidR="00FD173D" w:rsidP="006F78D2" w:rsidRDefault="00FD173D" w14:paraId="062B858A" w14:textId="1BC0F6E0">
      <w:pPr>
        <w:pStyle w:val="ListParagraph"/>
        <w:numPr>
          <w:ilvl w:val="0"/>
          <w:numId w:val="53"/>
        </w:numPr>
        <w:spacing w:after="200"/>
      </w:pPr>
      <w:r w:rsidRPr="00EE7B2A">
        <w:t>If the applicant has provided a voice and/or broadband service, certification that the applica</w:t>
      </w:r>
      <w:r w:rsidR="002536D2">
        <w:t>nt</w:t>
      </w:r>
      <w:r w:rsidRPr="00EE7B2A">
        <w:t xml:space="preserve"> has </w:t>
      </w:r>
      <w:r w:rsidR="00C52386">
        <w:t>timely</w:t>
      </w:r>
      <w:r w:rsidRPr="00EE7B2A">
        <w:t xml:space="preserve"> filed FCC Form 477s and Broadband DATA Act submissions, if applicable, as required during this time period, and otherwise has complied with FCC requirements</w:t>
      </w:r>
    </w:p>
    <w:p w:rsidRPr="00EE7B2A" w:rsidR="00FD173D" w:rsidP="006F78D2" w:rsidRDefault="00FD173D" w14:paraId="4EAEAC2A" w14:textId="77777777">
      <w:pPr>
        <w:pStyle w:val="ListParagraph"/>
        <w:numPr>
          <w:ilvl w:val="0"/>
          <w:numId w:val="53"/>
        </w:numPr>
        <w:spacing w:after="200"/>
      </w:pPr>
      <w:r w:rsidRPr="00EE7B2A">
        <w:t>If the applicant has not provided broadband service and has operated only an electric transmission or distribution service, the applicant will be asked to submit qualified operating or financial reports, that it has filed with the relevant financial institution for the relevant time period along with a certification that the submission is a true and accurate copy of the reports that were provided to the relevant financial institution</w:t>
      </w:r>
    </w:p>
    <w:p w:rsidRPr="00EE7B2A" w:rsidR="00FD173D" w:rsidP="00DE2D2C" w:rsidRDefault="00FD173D" w14:paraId="1E0FA778" w14:textId="0A6207D4">
      <w:pPr>
        <w:keepNext/>
      </w:pPr>
      <w:r w:rsidRPr="00EE7B2A">
        <w:t>Legal compliance</w:t>
      </w:r>
    </w:p>
    <w:p w:rsidRPr="00EE7B2A" w:rsidR="00FD173D" w:rsidP="006F78D2" w:rsidRDefault="00FD173D" w14:paraId="599862C3" w14:textId="77777777">
      <w:pPr>
        <w:pStyle w:val="ListParagraph"/>
        <w:numPr>
          <w:ilvl w:val="0"/>
          <w:numId w:val="52"/>
        </w:numPr>
        <w:spacing w:after="200"/>
      </w:pPr>
      <w:r w:rsidRPr="00EE7B2A">
        <w:t>A legal opinion from the applicant’s legal counsel attesting to compliance and detailing any violations or pending court proceedings</w:t>
      </w:r>
    </w:p>
    <w:p w:rsidRPr="00EE7B2A" w:rsidR="00FD173D" w:rsidP="006F78D2" w:rsidRDefault="00FD173D" w14:paraId="4611A736" w14:textId="77777777">
      <w:pPr>
        <w:pStyle w:val="ListParagraph"/>
        <w:numPr>
          <w:ilvl w:val="0"/>
          <w:numId w:val="52"/>
        </w:numPr>
        <w:spacing w:after="200"/>
      </w:pPr>
      <w:r w:rsidRPr="00EE7B2A">
        <w:t>Certification that the applicant will permit workers on BEAD deployment projects to create worker-led health and safety committees that management will meet with upon reasonable request</w:t>
      </w:r>
    </w:p>
    <w:p w:rsidRPr="00EE7B2A" w:rsidR="00FD173D" w:rsidP="006F78D2" w:rsidRDefault="00FD173D" w14:paraId="2E488A53" w14:textId="77777777">
      <w:pPr>
        <w:pStyle w:val="ListParagraph"/>
        <w:numPr>
          <w:ilvl w:val="0"/>
          <w:numId w:val="52"/>
        </w:numPr>
        <w:spacing w:after="200"/>
      </w:pPr>
      <w:r w:rsidRPr="00EE7B2A">
        <w:t>Ownership information consistent with the requirements set forth in 47 C.F.R. § 1.2112(a)(1)-(7)</w:t>
      </w:r>
    </w:p>
    <w:p w:rsidRPr="00EE7B2A" w:rsidR="00FD173D" w:rsidP="00DE2D2C" w:rsidRDefault="00FD173D" w14:paraId="2FEF6579" w14:textId="77777777">
      <w:pPr>
        <w:keepNext/>
        <w:tabs>
          <w:tab w:val="left" w:pos="1700"/>
        </w:tabs>
      </w:pPr>
      <w:r w:rsidRPr="00EE7B2A">
        <w:t>Cybersecurity compliance</w:t>
      </w:r>
    </w:p>
    <w:p w:rsidRPr="00EE7B2A" w:rsidR="00FD173D" w:rsidP="006F78D2" w:rsidRDefault="00FD173D" w14:paraId="0E14AC33" w14:textId="77777777">
      <w:pPr>
        <w:pStyle w:val="ListParagraph"/>
        <w:numPr>
          <w:ilvl w:val="0"/>
          <w:numId w:val="54"/>
        </w:numPr>
        <w:spacing w:after="200"/>
      </w:pPr>
      <w:r w:rsidRPr="00EE7B2A">
        <w:t>Certification that the applicant has a cybersecurity risk management plan in place that is either: (a) operational, if the applicant is providing service prior to the award of the grant; or (b) ready to be operationalized upon providing service, if the applicant is not yet providing service prior to the grant award</w:t>
      </w:r>
    </w:p>
    <w:p w:rsidRPr="00EE7B2A" w:rsidR="00FD173D" w:rsidP="006F78D2" w:rsidRDefault="00FD173D" w14:paraId="4A1EE0D1" w14:textId="7628309F">
      <w:pPr>
        <w:pStyle w:val="ListParagraph"/>
        <w:numPr>
          <w:ilvl w:val="0"/>
          <w:numId w:val="54"/>
        </w:numPr>
        <w:spacing w:after="200"/>
      </w:pPr>
      <w:r w:rsidRPr="00EE7B2A">
        <w:t>Certification that the applicant’s cybersecurity plan reflects the latest version of the NIST Framework for Improving Critical Infrastructure Cybersecurity (currently Version 1.1</w:t>
      </w:r>
      <w:proofErr w:type="gramStart"/>
      <w:r w:rsidRPr="00EE7B2A">
        <w:t>)</w:t>
      </w:r>
      <w:proofErr w:type="gramEnd"/>
      <w:r w:rsidRPr="00EE7B2A">
        <w:t xml:space="preserve"> and the standards and controls set forth in Executive Order 14028 and specifies the security and privacy controls being implemented</w:t>
      </w:r>
    </w:p>
    <w:p w:rsidRPr="00EE7B2A" w:rsidR="00FD173D" w:rsidP="006F78D2" w:rsidRDefault="00FD173D" w14:paraId="1DA385EC" w14:textId="77777777">
      <w:pPr>
        <w:pStyle w:val="ListParagraph"/>
        <w:numPr>
          <w:ilvl w:val="0"/>
          <w:numId w:val="54"/>
        </w:numPr>
        <w:spacing w:after="200"/>
      </w:pPr>
      <w:r w:rsidRPr="00EE7B2A">
        <w:t>Certification that the applicant’s cybersecurity plan will be reevaluated and updated on a periodic basis and as events warrant and a timeline for how frequently the plan is reevaluated and updated</w:t>
      </w:r>
    </w:p>
    <w:p w:rsidRPr="00EE7B2A" w:rsidR="00FD173D" w:rsidP="006F78D2" w:rsidRDefault="00FD173D" w14:paraId="255579F7" w14:textId="0BA3C216">
      <w:pPr>
        <w:pStyle w:val="ListParagraph"/>
        <w:numPr>
          <w:ilvl w:val="0"/>
          <w:numId w:val="54"/>
        </w:numPr>
        <w:spacing w:after="200"/>
      </w:pPr>
      <w:r w:rsidRPr="00EE7B2A">
        <w:t xml:space="preserve">Certification that the applicant’s cybersecurity plan will be submitted to </w:t>
      </w:r>
      <w:r>
        <w:t>ADECA</w:t>
      </w:r>
      <w:r w:rsidRPr="00EE7B2A">
        <w:t xml:space="preserve"> </w:t>
      </w:r>
      <w:r w:rsidR="00484A03">
        <w:t>prior to</w:t>
      </w:r>
      <w:r w:rsidRPr="00EE7B2A">
        <w:t xml:space="preserve"> </w:t>
      </w:r>
      <w:r w:rsidR="00A141A3">
        <w:t>the allocation of funds</w:t>
      </w:r>
      <w:r w:rsidRPr="00EE7B2A">
        <w:t xml:space="preserve">, and if the applicant makes any substantive changes to the plan, a new version will be submitted to </w:t>
      </w:r>
      <w:r>
        <w:t>ADECA</w:t>
      </w:r>
      <w:r w:rsidRPr="00EE7B2A">
        <w:t xml:space="preserve"> within 30 days</w:t>
      </w:r>
    </w:p>
    <w:p w:rsidRPr="00EE7B2A" w:rsidR="00FD173D" w:rsidP="00DE2D2C" w:rsidRDefault="00FD173D" w14:paraId="5B34BA4B" w14:textId="77777777">
      <w:pPr>
        <w:keepNext/>
      </w:pPr>
      <w:r w:rsidRPr="00EE7B2A">
        <w:t>Supply chain compliance</w:t>
      </w:r>
    </w:p>
    <w:p w:rsidRPr="00EE7B2A" w:rsidR="00FD173D" w:rsidP="006F78D2" w:rsidRDefault="00FD173D" w14:paraId="10DBA69E" w14:textId="26783AC2">
      <w:pPr>
        <w:pStyle w:val="ListParagraph"/>
        <w:numPr>
          <w:ilvl w:val="0"/>
          <w:numId w:val="54"/>
        </w:numPr>
        <w:spacing w:after="200"/>
      </w:pPr>
      <w:r w:rsidRPr="00EE7B2A">
        <w:t xml:space="preserve">Certification that the applicant has a supply chain risk management </w:t>
      </w:r>
      <w:r w:rsidR="000A6DCF">
        <w:t>(SCRM)</w:t>
      </w:r>
      <w:r w:rsidRPr="00EE7B2A">
        <w:t xml:space="preserve"> plan in place that is either: (a) operational, if the applicant is already providing service at the time of the grant; or (b) ready to be operationalized, if the applicant is not yet providing service at the time of grant award</w:t>
      </w:r>
    </w:p>
    <w:p w:rsidRPr="00EE7B2A" w:rsidR="00FD173D" w:rsidP="006F78D2" w:rsidRDefault="00FD173D" w14:paraId="5593A6EE" w14:textId="4B1941D7">
      <w:pPr>
        <w:pStyle w:val="ListParagraph"/>
        <w:numPr>
          <w:ilvl w:val="0"/>
          <w:numId w:val="54"/>
        </w:numPr>
        <w:spacing w:after="200"/>
      </w:pPr>
      <w:r w:rsidRPr="00EE7B2A">
        <w:t xml:space="preserve">Certification that the applicant’s </w:t>
      </w:r>
      <w:r w:rsidR="000A6DCF">
        <w:t>SCRM</w:t>
      </w:r>
      <w:r w:rsidRPr="00EE7B2A">
        <w:t xml:space="preserve"> plan is based upon the key practices discussed in the NIST publication NISTIR 8276, Key Practices in Cyber Supply Chain Risk Management: Observations from Industry and related SCRM guidance from NIST, including NIST 800-161, Cybersecurity Supply Chain Risk Management Practices for Systems and Organizations and specifies the </w:t>
      </w:r>
      <w:r w:rsidR="00B610B5">
        <w:t>SCRM</w:t>
      </w:r>
      <w:r w:rsidRPr="00EE7B2A">
        <w:t xml:space="preserve"> controls being implemented</w:t>
      </w:r>
    </w:p>
    <w:p w:rsidRPr="00EE7B2A" w:rsidR="00FD173D" w:rsidP="006F78D2" w:rsidRDefault="00FD173D" w14:paraId="1C77E6C2" w14:textId="0A70E2CD">
      <w:pPr>
        <w:pStyle w:val="ListParagraph"/>
        <w:numPr>
          <w:ilvl w:val="0"/>
          <w:numId w:val="54"/>
        </w:numPr>
        <w:spacing w:after="200"/>
      </w:pPr>
      <w:r w:rsidRPr="00EE7B2A">
        <w:t xml:space="preserve">Certification that the applicant’s </w:t>
      </w:r>
      <w:r w:rsidR="00B610B5">
        <w:t>SCRM</w:t>
      </w:r>
      <w:r w:rsidRPr="00EE7B2A">
        <w:t xml:space="preserve"> plan will be reevaluated and updated on a periodic basis and as events warrant and a timeline for how frequently the plan is reevaluated and updated</w:t>
      </w:r>
    </w:p>
    <w:p w:rsidRPr="00EE7B2A" w:rsidR="00FD173D" w:rsidP="006F78D2" w:rsidRDefault="00FD173D" w14:paraId="3EDC6257" w14:textId="265D6CC9">
      <w:pPr>
        <w:pStyle w:val="ListParagraph"/>
        <w:numPr>
          <w:ilvl w:val="0"/>
          <w:numId w:val="54"/>
        </w:numPr>
        <w:spacing w:after="200"/>
      </w:pPr>
      <w:r w:rsidRPr="00EE7B2A">
        <w:t xml:space="preserve">Certification that the applicant’s </w:t>
      </w:r>
      <w:r w:rsidR="00A141A3">
        <w:t>SCRM</w:t>
      </w:r>
      <w:r w:rsidRPr="00EE7B2A">
        <w:t xml:space="preserve"> plan will be submitted to </w:t>
      </w:r>
      <w:r>
        <w:t>ADECA</w:t>
      </w:r>
      <w:r w:rsidRPr="00EE7B2A">
        <w:t xml:space="preserve"> prior to the allocation of funds, and if the applicant makes any substantive changes to the plan, a new version will be submitted </w:t>
      </w:r>
      <w:r w:rsidR="008654AC">
        <w:t xml:space="preserve">to ADECA </w:t>
      </w:r>
      <w:r w:rsidRPr="00EE7B2A">
        <w:t>within 30 days</w:t>
      </w:r>
    </w:p>
    <w:p w:rsidR="00DC30F7" w:rsidP="00B779B7" w:rsidRDefault="00FD173D" w14:paraId="49F890FB" w14:textId="77777777">
      <w:pPr>
        <w:keepNext/>
        <w:rPr>
          <w:b/>
          <w:bCs/>
        </w:rPr>
      </w:pPr>
      <w:r w:rsidRPr="00B779B7">
        <w:t>Other public funding:</w:t>
      </w:r>
    </w:p>
    <w:p w:rsidR="00DC30F7" w:rsidP="00B779B7" w:rsidRDefault="00FD173D" w14:paraId="428615A0" w14:textId="34B43DE4">
      <w:pPr>
        <w:pStyle w:val="ListParagraph"/>
        <w:numPr>
          <w:ilvl w:val="0"/>
          <w:numId w:val="86"/>
        </w:numPr>
        <w:spacing w:after="200"/>
      </w:pPr>
      <w:r w:rsidRPr="00EE7B2A">
        <w:t xml:space="preserve">A list </w:t>
      </w:r>
      <w:r w:rsidR="001C69A2">
        <w:t>disc</w:t>
      </w:r>
      <w:r w:rsidR="00305C52">
        <w:t xml:space="preserve">losing any application the </w:t>
      </w:r>
      <w:proofErr w:type="gramStart"/>
      <w:r w:rsidR="00305C52">
        <w:t>applicant</w:t>
      </w:r>
      <w:proofErr w:type="gramEnd"/>
      <w:r w:rsidR="00305C52">
        <w:t xml:space="preserve"> or its affiliates have submitted or plan to submit, and every broadband deployment project that the applicant or its affiliates are undertaking or have committed to undertake at the time of the application using public funds. </w:t>
      </w:r>
    </w:p>
    <w:p w:rsidRPr="00EE7B2A" w:rsidR="00FD173D" w:rsidP="00B779B7" w:rsidRDefault="001C69A2" w14:paraId="6D2C871A" w14:textId="559917FF">
      <w:pPr>
        <w:pStyle w:val="ListParagraph"/>
        <w:numPr>
          <w:ilvl w:val="0"/>
          <w:numId w:val="86"/>
        </w:numPr>
        <w:spacing w:after="200"/>
      </w:pPr>
      <w:r>
        <w:t xml:space="preserve">At a minimum, the </w:t>
      </w:r>
      <w:r w:rsidR="00E11BDB">
        <w:t xml:space="preserve">applicant must disclose, </w:t>
      </w:r>
      <w:r>
        <w:t>for each broadband deployment project: (a) the speed and latency of the broadband service to be provided (as measured and/or reported under the applicable rules)</w:t>
      </w:r>
      <w:r w:rsidR="00DC30F7">
        <w:t>;</w:t>
      </w:r>
      <w:r>
        <w:t xml:space="preserve"> (b) the geographic area to be</w:t>
      </w:r>
      <w:r w:rsidR="00DC30F7">
        <w:t xml:space="preserve"> covered; (c) the number of unserved and underserved locations committed to serve (or, if the commitment is to serve a percentage of locations within the specified geographic area, the relevant percentage); (d) the amount of public funding to be used, (e) the cost of service to the consumer; and (f) the matching commitment, if any, provided by the subgrantee or its affiliates.</w:t>
      </w:r>
    </w:p>
    <w:p w:rsidRPr="00EE7B2A" w:rsidR="00FD173D" w:rsidP="00FD173D" w:rsidRDefault="00FD173D" w14:paraId="76A90675" w14:textId="15762126">
      <w:r w:rsidRPr="00EE7B2A">
        <w:t xml:space="preserve">In addition, consistent with NTIA’s requirements, </w:t>
      </w:r>
      <w:r>
        <w:t>ADECA</w:t>
      </w:r>
      <w:r w:rsidRPr="00EE7B2A">
        <w:t xml:space="preserve"> will require the following materials regarding </w:t>
      </w:r>
      <w:r w:rsidRPr="00F64822">
        <w:t>Fair Labor Practices</w:t>
      </w:r>
      <w:r w:rsidRPr="00EE7B2A">
        <w:t>, which will be part of both prequalification and later grant application scoring:</w:t>
      </w:r>
    </w:p>
    <w:p w:rsidRPr="00EE7B2A" w:rsidR="00FD173D" w:rsidP="006F78D2" w:rsidRDefault="00FD173D" w14:paraId="4D69A64C" w14:textId="77777777">
      <w:pPr>
        <w:pStyle w:val="ListParagraph"/>
        <w:numPr>
          <w:ilvl w:val="0"/>
          <w:numId w:val="12"/>
        </w:numPr>
        <w:spacing w:after="200"/>
      </w:pPr>
      <w:r w:rsidRPr="00EE7B2A">
        <w:t xml:space="preserve">Certification from an Officer/Director-level employee, or an equivalent, of consistent past compliance with federal labor and employment laws on broadband deployment projects in the last three years, including: </w:t>
      </w:r>
    </w:p>
    <w:p w:rsidRPr="00EE7B2A" w:rsidR="00FD173D" w:rsidP="006F78D2" w:rsidRDefault="00FD173D" w14:paraId="691D8BBF" w14:textId="274B85C5">
      <w:pPr>
        <w:pStyle w:val="ListParagraph"/>
        <w:numPr>
          <w:ilvl w:val="1"/>
          <w:numId w:val="12"/>
        </w:numPr>
        <w:spacing w:after="200"/>
      </w:pPr>
      <w:r w:rsidRPr="00EE7B2A">
        <w:t xml:space="preserve">Certification that the </w:t>
      </w:r>
      <w:r w:rsidR="00717123">
        <w:t>applicant</w:t>
      </w:r>
      <w:r w:rsidRPr="00EE7B2A">
        <w:t xml:space="preserve">, as well as its contractors and subcontractors, have not been found to have violated laws such as the Occupational Safety and Health Act, the Fair Labor Standards Act, or any other applicable labor and employment laws for the preceding three years, or </w:t>
      </w:r>
    </w:p>
    <w:p w:rsidRPr="00EE7B2A" w:rsidR="00FD173D" w:rsidP="006F78D2" w:rsidRDefault="00FD173D" w14:paraId="2D870BEF" w14:textId="77777777">
      <w:pPr>
        <w:pStyle w:val="ListParagraph"/>
        <w:numPr>
          <w:ilvl w:val="1"/>
          <w:numId w:val="12"/>
        </w:numPr>
        <w:spacing w:after="200"/>
      </w:pPr>
      <w:r w:rsidRPr="00EE7B2A">
        <w:t>Disclosure of any findings of such violations</w:t>
      </w:r>
    </w:p>
    <w:p w:rsidRPr="00EE7B2A" w:rsidR="00FD173D" w:rsidP="006F78D2" w:rsidRDefault="00FD173D" w14:paraId="30E198BB" w14:textId="24741017">
      <w:pPr>
        <w:pStyle w:val="ListParagraph"/>
        <w:numPr>
          <w:ilvl w:val="0"/>
          <w:numId w:val="12"/>
        </w:numPr>
        <w:spacing w:after="200"/>
      </w:pPr>
      <w:r w:rsidRPr="00EE7B2A">
        <w:t xml:space="preserve">Certification that the </w:t>
      </w:r>
      <w:r w:rsidR="00F960CF">
        <w:t>applicant</w:t>
      </w:r>
      <w:r w:rsidRPr="00EE7B2A">
        <w:t xml:space="preserve"> and its proposed contractors and subcontractors h</w:t>
      </w:r>
      <w:r w:rsidR="003E3B85">
        <w:t>a</w:t>
      </w:r>
      <w:r w:rsidR="0023367B">
        <w:t>ve</w:t>
      </w:r>
      <w:r w:rsidRPr="00EE7B2A">
        <w:t xml:space="preserve"> existing labor and employment practices in place and that the </w:t>
      </w:r>
      <w:r w:rsidR="0023367B">
        <w:t>applicant</w:t>
      </w:r>
      <w:r w:rsidRPr="00EE7B2A">
        <w:t xml:space="preserve"> will recertify this annually for the duration of the BEAD implementation period, including:</w:t>
      </w:r>
    </w:p>
    <w:p w:rsidRPr="00EE7B2A" w:rsidR="00FD173D" w:rsidP="006F78D2" w:rsidRDefault="00FD173D" w14:paraId="59AD0DA8" w14:textId="77777777">
      <w:pPr>
        <w:pStyle w:val="ListParagraph"/>
        <w:numPr>
          <w:ilvl w:val="1"/>
          <w:numId w:val="12"/>
        </w:numPr>
        <w:spacing w:after="200"/>
      </w:pPr>
      <w:r w:rsidRPr="00EE7B2A">
        <w:t>Applicable wage scales and wage and overtime payment practices for each class of employees expected to be involved directly in the physical construction of the network</w:t>
      </w:r>
    </w:p>
    <w:p w:rsidRPr="00EE7B2A" w:rsidR="00FD173D" w:rsidP="006F78D2" w:rsidRDefault="00FD173D" w14:paraId="5EF1CA0F" w14:textId="61E652A1">
      <w:pPr>
        <w:pStyle w:val="ListParagraph"/>
        <w:numPr>
          <w:ilvl w:val="1"/>
          <w:numId w:val="12"/>
        </w:numPr>
        <w:spacing w:after="200"/>
      </w:pPr>
      <w:r w:rsidRPr="00EE7B2A">
        <w:t xml:space="preserve">Certification that the </w:t>
      </w:r>
      <w:r w:rsidR="00B42A62">
        <w:t>applicant</w:t>
      </w:r>
      <w:r w:rsidRPr="00EE7B2A">
        <w:t xml:space="preserve"> will ensure the implementation of workplace safety committees that are authorized to raise health and safety concerns in connection with the delivery of deployment projects and that the applicant will recertify this annually for the duration of the BEAD implementation period</w:t>
      </w:r>
    </w:p>
    <w:p w:rsidRPr="00EE7B2A" w:rsidR="00FD173D" w:rsidP="008A211A" w:rsidRDefault="00FD173D" w14:paraId="7CE18E18" w14:textId="77777777">
      <w:pPr>
        <w:pStyle w:val="Heading3"/>
        <w:numPr>
          <w:ilvl w:val="2"/>
          <w:numId w:val="22"/>
        </w:numPr>
      </w:pPr>
      <w:bookmarkStart w:name="_Toc146637787" w:id="71"/>
      <w:bookmarkStart w:name="_Toc147151965" w:id="72"/>
      <w:bookmarkStart w:name="_Toc148069320" w:id="73"/>
      <w:bookmarkStart w:name="_Toc150852629" w:id="74"/>
      <w:r w:rsidRPr="00EE7B2A">
        <w:t>Scoring Phase</w:t>
      </w:r>
      <w:bookmarkEnd w:id="71"/>
      <w:bookmarkEnd w:id="72"/>
      <w:bookmarkEnd w:id="73"/>
      <w:bookmarkEnd w:id="74"/>
    </w:p>
    <w:p w:rsidRPr="00EE7B2A" w:rsidR="00FD173D" w:rsidP="00FD173D" w:rsidRDefault="00FD173D" w14:paraId="74151717" w14:textId="1C3037A2">
      <w:r>
        <w:t>ADECA</w:t>
      </w:r>
      <w:r w:rsidRPr="00EE7B2A">
        <w:t xml:space="preserve">’s scoring rubric is consistent with NTIA’s rules, which specify three primary criteria that together must account for 75 percent of scoring, as well as secondary criteria that are based on </w:t>
      </w:r>
      <w:r>
        <w:t>Alabama</w:t>
      </w:r>
      <w:r w:rsidRPr="00EE7B2A">
        <w:t>’s own public policy priorities.</w:t>
      </w:r>
      <w:r w:rsidR="006B177D">
        <w:rPr>
          <w:rStyle w:val="FootnoteReference"/>
        </w:rPr>
        <w:footnoteReference w:id="43"/>
      </w:r>
    </w:p>
    <w:p w:rsidRPr="00EE7B2A" w:rsidR="00FD173D" w:rsidP="00FD173D" w:rsidRDefault="00FD173D" w14:paraId="6823CE9B" w14:textId="77777777">
      <w:r>
        <w:t>ADECA</w:t>
      </w:r>
      <w:r w:rsidRPr="00EE7B2A">
        <w:t xml:space="preserve"> will begin its evaluation of proposals by ensuring that the applicant</w:t>
      </w:r>
      <w:r>
        <w:t>s have</w:t>
      </w:r>
      <w:r w:rsidRPr="00EE7B2A">
        <w:t xml:space="preserve"> provided all required materials. Incomplete </w:t>
      </w:r>
      <w:r>
        <w:t>applications</w:t>
      </w:r>
      <w:r w:rsidRPr="00EE7B2A">
        <w:t xml:space="preserve"> will not be considered.</w:t>
      </w:r>
    </w:p>
    <w:p w:rsidR="00FD173D" w:rsidP="00FD173D" w:rsidRDefault="00FD173D" w14:paraId="40B9F6E3" w14:textId="77777777">
      <w:r w:rsidRPr="00EE7B2A">
        <w:t xml:space="preserve">Following a determination of completeness, </w:t>
      </w:r>
      <w:r>
        <w:t>ADECA</w:t>
      </w:r>
      <w:r w:rsidRPr="00EE7B2A">
        <w:t xml:space="preserve"> will review and evaluate the proposals based on the criteria</w:t>
      </w:r>
      <w:r>
        <w:t xml:space="preserve"> discussed below</w:t>
      </w:r>
      <w:r w:rsidRPr="00EE7B2A">
        <w:t>, which can add up to a total score of 100.</w:t>
      </w:r>
    </w:p>
    <w:p w:rsidRPr="00EE7B2A" w:rsidR="00FD173D" w:rsidP="00FD173D" w:rsidRDefault="00FD173D" w14:paraId="39412F7E" w14:textId="2BE9938E">
      <w:r>
        <w:t>Consistent with NTIA requirements, some scoring criteria are different for “Priority Broadband Projects” (</w:t>
      </w:r>
      <w:r w:rsidR="00B73232">
        <w:t xml:space="preserve">i.e., </w:t>
      </w:r>
      <w:r>
        <w:t xml:space="preserve">fiber-to-the-premises) </w:t>
      </w:r>
      <w:r w:rsidR="00506E81">
        <w:t>when compared to</w:t>
      </w:r>
      <w:r>
        <w:t xml:space="preserve"> “Other Last-Mile Broadband Deployment Projects” (</w:t>
      </w:r>
      <w:r w:rsidR="00575914">
        <w:t xml:space="preserve">i.e., </w:t>
      </w:r>
      <w:r>
        <w:t>other technologies).</w:t>
      </w:r>
      <w:r>
        <w:rPr>
          <w:rStyle w:val="FootnoteReference"/>
        </w:rPr>
        <w:footnoteReference w:id="44"/>
      </w:r>
      <w:r>
        <w:t xml:space="preserve"> The discussion below notes the differing criteria or factors where relevant; where clear differentiation is not discussed, that scoring criterion will be identical for both Priority Broadband Projects and Other Last-Mile Broadband Deployment Projects.</w:t>
      </w:r>
    </w:p>
    <w:p w:rsidRPr="00EE7B2A" w:rsidR="00FD173D" w:rsidP="00345D52" w:rsidRDefault="00FD173D" w14:paraId="14C7C420" w14:textId="0BE4DC26">
      <w:pPr>
        <w:pStyle w:val="Heading4"/>
      </w:pPr>
      <w:r w:rsidRPr="00EE7B2A">
        <w:t>Primary criteria</w:t>
      </w:r>
    </w:p>
    <w:p w:rsidRPr="00EE7B2A" w:rsidR="00FD173D" w:rsidP="00FD173D" w:rsidRDefault="00FD173D" w14:paraId="4EBBC0D0" w14:textId="32086D12">
      <w:pPr>
        <w:rPr>
          <w:b/>
          <w:bCs/>
        </w:rPr>
      </w:pPr>
      <w:r w:rsidRPr="00EE7B2A">
        <w:rPr>
          <w:b/>
          <w:bCs/>
        </w:rPr>
        <w:t xml:space="preserve">Minimal BEAD </w:t>
      </w:r>
      <w:r w:rsidR="00456967">
        <w:rPr>
          <w:b/>
          <w:bCs/>
        </w:rPr>
        <w:t>P</w:t>
      </w:r>
      <w:r w:rsidRPr="00EE7B2A">
        <w:rPr>
          <w:b/>
          <w:bCs/>
        </w:rPr>
        <w:t xml:space="preserve">rogram outlay: up to </w:t>
      </w:r>
      <w:r w:rsidR="00453381">
        <w:rPr>
          <w:b/>
          <w:bCs/>
        </w:rPr>
        <w:t>4</w:t>
      </w:r>
      <w:r w:rsidRPr="00EE7B2A">
        <w:rPr>
          <w:b/>
          <w:bCs/>
        </w:rPr>
        <w:t>0 points</w:t>
      </w:r>
    </w:p>
    <w:p w:rsidRPr="00EE7B2A" w:rsidR="00FD173D" w:rsidP="00FD173D" w:rsidRDefault="00FD173D" w14:paraId="13E0C674" w14:textId="77777777">
      <w:r>
        <w:t>ADECA</w:t>
      </w:r>
      <w:r w:rsidRPr="00EE7B2A">
        <w:t xml:space="preserve"> will score applications based on the grant amount proposed relative to </w:t>
      </w:r>
      <w:r>
        <w:t xml:space="preserve">ADECA’s </w:t>
      </w:r>
      <w:r w:rsidRPr="00EE7B2A">
        <w:t>benchmark pricing</w:t>
      </w:r>
      <w:r>
        <w:t xml:space="preserve"> analysis</w:t>
      </w:r>
      <w:r w:rsidRPr="00EE7B2A">
        <w:t xml:space="preserve"> </w:t>
      </w:r>
      <w:r>
        <w:t>for the service area proposed by the applicant</w:t>
      </w:r>
      <w:r w:rsidRPr="00EE7B2A">
        <w:t xml:space="preserve">. </w:t>
      </w:r>
      <w:r>
        <w:t xml:space="preserve">The benchmark pricing analysis is based on ADECA’s own cost model. </w:t>
      </w:r>
      <w:r w:rsidRPr="00EE7B2A">
        <w:t>Points will be awarded based on the following formula:</w:t>
      </w:r>
    </w:p>
    <w:p w:rsidRPr="00EE7B2A" w:rsidR="00FD173D" w:rsidP="006F78D2" w:rsidRDefault="00FD173D" w14:paraId="312A1048" w14:textId="3A1948FB">
      <w:pPr>
        <w:pStyle w:val="ListParagraph"/>
        <w:numPr>
          <w:ilvl w:val="0"/>
          <w:numId w:val="65"/>
        </w:numPr>
        <w:spacing w:after="200"/>
      </w:pPr>
      <w:r w:rsidRPr="00EE7B2A">
        <w:t xml:space="preserve">Proposals that are equal to the benchmark will receive </w:t>
      </w:r>
      <w:r>
        <w:t>2</w:t>
      </w:r>
      <w:r w:rsidR="00453381">
        <w:t>0</w:t>
      </w:r>
      <w:r w:rsidRPr="00EE7B2A">
        <w:t xml:space="preserve"> out of a possible </w:t>
      </w:r>
      <w:r w:rsidR="00453381">
        <w:t>4</w:t>
      </w:r>
      <w:r w:rsidRPr="00EE7B2A">
        <w:t>0 points</w:t>
      </w:r>
    </w:p>
    <w:p w:rsidR="0016573F" w:rsidP="006F78D2" w:rsidRDefault="0016573F" w14:paraId="6C80EB48" w14:textId="643342A7">
      <w:pPr>
        <w:pStyle w:val="ListParagraph"/>
        <w:numPr>
          <w:ilvl w:val="0"/>
          <w:numId w:val="65"/>
        </w:numPr>
        <w:spacing w:after="200"/>
      </w:pPr>
      <w:r>
        <w:t xml:space="preserve">Proposals that are less </w:t>
      </w:r>
      <w:r w:rsidR="00694374">
        <w:t xml:space="preserve">than </w:t>
      </w:r>
      <w:r>
        <w:t xml:space="preserve">or equal to 20 percent of the benchmark </w:t>
      </w:r>
      <w:r w:rsidR="003E1F5E">
        <w:t xml:space="preserve">(80 percent or more below the benchmark) </w:t>
      </w:r>
      <w:r>
        <w:t xml:space="preserve">will receive the full </w:t>
      </w:r>
      <w:r w:rsidR="00453381">
        <w:t>4</w:t>
      </w:r>
      <w:r>
        <w:t>0 points.</w:t>
      </w:r>
    </w:p>
    <w:p w:rsidRPr="00EE7B2A" w:rsidR="00FD173D" w:rsidP="006F78D2" w:rsidRDefault="00FD173D" w14:paraId="35BF6037" w14:textId="204D74BC">
      <w:pPr>
        <w:pStyle w:val="ListParagraph"/>
        <w:numPr>
          <w:ilvl w:val="0"/>
          <w:numId w:val="65"/>
        </w:numPr>
        <w:spacing w:after="200"/>
      </w:pPr>
      <w:r w:rsidRPr="00EE7B2A">
        <w:t xml:space="preserve">Proposals that are less than </w:t>
      </w:r>
      <w:r w:rsidR="008F17B9">
        <w:t xml:space="preserve">100 </w:t>
      </w:r>
      <w:proofErr w:type="gramStart"/>
      <w:r w:rsidR="008F17B9">
        <w:t>percent</w:t>
      </w:r>
      <w:proofErr w:type="gramEnd"/>
      <w:r w:rsidR="008F17B9">
        <w:t xml:space="preserve"> but more than 20 percent of</w:t>
      </w:r>
      <w:r w:rsidRPr="00EE7B2A">
        <w:t xml:space="preserve"> the benchmark will receive </w:t>
      </w:r>
      <w:r>
        <w:t>2</w:t>
      </w:r>
      <w:r w:rsidR="00453381">
        <w:t>0</w:t>
      </w:r>
      <w:r w:rsidRPr="00EE7B2A">
        <w:t xml:space="preserve"> points </w:t>
      </w:r>
      <w:r w:rsidRPr="00EE7B2A">
        <w:rPr>
          <w:b/>
          <w:bCs/>
        </w:rPr>
        <w:t>plus</w:t>
      </w:r>
      <w:r w:rsidRPr="00EE7B2A">
        <w:t xml:space="preserve"> the total of </w:t>
      </w:r>
      <w:r>
        <w:t>2</w:t>
      </w:r>
      <w:r w:rsidR="00453381">
        <w:t>0</w:t>
      </w:r>
      <w:r w:rsidRPr="00EE7B2A">
        <w:t xml:space="preserve"> multiplied by the fraction of the benchmark proposed for grant funding</w:t>
      </w:r>
    </w:p>
    <w:p w:rsidRPr="00EE7B2A" w:rsidR="00FD173D" w:rsidRDefault="00FD173D" w14:paraId="09DAF174" w14:textId="1B6AD9B3">
      <w:pPr>
        <w:pStyle w:val="ListParagraph"/>
        <w:numPr>
          <w:ilvl w:val="0"/>
          <w:numId w:val="62"/>
        </w:numPr>
        <w:tabs>
          <w:tab w:val="clear" w:pos="720"/>
        </w:tabs>
        <w:spacing w:after="200"/>
        <w:ind w:left="1080"/>
      </w:pPr>
      <w:r w:rsidRPr="00EE7B2A">
        <w:t xml:space="preserve">Illustration: proposals for 50 percent </w:t>
      </w:r>
      <w:r>
        <w:t>below</w:t>
      </w:r>
      <w:r w:rsidRPr="00EE7B2A">
        <w:t xml:space="preserve"> the benchmark will receive </w:t>
      </w:r>
      <w:r>
        <w:t>3</w:t>
      </w:r>
      <w:r w:rsidR="00C27503">
        <w:t>0</w:t>
      </w:r>
      <w:r w:rsidRPr="00EE7B2A">
        <w:t xml:space="preserve"> points: </w:t>
      </w:r>
      <w:r>
        <w:t>2</w:t>
      </w:r>
      <w:r w:rsidR="00C27503">
        <w:t>0</w:t>
      </w:r>
      <w:r w:rsidRPr="00EE7B2A">
        <w:t xml:space="preserve"> plus </w:t>
      </w:r>
      <w:r>
        <w:t>1</w:t>
      </w:r>
      <w:r w:rsidR="00C27503">
        <w:t>0</w:t>
      </w:r>
      <w:r w:rsidRPr="00EE7B2A">
        <w:t xml:space="preserve"> (50 percent of </w:t>
      </w:r>
      <w:r>
        <w:t>2</w:t>
      </w:r>
      <w:r w:rsidR="00C27503">
        <w:t>0</w:t>
      </w:r>
      <w:r w:rsidRPr="00EE7B2A">
        <w:t>)</w:t>
      </w:r>
    </w:p>
    <w:p w:rsidRPr="00C70B88" w:rsidR="00FD173D" w:rsidRDefault="00FD173D" w14:paraId="2F6DAFF4" w14:textId="519A628D">
      <w:pPr>
        <w:pStyle w:val="ListParagraph"/>
        <w:numPr>
          <w:ilvl w:val="0"/>
          <w:numId w:val="62"/>
        </w:numPr>
        <w:tabs>
          <w:tab w:val="clear" w:pos="720"/>
        </w:tabs>
        <w:spacing w:after="200"/>
        <w:ind w:left="1080"/>
      </w:pPr>
      <w:r w:rsidRPr="00C70B88">
        <w:t>Illustration: proposals for 10 percent below the benchmark will receive 2</w:t>
      </w:r>
      <w:r w:rsidR="001F2B93">
        <w:t>2</w:t>
      </w:r>
      <w:r w:rsidRPr="00C70B88">
        <w:t xml:space="preserve"> points: 2</w:t>
      </w:r>
      <w:r w:rsidR="001F2B93">
        <w:t>0</w:t>
      </w:r>
      <w:r w:rsidRPr="00C70B88">
        <w:t xml:space="preserve"> plus 2 (10 percent of 2</w:t>
      </w:r>
      <w:r w:rsidR="001F2B93">
        <w:t>0</w:t>
      </w:r>
      <w:r w:rsidRPr="00C70B88">
        <w:t>)</w:t>
      </w:r>
    </w:p>
    <w:p w:rsidRPr="00EE7B2A" w:rsidR="00FD173D" w:rsidP="006F78D2" w:rsidRDefault="00FD173D" w14:paraId="1E04020D" w14:textId="05156F48">
      <w:pPr>
        <w:pStyle w:val="ListParagraph"/>
        <w:numPr>
          <w:ilvl w:val="0"/>
          <w:numId w:val="65"/>
        </w:numPr>
        <w:spacing w:after="200"/>
      </w:pPr>
      <w:r w:rsidRPr="00EE7B2A">
        <w:t xml:space="preserve">Proposals that are more than the benchmark will receive </w:t>
      </w:r>
      <w:r>
        <w:t>2</w:t>
      </w:r>
      <w:r w:rsidR="001F2B93">
        <w:t>0</w:t>
      </w:r>
      <w:r w:rsidRPr="00EE7B2A">
        <w:t xml:space="preserve"> points </w:t>
      </w:r>
      <w:r w:rsidRPr="00EE7B2A">
        <w:rPr>
          <w:b/>
          <w:bCs/>
        </w:rPr>
        <w:t>minus</w:t>
      </w:r>
      <w:r w:rsidRPr="00EE7B2A">
        <w:t xml:space="preserve"> the total of </w:t>
      </w:r>
      <w:r>
        <w:t>2</w:t>
      </w:r>
      <w:r w:rsidR="001F2B93">
        <w:t>0</w:t>
      </w:r>
      <w:r w:rsidRPr="00EE7B2A">
        <w:t xml:space="preserve"> times the fraction of the benchmark proposed for grant funding</w:t>
      </w:r>
    </w:p>
    <w:p w:rsidRPr="00795802" w:rsidR="00FD173D" w:rsidRDefault="00FD173D" w14:paraId="1ACF8178" w14:textId="534196B5">
      <w:pPr>
        <w:pStyle w:val="ListParagraph"/>
        <w:numPr>
          <w:ilvl w:val="0"/>
          <w:numId w:val="63"/>
        </w:numPr>
        <w:tabs>
          <w:tab w:val="clear" w:pos="720"/>
        </w:tabs>
        <w:spacing w:after="200"/>
        <w:ind w:left="1080"/>
      </w:pPr>
      <w:r w:rsidRPr="00795802">
        <w:t>Illustration: proposals for 50 percent more than the benchmark will receive 1</w:t>
      </w:r>
      <w:r w:rsidR="001F2B93">
        <w:t>0</w:t>
      </w:r>
      <w:r w:rsidR="00D748E9">
        <w:t xml:space="preserve"> </w:t>
      </w:r>
      <w:r w:rsidRPr="00795802">
        <w:t>points: 2</w:t>
      </w:r>
      <w:r w:rsidR="001F2B93">
        <w:t>0</w:t>
      </w:r>
      <w:r w:rsidRPr="00795802">
        <w:t xml:space="preserve"> minus 1</w:t>
      </w:r>
      <w:r w:rsidR="001F2B93">
        <w:t>0</w:t>
      </w:r>
      <w:r w:rsidRPr="00795802">
        <w:t xml:space="preserve"> (50 percent of 2</w:t>
      </w:r>
      <w:r w:rsidR="001F2B93">
        <w:t>0</w:t>
      </w:r>
      <w:r w:rsidRPr="00795802">
        <w:t>)</w:t>
      </w:r>
    </w:p>
    <w:p w:rsidRPr="00795802" w:rsidR="00FD173D" w:rsidRDefault="00FD173D" w14:paraId="25A69CC8" w14:textId="07A598E1">
      <w:pPr>
        <w:pStyle w:val="ListParagraph"/>
        <w:numPr>
          <w:ilvl w:val="0"/>
          <w:numId w:val="63"/>
        </w:numPr>
        <w:tabs>
          <w:tab w:val="clear" w:pos="720"/>
        </w:tabs>
        <w:spacing w:after="200"/>
        <w:ind w:left="1080"/>
      </w:pPr>
      <w:r w:rsidRPr="00795802">
        <w:t xml:space="preserve">Illustration: proposals for 10 percent more than the benchmark will receive </w:t>
      </w:r>
      <w:r w:rsidR="001F2B93">
        <w:t>18</w:t>
      </w:r>
      <w:r w:rsidRPr="00795802">
        <w:t xml:space="preserve"> points: 2</w:t>
      </w:r>
      <w:r w:rsidR="001F2B93">
        <w:t>0</w:t>
      </w:r>
      <w:r w:rsidRPr="00795802">
        <w:t xml:space="preserve"> minus 2 (10 percent of 2</w:t>
      </w:r>
      <w:r w:rsidR="001F2B93">
        <w:t>0</w:t>
      </w:r>
      <w:r w:rsidRPr="00795802">
        <w:t>)</w:t>
      </w:r>
    </w:p>
    <w:p w:rsidRPr="00EE7B2A" w:rsidR="00FD173D" w:rsidP="006F78D2" w:rsidRDefault="00FD173D" w14:paraId="03D96360" w14:textId="77777777">
      <w:pPr>
        <w:pStyle w:val="ListParagraph"/>
        <w:numPr>
          <w:ilvl w:val="0"/>
          <w:numId w:val="65"/>
        </w:numPr>
        <w:spacing w:after="200"/>
      </w:pPr>
      <w:r w:rsidRPr="00EE7B2A">
        <w:t>Proposals that exceed the benchmark by 100 percent or more will receive zero points</w:t>
      </w:r>
    </w:p>
    <w:p w:rsidRPr="00EE7B2A" w:rsidR="00FD173D" w:rsidP="00FD173D" w:rsidRDefault="00FD173D" w14:paraId="45C60EA0" w14:textId="167AF148">
      <w:pPr>
        <w:rPr>
          <w:b/>
          <w:bCs/>
        </w:rPr>
      </w:pPr>
      <w:r w:rsidRPr="00EE7B2A">
        <w:rPr>
          <w:b/>
          <w:bCs/>
        </w:rPr>
        <w:t xml:space="preserve">Affordability: up to </w:t>
      </w:r>
      <w:r w:rsidR="001F2B93">
        <w:rPr>
          <w:b/>
          <w:bCs/>
        </w:rPr>
        <w:t>20</w:t>
      </w:r>
      <w:r w:rsidRPr="00EE7B2A">
        <w:rPr>
          <w:b/>
          <w:bCs/>
        </w:rPr>
        <w:t xml:space="preserve"> points</w:t>
      </w:r>
    </w:p>
    <w:p w:rsidR="00FD173D" w:rsidP="00FD173D" w:rsidRDefault="00FD173D" w14:paraId="5A2BE52B" w14:textId="7E919848">
      <w:r w:rsidRPr="00DB4D04">
        <w:rPr>
          <w:u w:val="single"/>
        </w:rPr>
        <w:t>For Priority Broadband Projects</w:t>
      </w:r>
      <w:r>
        <w:t xml:space="preserve">: </w:t>
      </w:r>
      <w:r w:rsidRPr="00EE7B2A">
        <w:t xml:space="preserve">Applications will be scored based on applicants’ commitments to offer a symmetrical 1 Gbps service to BEAD-funded locations that will </w:t>
      </w:r>
      <w:r w:rsidR="00453381">
        <w:t>not</w:t>
      </w:r>
      <w:r w:rsidRPr="00EE7B2A">
        <w:t xml:space="preserve"> exceed the cost of the same service in </w:t>
      </w:r>
      <w:r>
        <w:t>any other location in Alabama or surrounding states in which the applicant offers service</w:t>
      </w:r>
      <w:r w:rsidRPr="00EE7B2A">
        <w:t>. Full points will be awarded to applica</w:t>
      </w:r>
      <w:r w:rsidR="004E53D8">
        <w:t>nts</w:t>
      </w:r>
      <w:r w:rsidRPr="00EE7B2A">
        <w:t xml:space="preserve"> that make this commitment in clear and unambiguous terms, without caveats that compromise the commitment.</w:t>
      </w:r>
      <w:r>
        <w:t xml:space="preserve"> </w:t>
      </w:r>
      <w:proofErr w:type="gramStart"/>
      <w:r w:rsidR="000C216B">
        <w:t>This criteria</w:t>
      </w:r>
      <w:proofErr w:type="gramEnd"/>
      <w:r w:rsidR="000C216B">
        <w:t xml:space="preserve"> will work in conjunction with the lower-cost residential service scoring criteria below to encourage applications to </w:t>
      </w:r>
      <w:r w:rsidR="003E48A7">
        <w:t xml:space="preserve">propose </w:t>
      </w:r>
      <w:r w:rsidR="00E733E8">
        <w:t>affordable service offerings.</w:t>
      </w:r>
    </w:p>
    <w:p w:rsidRPr="00EE7B2A" w:rsidR="00FD173D" w:rsidP="00FD173D" w:rsidRDefault="00FD173D" w14:paraId="610382AD" w14:textId="1B23D1BB">
      <w:r w:rsidRPr="00DB4D04">
        <w:rPr>
          <w:u w:val="single"/>
        </w:rPr>
        <w:t>For Other Last-Mile Broadband Deployment Projects</w:t>
      </w:r>
      <w:r>
        <w:t xml:space="preserve">: </w:t>
      </w:r>
      <w:r w:rsidRPr="00EE7B2A">
        <w:t xml:space="preserve">Applications will be scored based on applicants’ commitments to offer </w:t>
      </w:r>
      <w:r>
        <w:t>100/20 Mbps</w:t>
      </w:r>
      <w:r w:rsidRPr="00EE7B2A">
        <w:t xml:space="preserve"> to BEAD-funded locations that will </w:t>
      </w:r>
      <w:r w:rsidR="00453381">
        <w:t>not</w:t>
      </w:r>
      <w:r w:rsidRPr="00EE7B2A">
        <w:t xml:space="preserve"> exceed the cost of the same service in </w:t>
      </w:r>
      <w:r>
        <w:t>any other location in Alabama or surrounding states in which the applicant offers service</w:t>
      </w:r>
      <w:r w:rsidRPr="00EE7B2A">
        <w:t>. Full points will be awarded to applica</w:t>
      </w:r>
      <w:r w:rsidR="004E53D8">
        <w:t>nts</w:t>
      </w:r>
      <w:r w:rsidRPr="00EE7B2A">
        <w:t xml:space="preserve"> that make this commitment in clear and unambiguous terms, without caveats that compromise the commitment.</w:t>
      </w:r>
      <w:r>
        <w:t xml:space="preserve"> </w:t>
      </w:r>
      <w:proofErr w:type="gramStart"/>
      <w:r w:rsidR="005456FD">
        <w:t>This criteria</w:t>
      </w:r>
      <w:proofErr w:type="gramEnd"/>
      <w:r w:rsidR="005456FD">
        <w:t xml:space="preserve"> will work in conjunction with the lower-cost residential service scoring criteria below to encourage applications to propose affordable service offerings.</w:t>
      </w:r>
    </w:p>
    <w:p w:rsidRPr="00EE7B2A" w:rsidR="00FD173D" w:rsidP="00FD173D" w:rsidRDefault="00FD173D" w14:paraId="5EB921CE" w14:textId="1424C02B">
      <w:pPr>
        <w:rPr>
          <w:b/>
          <w:bCs/>
        </w:rPr>
      </w:pPr>
      <w:r w:rsidRPr="00EE7B2A">
        <w:rPr>
          <w:b/>
          <w:bCs/>
        </w:rPr>
        <w:t xml:space="preserve">Fair labor practices: up to </w:t>
      </w:r>
      <w:r>
        <w:rPr>
          <w:b/>
          <w:bCs/>
        </w:rPr>
        <w:t>1</w:t>
      </w:r>
      <w:r w:rsidR="001F2B93">
        <w:rPr>
          <w:b/>
          <w:bCs/>
        </w:rPr>
        <w:t>5</w:t>
      </w:r>
      <w:r w:rsidRPr="00EE7B2A">
        <w:rPr>
          <w:b/>
          <w:bCs/>
        </w:rPr>
        <w:t xml:space="preserve"> points</w:t>
      </w:r>
    </w:p>
    <w:p w:rsidR="00A864E3" w:rsidP="00A864E3" w:rsidRDefault="00A864E3" w14:paraId="666FB991" w14:textId="00753FE6">
      <w:r>
        <w:t>Up to 1</w:t>
      </w:r>
      <w:r w:rsidR="001F2B93">
        <w:t>5</w:t>
      </w:r>
      <w:r>
        <w:t xml:space="preserve"> points will be awarded based on (1) a demonstrated history of compliance with federal labor laws; (2) demonstrated commitments to future compliance with federal labor laws; (3) the quality and contents of labor practice-related items submitted during the Prequalification Phase</w:t>
      </w:r>
      <w:r w:rsidR="0082500F">
        <w:t>;</w:t>
      </w:r>
      <w:r w:rsidR="00A568CF">
        <w:t xml:space="preserve"> </w:t>
      </w:r>
      <w:r w:rsidR="00B53911">
        <w:t xml:space="preserve">(4) </w:t>
      </w:r>
      <w:r w:rsidR="00413B5B">
        <w:t>demonstrated commitment to use of local hire provisions;</w:t>
      </w:r>
      <w:r w:rsidR="0082500F">
        <w:t xml:space="preserve"> and</w:t>
      </w:r>
      <w:r w:rsidR="00327BC0">
        <w:t xml:space="preserve"> (</w:t>
      </w:r>
      <w:r w:rsidR="00B53911">
        <w:t>5</w:t>
      </w:r>
      <w:r w:rsidR="00327BC0">
        <w:t xml:space="preserve">) </w:t>
      </w:r>
      <w:r w:rsidR="00D0074D">
        <w:t xml:space="preserve">demonstrated commitment to </w:t>
      </w:r>
      <w:r w:rsidR="001E1B7C">
        <w:t xml:space="preserve">use an appropriately credentialed </w:t>
      </w:r>
      <w:r w:rsidR="0082500F">
        <w:t>workforce</w:t>
      </w:r>
      <w:r>
        <w:t>.</w:t>
      </w:r>
    </w:p>
    <w:p w:rsidR="00A864E3" w:rsidP="00A864E3" w:rsidRDefault="00A864E3" w14:paraId="672EDFB1" w14:textId="77777777">
      <w:r>
        <w:t>New entrants without a lengthy record of labor and employment law compliance will receive points in this category based on specific, concrete commitments to strong labor and employment standards and protections going forward.</w:t>
      </w:r>
    </w:p>
    <w:p w:rsidRPr="003439E2" w:rsidR="00A864E3" w:rsidP="00A864E3" w:rsidRDefault="00A864E3" w14:paraId="0C487859" w14:textId="691DE839">
      <w:r>
        <w:t xml:space="preserve">Up to 5 points will be deducted </w:t>
      </w:r>
      <w:r w:rsidR="00863987">
        <w:t>if the</w:t>
      </w:r>
      <w:r w:rsidR="005E5861">
        <w:t xml:space="preserve"> </w:t>
      </w:r>
      <w:r w:rsidR="000562A3">
        <w:t xml:space="preserve">applicant has </w:t>
      </w:r>
      <w:r w:rsidR="00371A80">
        <w:t xml:space="preserve">received any final finding of violation of </w:t>
      </w:r>
      <w:r w:rsidR="000562A3">
        <w:t xml:space="preserve">any </w:t>
      </w:r>
      <w:r w:rsidR="00863987">
        <w:t>Federal</w:t>
      </w:r>
      <w:r>
        <w:t xml:space="preserve"> labor or </w:t>
      </w:r>
      <w:r w:rsidR="00863987">
        <w:t>employment laws</w:t>
      </w:r>
      <w:r>
        <w:t xml:space="preserve"> in the </w:t>
      </w:r>
      <w:r w:rsidR="00C0759E">
        <w:t>three</w:t>
      </w:r>
      <w:r>
        <w:t xml:space="preserve"> years preceding the date of application.</w:t>
      </w:r>
    </w:p>
    <w:p w:rsidRPr="00EE7B2A" w:rsidR="00FD173D" w:rsidP="00345D52" w:rsidRDefault="00FD173D" w14:paraId="237ADABD" w14:textId="77777777">
      <w:pPr>
        <w:pStyle w:val="Heading4"/>
      </w:pPr>
      <w:r w:rsidRPr="00EE7B2A">
        <w:t>Secondary criteria</w:t>
      </w:r>
    </w:p>
    <w:p w:rsidRPr="00EE7B2A" w:rsidR="00FD173D" w:rsidP="00FD173D" w:rsidRDefault="00FD173D" w14:paraId="3B2638BC" w14:textId="77777777">
      <w:pPr>
        <w:rPr>
          <w:b/>
          <w:bCs/>
        </w:rPr>
      </w:pPr>
      <w:r w:rsidRPr="00EE7B2A">
        <w:rPr>
          <w:b/>
          <w:bCs/>
        </w:rPr>
        <w:t>Speed to deployment: up to 1 point</w:t>
      </w:r>
    </w:p>
    <w:p w:rsidRPr="00EE7B2A" w:rsidR="00FD173D" w:rsidP="00FD173D" w:rsidRDefault="00FD173D" w14:paraId="445B675A" w14:textId="0057745B">
      <w:r w:rsidRPr="00EE7B2A">
        <w:t xml:space="preserve">Based on the BEAD rules, all funded projects must be complete within four years following execution of grant awards. Applicants will be awarded an extra point if they can demonstrate that they will </w:t>
      </w:r>
      <w:r w:rsidR="00384E68">
        <w:t xml:space="preserve">complete deployment </w:t>
      </w:r>
      <w:r w:rsidRPr="00EE7B2A">
        <w:t>in three years or less.</w:t>
      </w:r>
    </w:p>
    <w:p w:rsidRPr="00EE7B2A" w:rsidR="00FD173D" w:rsidP="00FD173D" w:rsidRDefault="00FD173D" w14:paraId="0198C67C" w14:textId="77777777">
      <w:pPr>
        <w:rPr>
          <w:b/>
          <w:bCs/>
        </w:rPr>
      </w:pPr>
      <w:r w:rsidRPr="00EE7B2A">
        <w:rPr>
          <w:b/>
          <w:bCs/>
        </w:rPr>
        <w:t>Community/Local government/Tribal government support: up to 10 points</w:t>
      </w:r>
    </w:p>
    <w:p w:rsidRPr="00EE7B2A" w:rsidR="00FD173D" w:rsidP="00FD173D" w:rsidRDefault="00FD173D" w14:paraId="5D032DE8" w14:textId="7FBF3896">
      <w:pPr>
        <w:rPr>
          <w:b/>
          <w:bCs/>
        </w:rPr>
      </w:pPr>
      <w:r>
        <w:t>ADECA</w:t>
      </w:r>
      <w:r w:rsidRPr="00EE7B2A">
        <w:t xml:space="preserve"> will award up to 10 points to applicants for demonstrations of support from local governments, Tribal governments, and other community institutions and </w:t>
      </w:r>
      <w:r>
        <w:t>partner</w:t>
      </w:r>
      <w:r w:rsidRPr="00EE7B2A">
        <w:t xml:space="preserve">s. Points will be awarded based on the clarity and extent of support demonstrated in the documentation. Documents can include such items as </w:t>
      </w:r>
      <w:r w:rsidR="002D7D0C">
        <w:t xml:space="preserve">minutes from community meetings, </w:t>
      </w:r>
      <w:r w:rsidRPr="00EE7B2A">
        <w:t>board or council resolutions, commitments of funding, commitments to purchase services if the project is funded</w:t>
      </w:r>
      <w:r w:rsidR="0047163D">
        <w:t xml:space="preserve">, plans for additional community </w:t>
      </w:r>
      <w:r w:rsidR="00600F9D">
        <w:t>adoption partnerships</w:t>
      </w:r>
      <w:r w:rsidR="00EE704A">
        <w:t xml:space="preserve">. </w:t>
      </w:r>
      <w:r w:rsidR="007D5EC4">
        <w:t xml:space="preserve">Communities, local governments, and Tribal governments </w:t>
      </w:r>
      <w:r w:rsidR="00867F06">
        <w:t>may support more than one application in their area if they choose.</w:t>
      </w:r>
    </w:p>
    <w:p w:rsidRPr="00744EFF" w:rsidR="00FD173D" w:rsidP="00FD173D" w:rsidRDefault="00FD173D" w14:paraId="5E04F339" w14:textId="77777777">
      <w:pPr>
        <w:rPr>
          <w:b/>
          <w:bCs/>
        </w:rPr>
      </w:pPr>
      <w:bookmarkStart w:name="_Hlk147502801" w:id="75"/>
      <w:bookmarkStart w:name="_Toc146637788" w:id="76"/>
      <w:bookmarkStart w:name="_Toc147151966" w:id="77"/>
      <w:r w:rsidRPr="007D3BE1">
        <w:rPr>
          <w:b/>
          <w:bCs/>
        </w:rPr>
        <w:t xml:space="preserve">Speed of </w:t>
      </w:r>
      <w:r>
        <w:rPr>
          <w:b/>
          <w:bCs/>
        </w:rPr>
        <w:t>N</w:t>
      </w:r>
      <w:r w:rsidRPr="007D3BE1">
        <w:rPr>
          <w:b/>
          <w:bCs/>
        </w:rPr>
        <w:t xml:space="preserve">etwork and </w:t>
      </w:r>
      <w:r>
        <w:rPr>
          <w:b/>
          <w:bCs/>
        </w:rPr>
        <w:t>O</w:t>
      </w:r>
      <w:r w:rsidRPr="007D3BE1">
        <w:rPr>
          <w:b/>
          <w:bCs/>
        </w:rPr>
        <w:t xml:space="preserve">ther </w:t>
      </w:r>
      <w:r>
        <w:rPr>
          <w:b/>
          <w:bCs/>
        </w:rPr>
        <w:t>T</w:t>
      </w:r>
      <w:r w:rsidRPr="007D3BE1">
        <w:rPr>
          <w:b/>
          <w:bCs/>
        </w:rPr>
        <w:t xml:space="preserve">echnical </w:t>
      </w:r>
      <w:r>
        <w:rPr>
          <w:b/>
          <w:bCs/>
        </w:rPr>
        <w:t>C</w:t>
      </w:r>
      <w:r w:rsidRPr="007D3BE1">
        <w:rPr>
          <w:b/>
          <w:bCs/>
        </w:rPr>
        <w:t>apabilities:</w:t>
      </w:r>
      <w:r w:rsidRPr="00744EFF">
        <w:rPr>
          <w:b/>
          <w:bCs/>
        </w:rPr>
        <w:t xml:space="preserve"> up to 1</w:t>
      </w:r>
      <w:r>
        <w:rPr>
          <w:b/>
          <w:bCs/>
        </w:rPr>
        <w:t>0</w:t>
      </w:r>
      <w:r w:rsidRPr="00744EFF">
        <w:rPr>
          <w:b/>
          <w:bCs/>
        </w:rPr>
        <w:t xml:space="preserve"> points</w:t>
      </w:r>
      <w:r>
        <w:rPr>
          <w:b/>
          <w:bCs/>
        </w:rPr>
        <w:t xml:space="preserve"> (</w:t>
      </w:r>
      <w:r w:rsidRPr="00C8480E">
        <w:rPr>
          <w:b/>
          <w:bCs/>
          <w:i/>
          <w:iCs/>
        </w:rPr>
        <w:t>for Other Last-Mile Broadband Deployment Projects only</w:t>
      </w:r>
      <w:r>
        <w:rPr>
          <w:b/>
          <w:bCs/>
        </w:rPr>
        <w:t>)</w:t>
      </w:r>
    </w:p>
    <w:p w:rsidR="00FD173D" w:rsidP="00D71CAC" w:rsidRDefault="00FD173D" w14:paraId="7EF3C41E" w14:textId="77777777">
      <w:pPr>
        <w:rPr>
          <w:rFonts w:eastAsia="Times New Roman"/>
        </w:rPr>
      </w:pPr>
      <w:r w:rsidRPr="005B5B2C">
        <w:rPr>
          <w:rFonts w:eastAsia="Times New Roman"/>
        </w:rPr>
        <w:t xml:space="preserve">Pursuant to NTIA rules, applications will be scored based on applicants’ demonstration of the speeds, latency, and other technical capabilities of the technologies proposed for projects that are not Priority Broadband Projects (i.e., that use technologies other than fiber-to-the-premises). </w:t>
      </w:r>
    </w:p>
    <w:p w:rsidR="00FD173D" w:rsidP="00D71CAC" w:rsidRDefault="00FD173D" w14:paraId="68B7C11C" w14:textId="77777777">
      <w:pPr>
        <w:rPr>
          <w:rFonts w:eastAsia="Times New Roman"/>
        </w:rPr>
      </w:pPr>
      <w:r w:rsidRPr="005B5B2C">
        <w:rPr>
          <w:rFonts w:eastAsia="Times New Roman"/>
        </w:rPr>
        <w:t>NTIA requires assigning greater weight to those applications that propose to use technologies that exhibit greater ease of scalability with lower future investment and whose capital assets have longer useable lives over those proposing technologies with higher costs to upgrade and shorter capital asset cycles.</w:t>
      </w:r>
    </w:p>
    <w:p w:rsidR="00FD173D" w:rsidP="00D71CAC" w:rsidRDefault="00FD173D" w14:paraId="6C784615" w14:textId="77777777">
      <w:pPr>
        <w:rPr>
          <w:rFonts w:eastAsia="Times New Roman"/>
        </w:rPr>
      </w:pPr>
      <w:r w:rsidRPr="005B5B2C">
        <w:rPr>
          <w:rFonts w:eastAsia="Times New Roman"/>
        </w:rPr>
        <w:t>Accordingly, ADECA will award up to 10 points to Other Last-Mile Broadband Deployment Projects that can demonstrate the following:</w:t>
      </w:r>
    </w:p>
    <w:p w:rsidR="00FD173D" w:rsidP="001B4244" w:rsidRDefault="00FD173D" w14:paraId="5D257795" w14:textId="45614053">
      <w:pPr>
        <w:pStyle w:val="ListParagraph"/>
        <w:numPr>
          <w:ilvl w:val="0"/>
          <w:numId w:val="72"/>
        </w:numPr>
        <w:spacing w:after="200"/>
        <w:rPr>
          <w:rFonts w:eastAsia="Times New Roman"/>
        </w:rPr>
      </w:pPr>
      <w:r w:rsidRPr="00F75339">
        <w:rPr>
          <w:rFonts w:eastAsia="Times New Roman"/>
          <w:b/>
          <w:bCs/>
        </w:rPr>
        <w:t>Speed of Network and Sufficient Capacity</w:t>
      </w:r>
      <w:r w:rsidRPr="00F75339">
        <w:rPr>
          <w:rFonts w:eastAsia="Times New Roman"/>
        </w:rPr>
        <w:t>: 4 points will be awarded to applica</w:t>
      </w:r>
      <w:r w:rsidR="00B405DE">
        <w:rPr>
          <w:rFonts w:eastAsia="Times New Roman"/>
        </w:rPr>
        <w:t>nts</w:t>
      </w:r>
      <w:r w:rsidRPr="00F75339">
        <w:rPr>
          <w:rFonts w:eastAsia="Times New Roman"/>
        </w:rPr>
        <w:t xml:space="preserve"> that demonstrate that the proposed project can reliably deliver 100/20 </w:t>
      </w:r>
      <w:r w:rsidR="00DB3A1F">
        <w:rPr>
          <w:rFonts w:eastAsia="Times New Roman"/>
        </w:rPr>
        <w:t xml:space="preserve">Mbps </w:t>
      </w:r>
      <w:r w:rsidRPr="00F75339">
        <w:rPr>
          <w:rFonts w:eastAsia="Times New Roman"/>
        </w:rPr>
        <w:t>broadband services to at least 80 percent of unserved and underserved locations in the proposed service area. Applications must detail the selection of technology and particular hardware configurations in both backbone and last-mile segments, including any assumptions and/or calculations around capacity oversubscription, limitations imposed by terrain, and geographic constraints, to definitively demonstrate the connection speed and network capacity requirements can be met. Applicants that do not make this demonstration will be awarded zero points for Speed of Network and Sufficient Capacity.</w:t>
      </w:r>
    </w:p>
    <w:p w:rsidR="00FD173D" w:rsidP="001B4244" w:rsidRDefault="00FD173D" w14:paraId="016974F6" w14:textId="37FA6196">
      <w:pPr>
        <w:pStyle w:val="ListParagraph"/>
        <w:numPr>
          <w:ilvl w:val="0"/>
          <w:numId w:val="72"/>
        </w:numPr>
        <w:spacing w:after="200"/>
        <w:rPr>
          <w:rFonts w:eastAsia="Times New Roman"/>
        </w:rPr>
      </w:pPr>
      <w:r w:rsidRPr="00F75339">
        <w:rPr>
          <w:rFonts w:eastAsia="Times New Roman"/>
          <w:b/>
          <w:bCs/>
        </w:rPr>
        <w:t>Scalability</w:t>
      </w:r>
      <w:r w:rsidRPr="00F75339">
        <w:rPr>
          <w:rFonts w:eastAsia="Times New Roman"/>
        </w:rPr>
        <w:t>: 3 points will be awarded to applica</w:t>
      </w:r>
      <w:r w:rsidR="001D1D03">
        <w:rPr>
          <w:rFonts w:eastAsia="Times New Roman"/>
        </w:rPr>
        <w:t>nts</w:t>
      </w:r>
      <w:r w:rsidRPr="00F75339">
        <w:rPr>
          <w:rFonts w:eastAsia="Times New Roman"/>
        </w:rPr>
        <w:t xml:space="preserve"> that demonstrate that the proposed infrastructure will be capable of delivering higher speeds in the future, including that the infrastructure will be scalable with respect to capacity to support higher speeds to 80 percent of currently unserved and underserved locations in the proposed service area. Applications must detail the specific approach to scalability both in backbone and last-mile segments of the network, such as increased wireless base station sectorization, hardware upgrades, addition of towers, etc., to include projected capital costs per location associated with upgrades necessary to deliver increased service level thresholds of the applicant's choosing (i.e., 100/100</w:t>
      </w:r>
      <w:r w:rsidR="00577D5E">
        <w:rPr>
          <w:rFonts w:eastAsia="Times New Roman"/>
        </w:rPr>
        <w:t xml:space="preserve"> Mbps</w:t>
      </w:r>
      <w:r w:rsidRPr="00F75339">
        <w:rPr>
          <w:rFonts w:eastAsia="Times New Roman"/>
        </w:rPr>
        <w:t>, 500/100</w:t>
      </w:r>
      <w:r w:rsidR="00577D5E">
        <w:rPr>
          <w:rFonts w:eastAsia="Times New Roman"/>
        </w:rPr>
        <w:t xml:space="preserve"> Mbps</w:t>
      </w:r>
      <w:r w:rsidRPr="00F75339">
        <w:rPr>
          <w:rFonts w:eastAsia="Times New Roman"/>
        </w:rPr>
        <w:t>, 1000/1000</w:t>
      </w:r>
      <w:r w:rsidR="00577D5E">
        <w:rPr>
          <w:rFonts w:eastAsia="Times New Roman"/>
        </w:rPr>
        <w:t xml:space="preserve"> Mbps</w:t>
      </w:r>
      <w:r w:rsidRPr="00F75339">
        <w:rPr>
          <w:rFonts w:eastAsia="Times New Roman"/>
        </w:rPr>
        <w:t>). Applications that do not make this demonstration will be awarded zero points for Scalability.</w:t>
      </w:r>
    </w:p>
    <w:p w:rsidRPr="00F75339" w:rsidR="00FD173D" w:rsidP="001B4244" w:rsidRDefault="00FD173D" w14:paraId="45B8AF13" w14:textId="77777777">
      <w:pPr>
        <w:pStyle w:val="ListParagraph"/>
        <w:numPr>
          <w:ilvl w:val="0"/>
          <w:numId w:val="72"/>
        </w:numPr>
        <w:spacing w:after="200"/>
        <w:rPr>
          <w:rFonts w:eastAsia="Times New Roman"/>
        </w:rPr>
      </w:pPr>
      <w:r w:rsidRPr="00F75339">
        <w:rPr>
          <w:rFonts w:eastAsia="Times New Roman"/>
          <w:b/>
          <w:bCs/>
        </w:rPr>
        <w:t>Cost-effective future upgrade and capital investment path</w:t>
      </w:r>
      <w:r w:rsidRPr="00F75339">
        <w:rPr>
          <w:rFonts w:eastAsia="Times New Roman"/>
        </w:rPr>
        <w:t>: Up to 3 points will be awarded to applications that demonstrate a cost-effective projected technical upgrade path, including a capital investment timeline and costs for equipment refresh and replacement cycles.</w:t>
      </w:r>
      <w:r w:rsidRPr="005B5B2C">
        <w:t xml:space="preserve"> </w:t>
      </w:r>
    </w:p>
    <w:p w:rsidRPr="00744EFF" w:rsidR="00FD173D" w:rsidP="00FD173D" w:rsidRDefault="00FD173D" w14:paraId="59213E19" w14:textId="77777777">
      <w:pPr>
        <w:rPr>
          <w:b/>
          <w:bCs/>
        </w:rPr>
      </w:pPr>
      <w:r>
        <w:rPr>
          <w:b/>
          <w:bCs/>
        </w:rPr>
        <w:t>Percentage of unserved locations</w:t>
      </w:r>
      <w:r w:rsidRPr="00744EFF">
        <w:rPr>
          <w:b/>
          <w:bCs/>
        </w:rPr>
        <w:t>: up to 1</w:t>
      </w:r>
      <w:r>
        <w:rPr>
          <w:b/>
          <w:bCs/>
        </w:rPr>
        <w:t>0</w:t>
      </w:r>
      <w:r w:rsidRPr="00744EFF">
        <w:rPr>
          <w:b/>
          <w:bCs/>
        </w:rPr>
        <w:t xml:space="preserve"> points</w:t>
      </w:r>
      <w:r>
        <w:rPr>
          <w:b/>
          <w:bCs/>
        </w:rPr>
        <w:t xml:space="preserve"> (</w:t>
      </w:r>
      <w:r w:rsidRPr="00C8480E">
        <w:rPr>
          <w:b/>
          <w:bCs/>
          <w:i/>
          <w:iCs/>
        </w:rPr>
        <w:t>for Priority Broadband Projects only</w:t>
      </w:r>
      <w:r>
        <w:rPr>
          <w:b/>
          <w:bCs/>
        </w:rPr>
        <w:t>)</w:t>
      </w:r>
    </w:p>
    <w:p w:rsidR="00FD173D" w:rsidP="00FD173D" w:rsidRDefault="00FD173D" w14:paraId="6B583459" w14:textId="1D1A8520">
      <w:r w:rsidRPr="00744EFF">
        <w:t xml:space="preserve">As discussed extensively in this Initial Proposal, </w:t>
      </w:r>
      <w:r>
        <w:t xml:space="preserve">unserved locations represent the priority for BEAD funding, followed by underserved locations. ADECA seeks to address the needs of both through the BEAD </w:t>
      </w:r>
      <w:r w:rsidR="00456967">
        <w:t>P</w:t>
      </w:r>
      <w:r>
        <w:t>rogram and seeks also to ensure that inclusion of underserved areas does not accrue to the disadvantage of unserved areas through the process of enabling applicants to define their own service areas. ADECA also recognizes that it is challenging and costly to reach many unserved locations with fiber-to-the premises.</w:t>
      </w:r>
    </w:p>
    <w:p w:rsidR="00FD173D" w:rsidP="00FD173D" w:rsidRDefault="00FD173D" w14:paraId="31DD306C" w14:textId="57C328AE">
      <w:r>
        <w:t xml:space="preserve">To incentivize the inclusion </w:t>
      </w:r>
      <w:r w:rsidR="0026056D">
        <w:t xml:space="preserve">of unserved locations </w:t>
      </w:r>
      <w:r>
        <w:t xml:space="preserve">in fiber-to-the-premises applications in addition to underserved locations, ADECA </w:t>
      </w:r>
      <w:r w:rsidRPr="00744EFF">
        <w:t>proposes to award up to 1</w:t>
      </w:r>
      <w:r>
        <w:t>0</w:t>
      </w:r>
      <w:r w:rsidRPr="00744EFF">
        <w:t xml:space="preserve"> points </w:t>
      </w:r>
      <w:r>
        <w:t>to</w:t>
      </w:r>
      <w:r w:rsidRPr="00744EFF">
        <w:t xml:space="preserve"> applications that demonstrate that the proposed project will</w:t>
      </w:r>
      <w:r>
        <w:t xml:space="preserve"> include high percentages of unserved locations. For purposes of determining the points awarded under this scoring category, ADECA will consider the relative proportion of unserved to underserved locations in the proposed project area, as follows: </w:t>
      </w:r>
    </w:p>
    <w:p w:rsidR="00FD173D" w:rsidP="006F78D2" w:rsidRDefault="00FD173D" w14:paraId="0D975CE7" w14:textId="77777777">
      <w:pPr>
        <w:pStyle w:val="ListParagraph"/>
        <w:numPr>
          <w:ilvl w:val="0"/>
          <w:numId w:val="73"/>
        </w:numPr>
        <w:spacing w:after="200"/>
      </w:pPr>
      <w:r>
        <w:t xml:space="preserve">Proposed projects that include at least 50 percent of unserved locations relative to all unserved and underserved locations will receive the full 10 points in this scoring category. </w:t>
      </w:r>
    </w:p>
    <w:p w:rsidR="00FD173D" w:rsidP="006F78D2" w:rsidRDefault="00FD173D" w14:paraId="02D3D034" w14:textId="77777777">
      <w:pPr>
        <w:pStyle w:val="ListParagraph"/>
        <w:numPr>
          <w:ilvl w:val="0"/>
          <w:numId w:val="73"/>
        </w:numPr>
        <w:spacing w:after="200"/>
      </w:pPr>
      <w:r>
        <w:t xml:space="preserve">Proposed projects that include at least 40 percent of unserved locations relative to all unserved and underserved locations will receive 5 points in this scoring category. </w:t>
      </w:r>
    </w:p>
    <w:p w:rsidR="00FD173D" w:rsidP="006F78D2" w:rsidRDefault="00FD173D" w14:paraId="12E71CE8" w14:textId="77777777">
      <w:pPr>
        <w:pStyle w:val="ListParagraph"/>
        <w:numPr>
          <w:ilvl w:val="0"/>
          <w:numId w:val="73"/>
        </w:numPr>
        <w:spacing w:after="200"/>
      </w:pPr>
      <w:r>
        <w:t xml:space="preserve">Proposed projects that include at least 30 percent of unserved locations relative to all unserved and underserved locations will receive 2 points in this scoring category. </w:t>
      </w:r>
    </w:p>
    <w:p w:rsidR="00792B1F" w:rsidP="00CF5965" w:rsidRDefault="00FD173D" w14:paraId="25803E41" w14:textId="180BB70A">
      <w:pPr>
        <w:pStyle w:val="ListParagraph"/>
        <w:numPr>
          <w:ilvl w:val="0"/>
          <w:numId w:val="73"/>
        </w:numPr>
        <w:spacing w:after="200"/>
      </w:pPr>
      <w:r>
        <w:t>Proposed projects that include less than 30 percent of unserved locations relative to all unserved and underserved locations will receive zero points in this scoring category.</w:t>
      </w:r>
      <w:bookmarkStart w:name="_Toc148069321" w:id="78"/>
      <w:bookmarkEnd w:id="75"/>
    </w:p>
    <w:p w:rsidRPr="00A51F8F" w:rsidR="00792B1F" w:rsidP="00792B1F" w:rsidRDefault="00792B1F" w14:paraId="713E1167" w14:textId="783F6DCB">
      <w:pPr>
        <w:rPr>
          <w:b/>
          <w:bCs/>
        </w:rPr>
      </w:pPr>
      <w:r w:rsidRPr="00A51F8F">
        <w:rPr>
          <w:b/>
          <w:bCs/>
        </w:rPr>
        <w:t>Low</w:t>
      </w:r>
      <w:r>
        <w:rPr>
          <w:b/>
          <w:bCs/>
        </w:rPr>
        <w:t>er-cost $30 per month</w:t>
      </w:r>
      <w:r w:rsidRPr="00A51F8F">
        <w:rPr>
          <w:b/>
          <w:bCs/>
        </w:rPr>
        <w:t xml:space="preserve"> residential service:</w:t>
      </w:r>
      <w:r>
        <w:rPr>
          <w:b/>
          <w:bCs/>
        </w:rPr>
        <w:t xml:space="preserve"> up to </w:t>
      </w:r>
      <w:r w:rsidR="004E4B10">
        <w:rPr>
          <w:b/>
          <w:bCs/>
        </w:rPr>
        <w:t>4</w:t>
      </w:r>
      <w:r>
        <w:rPr>
          <w:b/>
          <w:bCs/>
        </w:rPr>
        <w:t xml:space="preserve"> points</w:t>
      </w:r>
    </w:p>
    <w:p w:rsidR="00792B1F" w:rsidP="00FD25E0" w:rsidRDefault="00621592" w14:paraId="3DC156AD" w14:textId="40782993">
      <w:r>
        <w:t>ADECA</w:t>
      </w:r>
      <w:r w:rsidR="00792B1F">
        <w:t xml:space="preserve"> seeks to incent</w:t>
      </w:r>
      <w:r w:rsidR="00603F2A">
        <w:t>ivize</w:t>
      </w:r>
      <w:r w:rsidR="00792B1F">
        <w:t xml:space="preserve"> service providers to deliver $30 per month service to h</w:t>
      </w:r>
      <w:r w:rsidRPr="001A5ACB" w:rsidR="00792B1F">
        <w:t xml:space="preserve">ouseholds with income equal to or below 200 percent of the federal poverty </w:t>
      </w:r>
      <w:proofErr w:type="gramStart"/>
      <w:r w:rsidRPr="001A5ACB" w:rsidR="00792B1F">
        <w:t>line</w:t>
      </w:r>
      <w:r>
        <w:t>,</w:t>
      </w:r>
      <w:r w:rsidR="00792B1F">
        <w:t xml:space="preserve"> but</w:t>
      </w:r>
      <w:proofErr w:type="gramEnd"/>
      <w:r w:rsidR="00792B1F">
        <w:t xml:space="preserve"> recognizes that it will not be possible to deliver such service in all locations and for all business models. </w:t>
      </w:r>
      <w:r w:rsidR="00A32A7F">
        <w:t xml:space="preserve">ADECA will award up to </w:t>
      </w:r>
      <w:r w:rsidR="004E4B10">
        <w:t>4</w:t>
      </w:r>
      <w:r w:rsidR="00A32A7F">
        <w:t xml:space="preserve"> points to s</w:t>
      </w:r>
      <w:r w:rsidR="00792B1F">
        <w:t xml:space="preserve">ervice providers </w:t>
      </w:r>
      <w:r w:rsidRPr="00EA33D9" w:rsidR="00792B1F">
        <w:t xml:space="preserve">committing to offering this service for </w:t>
      </w:r>
      <w:r w:rsidR="00B27F7F">
        <w:t>five</w:t>
      </w:r>
      <w:r w:rsidRPr="00EA33D9" w:rsidR="00792B1F">
        <w:t xml:space="preserve"> years, </w:t>
      </w:r>
      <w:r w:rsidR="00A46000">
        <w:t>in</w:t>
      </w:r>
      <w:r w:rsidRPr="00EA33D9" w:rsidR="00A46000">
        <w:t>clusive</w:t>
      </w:r>
      <w:r w:rsidRPr="00EA33D9" w:rsidR="00792B1F">
        <w:t xml:space="preserve"> of all government taxes and fees, with application of an annual inflation factor based on the </w:t>
      </w:r>
      <w:r w:rsidR="00A32A7F">
        <w:t xml:space="preserve">Alabama </w:t>
      </w:r>
      <w:r w:rsidRPr="00EA33D9" w:rsidR="00792B1F">
        <w:t>Producer Price Index for the State of Alabama</w:t>
      </w:r>
      <w:r w:rsidR="00792B1F">
        <w:t xml:space="preserve">. As noted in </w:t>
      </w:r>
      <w:r w:rsidR="00937BB2">
        <w:t>the Alabama Statewide</w:t>
      </w:r>
      <w:r w:rsidR="00792B1F">
        <w:t xml:space="preserve"> Digital Opportunity Plan, the most-cited reason for not subscribing to internet service in Alabama is price.</w:t>
      </w:r>
      <w:r w:rsidR="001D4659">
        <w:rPr>
          <w:rStyle w:val="FootnoteReference"/>
        </w:rPr>
        <w:footnoteReference w:id="45"/>
      </w:r>
      <w:r w:rsidR="00792B1F">
        <w:t xml:space="preserve"> The availability of $30 per month service, where economically feasible, will help address the gap between the level of internet adoption in Alabama and in the nation as a whole.</w:t>
      </w:r>
    </w:p>
    <w:p w:rsidRPr="00EE7B2A" w:rsidR="00FD173D" w:rsidP="008A211A" w:rsidRDefault="00FD173D" w14:paraId="3676717B" w14:textId="0D35A849">
      <w:pPr>
        <w:pStyle w:val="Heading3"/>
        <w:numPr>
          <w:ilvl w:val="2"/>
          <w:numId w:val="22"/>
        </w:numPr>
      </w:pPr>
      <w:bookmarkStart w:name="_Ref149834570" w:id="79"/>
      <w:bookmarkStart w:name="_Toc150852630" w:id="80"/>
      <w:r w:rsidRPr="00EE7B2A">
        <w:t xml:space="preserve">Scoring </w:t>
      </w:r>
      <w:bookmarkEnd w:id="76"/>
      <w:bookmarkEnd w:id="77"/>
      <w:bookmarkEnd w:id="78"/>
      <w:bookmarkEnd w:id="79"/>
      <w:r w:rsidR="003503BB">
        <w:t>R</w:t>
      </w:r>
      <w:r w:rsidRPr="00EE7B2A">
        <w:t>ubric</w:t>
      </w:r>
      <w:bookmarkEnd w:id="80"/>
    </w:p>
    <w:p w:rsidR="00FD173D" w:rsidP="00FD173D" w:rsidRDefault="00E014D5" w14:paraId="1CC510ED" w14:textId="3A03448E">
      <w:r>
        <w:t xml:space="preserve">A summary of ADECA’s </w:t>
      </w:r>
      <w:r w:rsidRPr="00EE7B2A" w:rsidR="00FD173D">
        <w:t xml:space="preserve">proposed scoring rubric is </w:t>
      </w:r>
      <w:r w:rsidR="00817BDC">
        <w:t xml:space="preserve">provided </w:t>
      </w:r>
      <w:r w:rsidRPr="00EE7B2A" w:rsidR="00FD173D">
        <w:t>below</w:t>
      </w:r>
      <w:r w:rsidR="00FD173D">
        <w:t>, first for Priority Broadband Projects and then for Other Last-Mile Broadband Deployment Projects</w:t>
      </w:r>
      <w:r w:rsidR="005E7DB1">
        <w:t xml:space="preserve">. </w:t>
      </w:r>
      <w:r w:rsidR="005E7DB1">
        <w:rPr>
          <w:rFonts w:cs="Arial"/>
        </w:rPr>
        <w:t xml:space="preserve">When this Initial Proposal is submitted to NTIA, it will include </w:t>
      </w:r>
      <w:r w:rsidR="00541287">
        <w:rPr>
          <w:rFonts w:cs="Arial"/>
        </w:rPr>
        <w:t>the</w:t>
      </w:r>
      <w:r w:rsidR="005E7DB1">
        <w:rPr>
          <w:rFonts w:cs="Arial"/>
        </w:rPr>
        <w:t xml:space="preserve"> scoring rubric </w:t>
      </w:r>
      <w:r w:rsidR="00EE1063">
        <w:rPr>
          <w:rFonts w:cs="Arial"/>
        </w:rPr>
        <w:t xml:space="preserve">as Appendix </w:t>
      </w:r>
      <w:r w:rsidR="0069737B">
        <w:rPr>
          <w:rFonts w:cs="Arial"/>
        </w:rPr>
        <w:t>E</w:t>
      </w:r>
      <w:r w:rsidR="00EE1063">
        <w:rPr>
          <w:rFonts w:cs="Arial"/>
        </w:rPr>
        <w:t xml:space="preserve">, </w:t>
      </w:r>
      <w:r w:rsidR="0047397C">
        <w:rPr>
          <w:rFonts w:cs="Arial"/>
        </w:rPr>
        <w:t>modeled after NTIA’s template</w:t>
      </w:r>
      <w:r w:rsidR="00EE1063">
        <w:t>.</w:t>
      </w:r>
    </w:p>
    <w:p w:rsidRPr="003353BA" w:rsidR="00195892" w:rsidP="00FD173D" w:rsidRDefault="00195892" w14:paraId="5F61ADAC" w14:textId="1585AE17">
      <w:r w:rsidRPr="00D4416F">
        <w:rPr>
          <w:b/>
          <w:bCs/>
        </w:rPr>
        <w:t xml:space="preserve">Scoring Criteria for </w:t>
      </w:r>
      <w:r w:rsidRPr="00195892">
        <w:rPr>
          <w:b/>
          <w:bCs/>
        </w:rPr>
        <w:t xml:space="preserve">Priority Broadband </w:t>
      </w:r>
      <w:r w:rsidRPr="00D4416F">
        <w:rPr>
          <w:b/>
          <w:bCs/>
        </w:rPr>
        <w:t>Projects</w:t>
      </w:r>
    </w:p>
    <w:tbl>
      <w:tblPr>
        <w:tblStyle w:val="TableGrid"/>
        <w:tblW w:w="0" w:type="auto"/>
        <w:tblLook w:val="04A0" w:firstRow="1" w:lastRow="0" w:firstColumn="1" w:lastColumn="0" w:noHBand="0" w:noVBand="1"/>
      </w:tblPr>
      <w:tblGrid>
        <w:gridCol w:w="6295"/>
        <w:gridCol w:w="3055"/>
      </w:tblGrid>
      <w:tr w:rsidRPr="00CF69D3" w:rsidR="00FD173D" w:rsidTr="00D03F35" w14:paraId="08F0C9CB" w14:textId="77777777">
        <w:trPr>
          <w:tblHeader/>
        </w:trPr>
        <w:tc>
          <w:tcPr>
            <w:tcW w:w="6295" w:type="dxa"/>
            <w:shd w:val="clear" w:color="auto" w:fill="0A2458"/>
          </w:tcPr>
          <w:p w:rsidRPr="00094EDB" w:rsidR="00FD173D" w:rsidRDefault="00FD173D" w14:paraId="4F27052D" w14:textId="6BF3EA02">
            <w:r w:rsidRPr="00094EDB">
              <w:t xml:space="preserve">Primary </w:t>
            </w:r>
            <w:r w:rsidR="00094EDB">
              <w:t>s</w:t>
            </w:r>
            <w:r w:rsidRPr="00094EDB">
              <w:t xml:space="preserve">coring </w:t>
            </w:r>
            <w:r w:rsidR="00094EDB">
              <w:t>c</w:t>
            </w:r>
            <w:r w:rsidRPr="00094EDB">
              <w:t>riterion (all are mandatory under NTIA rules)</w:t>
            </w:r>
          </w:p>
        </w:tc>
        <w:tc>
          <w:tcPr>
            <w:tcW w:w="3055" w:type="dxa"/>
            <w:shd w:val="clear" w:color="auto" w:fill="0A2458"/>
          </w:tcPr>
          <w:p w:rsidRPr="00094EDB" w:rsidR="00FD173D" w:rsidRDefault="00FD173D" w14:paraId="26FE6837" w14:textId="44FEB107">
            <w:r w:rsidRPr="00094EDB">
              <w:t>Points available</w:t>
            </w:r>
          </w:p>
        </w:tc>
      </w:tr>
      <w:tr w:rsidRPr="00CF69D3" w:rsidR="00FD173D" w14:paraId="3A2F8F17" w14:textId="77777777">
        <w:tc>
          <w:tcPr>
            <w:tcW w:w="6295" w:type="dxa"/>
          </w:tcPr>
          <w:p w:rsidRPr="00094EDB" w:rsidR="00FD173D" w:rsidRDefault="008015E0" w14:paraId="187A32FC" w14:textId="0A4720B5">
            <w:r>
              <w:t xml:space="preserve">Minimum BEAD </w:t>
            </w:r>
            <w:r w:rsidR="00456967">
              <w:t>P</w:t>
            </w:r>
            <w:r>
              <w:t xml:space="preserve">rogram </w:t>
            </w:r>
            <w:r w:rsidRPr="00094EDB" w:rsidR="00FD173D">
              <w:t>outlay</w:t>
            </w:r>
          </w:p>
        </w:tc>
        <w:tc>
          <w:tcPr>
            <w:tcW w:w="3055" w:type="dxa"/>
            <w:vAlign w:val="center"/>
          </w:tcPr>
          <w:p w:rsidRPr="00094EDB" w:rsidR="00FD173D" w:rsidRDefault="00F62B26" w14:paraId="2302B6E7" w14:textId="349C6C77">
            <w:r>
              <w:t>4</w:t>
            </w:r>
            <w:r w:rsidRPr="00094EDB">
              <w:t>0</w:t>
            </w:r>
          </w:p>
        </w:tc>
      </w:tr>
      <w:tr w:rsidRPr="00CF69D3" w:rsidR="00FD173D" w14:paraId="0778D659" w14:textId="77777777">
        <w:tc>
          <w:tcPr>
            <w:tcW w:w="6295" w:type="dxa"/>
          </w:tcPr>
          <w:p w:rsidRPr="00094EDB" w:rsidR="00FD173D" w:rsidRDefault="006A04EE" w14:paraId="4D9130A8" w14:textId="5826C36C">
            <w:r>
              <w:t>Affordability</w:t>
            </w:r>
          </w:p>
        </w:tc>
        <w:tc>
          <w:tcPr>
            <w:tcW w:w="3055" w:type="dxa"/>
            <w:vAlign w:val="center"/>
          </w:tcPr>
          <w:p w:rsidRPr="00094EDB" w:rsidR="00FD173D" w:rsidRDefault="00CD2023" w14:paraId="56048BED" w14:textId="6C604435">
            <w:r>
              <w:t>20</w:t>
            </w:r>
          </w:p>
        </w:tc>
      </w:tr>
      <w:tr w:rsidRPr="00CF69D3" w:rsidR="00FD173D" w14:paraId="1FB97A72" w14:textId="77777777">
        <w:tc>
          <w:tcPr>
            <w:tcW w:w="6295" w:type="dxa"/>
          </w:tcPr>
          <w:p w:rsidRPr="00094EDB" w:rsidR="00FD173D" w:rsidRDefault="006A04EE" w14:paraId="41C3C03D" w14:textId="6C0241C8">
            <w:r>
              <w:t>Fair labor practices</w:t>
            </w:r>
            <w:r w:rsidRPr="00094EDB" w:rsidR="00FD173D">
              <w:t xml:space="preserve"> </w:t>
            </w:r>
          </w:p>
        </w:tc>
        <w:tc>
          <w:tcPr>
            <w:tcW w:w="3055" w:type="dxa"/>
            <w:vAlign w:val="center"/>
          </w:tcPr>
          <w:p w:rsidRPr="00094EDB" w:rsidR="00FD173D" w:rsidRDefault="00F62B26" w14:paraId="0DB2CEF0" w14:textId="054AEF74">
            <w:r w:rsidRPr="00094EDB">
              <w:t>1</w:t>
            </w:r>
            <w:r>
              <w:t>5</w:t>
            </w:r>
          </w:p>
        </w:tc>
      </w:tr>
      <w:tr w:rsidRPr="0057171F" w:rsidR="00FD173D" w14:paraId="53B18E17" w14:textId="77777777">
        <w:tc>
          <w:tcPr>
            <w:tcW w:w="6295" w:type="dxa"/>
            <w:shd w:val="clear" w:color="auto" w:fill="95B3D7" w:themeFill="accent1" w:themeFillTint="99"/>
          </w:tcPr>
          <w:p w:rsidRPr="00094EDB" w:rsidR="00FD173D" w:rsidRDefault="00FD173D" w14:paraId="299B362A" w14:textId="77777777">
            <w:pPr>
              <w:rPr>
                <w:color w:val="FFFFFF" w:themeColor="background1"/>
              </w:rPr>
            </w:pPr>
            <w:r w:rsidRPr="00094EDB">
              <w:rPr>
                <w:color w:val="FFFFFF" w:themeColor="background1"/>
              </w:rPr>
              <w:t>Primary Criteria subtotal</w:t>
            </w:r>
          </w:p>
        </w:tc>
        <w:tc>
          <w:tcPr>
            <w:tcW w:w="3055" w:type="dxa"/>
            <w:shd w:val="clear" w:color="auto" w:fill="95B3D7" w:themeFill="accent1" w:themeFillTint="99"/>
            <w:vAlign w:val="center"/>
          </w:tcPr>
          <w:p w:rsidRPr="00094EDB" w:rsidR="00FD173D" w:rsidRDefault="00FD173D" w14:paraId="4279BF6D" w14:textId="0D6CC2DB">
            <w:pPr>
              <w:rPr>
                <w:color w:val="FFFFFF" w:themeColor="background1"/>
              </w:rPr>
            </w:pPr>
            <w:r w:rsidRPr="00094EDB">
              <w:rPr>
                <w:color w:val="FFFFFF" w:themeColor="background1"/>
              </w:rPr>
              <w:t>75</w:t>
            </w:r>
          </w:p>
        </w:tc>
      </w:tr>
      <w:tr w:rsidRPr="0057171F" w:rsidR="00FD173D" w14:paraId="66126C06" w14:textId="77777777">
        <w:tc>
          <w:tcPr>
            <w:tcW w:w="6295" w:type="dxa"/>
            <w:shd w:val="clear" w:color="auto" w:fill="365F91" w:themeFill="accent1" w:themeFillShade="BF"/>
          </w:tcPr>
          <w:p w:rsidRPr="00094EDB" w:rsidR="00FD173D" w:rsidRDefault="00FD173D" w14:paraId="5DA4EBDC" w14:textId="77777777">
            <w:pPr>
              <w:rPr>
                <w:color w:val="FFFFFF" w:themeColor="background1"/>
              </w:rPr>
            </w:pPr>
            <w:r w:rsidRPr="00094EDB">
              <w:rPr>
                <w:color w:val="FFFFFF" w:themeColor="background1"/>
              </w:rPr>
              <w:t>Secondary Criteria</w:t>
            </w:r>
          </w:p>
        </w:tc>
        <w:tc>
          <w:tcPr>
            <w:tcW w:w="3055" w:type="dxa"/>
            <w:shd w:val="clear" w:color="auto" w:fill="365F91" w:themeFill="accent1" w:themeFillShade="BF"/>
            <w:vAlign w:val="center"/>
          </w:tcPr>
          <w:p w:rsidRPr="00094EDB" w:rsidR="00FD173D" w:rsidRDefault="00FD173D" w14:paraId="1AF93928" w14:textId="77777777">
            <w:pPr>
              <w:rPr>
                <w:color w:val="FFFFFF" w:themeColor="background1"/>
              </w:rPr>
            </w:pPr>
          </w:p>
        </w:tc>
      </w:tr>
      <w:tr w:rsidRPr="00CF69D3" w:rsidR="00FD173D" w14:paraId="10A1CC3A" w14:textId="77777777">
        <w:tc>
          <w:tcPr>
            <w:tcW w:w="6295" w:type="dxa"/>
          </w:tcPr>
          <w:p w:rsidRPr="00094EDB" w:rsidR="00FD173D" w:rsidRDefault="00FD173D" w14:paraId="6BC720BB" w14:textId="77777777">
            <w:r w:rsidRPr="00094EDB">
              <w:t>Speed to deployment (mandatory under NTIA rules)</w:t>
            </w:r>
          </w:p>
        </w:tc>
        <w:tc>
          <w:tcPr>
            <w:tcW w:w="3055" w:type="dxa"/>
            <w:vAlign w:val="center"/>
          </w:tcPr>
          <w:p w:rsidRPr="00094EDB" w:rsidR="00FD173D" w:rsidRDefault="00FD173D" w14:paraId="513F9E1E" w14:textId="77777777">
            <w:r w:rsidRPr="00094EDB">
              <w:t>1</w:t>
            </w:r>
          </w:p>
        </w:tc>
      </w:tr>
      <w:tr w:rsidRPr="00CF69D3" w:rsidR="00FD173D" w14:paraId="69C901CA" w14:textId="77777777">
        <w:tc>
          <w:tcPr>
            <w:tcW w:w="6295" w:type="dxa"/>
          </w:tcPr>
          <w:p w:rsidRPr="00094EDB" w:rsidR="00FD173D" w:rsidRDefault="00FD173D" w14:paraId="2A24930E" w14:textId="7012311D">
            <w:r w:rsidRPr="00094EDB">
              <w:t>Community/</w:t>
            </w:r>
            <w:r w:rsidR="00572F42">
              <w:t>L</w:t>
            </w:r>
            <w:r w:rsidRPr="00094EDB">
              <w:t>ocal government/Tribal government support</w:t>
            </w:r>
          </w:p>
        </w:tc>
        <w:tc>
          <w:tcPr>
            <w:tcW w:w="3055" w:type="dxa"/>
            <w:vAlign w:val="center"/>
          </w:tcPr>
          <w:p w:rsidRPr="00094EDB" w:rsidR="00FD173D" w:rsidRDefault="00FD173D" w14:paraId="582A4C96" w14:textId="77777777">
            <w:r w:rsidRPr="00094EDB">
              <w:t>10</w:t>
            </w:r>
          </w:p>
        </w:tc>
      </w:tr>
      <w:tr w:rsidRPr="00CF69D3" w:rsidR="00FD173D" w14:paraId="75605480" w14:textId="77777777">
        <w:tc>
          <w:tcPr>
            <w:tcW w:w="6295" w:type="dxa"/>
          </w:tcPr>
          <w:p w:rsidRPr="00094EDB" w:rsidR="00FD173D" w:rsidRDefault="00FD173D" w14:paraId="5F56806B" w14:textId="77777777">
            <w:r w:rsidRPr="00094EDB">
              <w:t>Percentage of unserved locations</w:t>
            </w:r>
          </w:p>
        </w:tc>
        <w:tc>
          <w:tcPr>
            <w:tcW w:w="3055" w:type="dxa"/>
            <w:vAlign w:val="center"/>
          </w:tcPr>
          <w:p w:rsidRPr="00094EDB" w:rsidR="00FD173D" w:rsidRDefault="00FD173D" w14:paraId="14896124" w14:textId="77777777">
            <w:r w:rsidRPr="00094EDB">
              <w:t>10</w:t>
            </w:r>
          </w:p>
        </w:tc>
      </w:tr>
      <w:tr w:rsidRPr="00CF69D3" w:rsidR="00404CAC" w14:paraId="1F102C3C" w14:textId="77777777">
        <w:tc>
          <w:tcPr>
            <w:tcW w:w="6295" w:type="dxa"/>
          </w:tcPr>
          <w:p w:rsidRPr="00094EDB" w:rsidR="00404CAC" w:rsidRDefault="00404CAC" w14:paraId="0F9A2AAE" w14:textId="03AC5E9A">
            <w:r>
              <w:t>Low</w:t>
            </w:r>
            <w:r w:rsidR="00AF5108">
              <w:t>er-cost</w:t>
            </w:r>
            <w:r>
              <w:t xml:space="preserve"> </w:t>
            </w:r>
            <w:r w:rsidR="007234B7">
              <w:t>residential service</w:t>
            </w:r>
          </w:p>
        </w:tc>
        <w:tc>
          <w:tcPr>
            <w:tcW w:w="3055" w:type="dxa"/>
            <w:vAlign w:val="center"/>
          </w:tcPr>
          <w:p w:rsidRPr="00094EDB" w:rsidR="00404CAC" w:rsidRDefault="00B27F7F" w14:paraId="2863FDE6" w14:textId="08484234">
            <w:r>
              <w:t>4</w:t>
            </w:r>
          </w:p>
        </w:tc>
      </w:tr>
      <w:tr w:rsidRPr="0057171F" w:rsidR="00FD173D" w14:paraId="476240F3" w14:textId="77777777">
        <w:tc>
          <w:tcPr>
            <w:tcW w:w="6295" w:type="dxa"/>
            <w:shd w:val="clear" w:color="auto" w:fill="95B3D7" w:themeFill="accent1" w:themeFillTint="99"/>
          </w:tcPr>
          <w:p w:rsidRPr="00094EDB" w:rsidR="00FD173D" w:rsidRDefault="00FD173D" w14:paraId="225A8277" w14:textId="77777777">
            <w:pPr>
              <w:rPr>
                <w:color w:val="FFFFFF" w:themeColor="background1"/>
              </w:rPr>
            </w:pPr>
            <w:r w:rsidRPr="00094EDB">
              <w:rPr>
                <w:color w:val="FFFFFF" w:themeColor="background1"/>
              </w:rPr>
              <w:t>Secondary Criteria subtotal</w:t>
            </w:r>
          </w:p>
        </w:tc>
        <w:tc>
          <w:tcPr>
            <w:tcW w:w="3055" w:type="dxa"/>
            <w:shd w:val="clear" w:color="auto" w:fill="95B3D7" w:themeFill="accent1" w:themeFillTint="99"/>
            <w:vAlign w:val="center"/>
          </w:tcPr>
          <w:p w:rsidRPr="00094EDB" w:rsidR="00FD173D" w:rsidRDefault="00FD173D" w14:paraId="054BC8C8" w14:textId="77777777">
            <w:pPr>
              <w:rPr>
                <w:color w:val="FFFFFF" w:themeColor="background1"/>
              </w:rPr>
            </w:pPr>
            <w:r w:rsidRPr="00094EDB">
              <w:rPr>
                <w:color w:val="FFFFFF" w:themeColor="background1"/>
              </w:rPr>
              <w:t>25</w:t>
            </w:r>
          </w:p>
        </w:tc>
      </w:tr>
      <w:tr w:rsidRPr="00CF69D3" w:rsidR="00FD173D" w14:paraId="30893C5B" w14:textId="77777777">
        <w:tc>
          <w:tcPr>
            <w:tcW w:w="6295" w:type="dxa"/>
            <w:shd w:val="clear" w:color="auto" w:fill="DBE5F1" w:themeFill="accent1" w:themeFillTint="33"/>
          </w:tcPr>
          <w:p w:rsidRPr="00094EDB" w:rsidR="00FD173D" w:rsidRDefault="00FD173D" w14:paraId="1F628F22" w14:textId="77777777">
            <w:r w:rsidRPr="00094EDB">
              <w:t>Total</w:t>
            </w:r>
          </w:p>
        </w:tc>
        <w:tc>
          <w:tcPr>
            <w:tcW w:w="3055" w:type="dxa"/>
            <w:shd w:val="clear" w:color="auto" w:fill="DBE5F1" w:themeFill="accent1" w:themeFillTint="33"/>
            <w:vAlign w:val="center"/>
          </w:tcPr>
          <w:p w:rsidRPr="00094EDB" w:rsidR="00FD173D" w:rsidRDefault="00FD173D" w14:paraId="2319D190" w14:textId="77777777">
            <w:r w:rsidRPr="00094EDB">
              <w:t>100</w:t>
            </w:r>
          </w:p>
        </w:tc>
      </w:tr>
    </w:tbl>
    <w:p w:rsidR="00FD173D" w:rsidP="0094321E" w:rsidRDefault="00FD173D" w14:paraId="1BDD4DFF" w14:textId="77777777">
      <w:pPr>
        <w:spacing w:after="0" w:line="240" w:lineRule="auto"/>
      </w:pPr>
    </w:p>
    <w:p w:rsidRPr="00D4416F" w:rsidR="00FD173D" w:rsidP="0094321E" w:rsidRDefault="00FD173D" w14:paraId="1405E86F" w14:textId="77777777">
      <w:pPr>
        <w:keepNext/>
        <w:rPr>
          <w:b/>
          <w:bCs/>
        </w:rPr>
      </w:pPr>
      <w:r w:rsidRPr="00D4416F">
        <w:rPr>
          <w:b/>
          <w:bCs/>
        </w:rPr>
        <w:t>Scoring Criteria for Other Last-Mile Broadband Deployment Projects</w:t>
      </w:r>
    </w:p>
    <w:tbl>
      <w:tblPr>
        <w:tblStyle w:val="TableGrid"/>
        <w:tblW w:w="0" w:type="auto"/>
        <w:tblLook w:val="04A0" w:firstRow="1" w:lastRow="0" w:firstColumn="1" w:lastColumn="0" w:noHBand="0" w:noVBand="1"/>
      </w:tblPr>
      <w:tblGrid>
        <w:gridCol w:w="6295"/>
        <w:gridCol w:w="3055"/>
      </w:tblGrid>
      <w:tr w:rsidRPr="00CF69D3" w:rsidR="00FD173D" w:rsidTr="00D03F35" w14:paraId="4ACA9190" w14:textId="77777777">
        <w:trPr>
          <w:tblHeader/>
        </w:trPr>
        <w:tc>
          <w:tcPr>
            <w:tcW w:w="6295" w:type="dxa"/>
            <w:shd w:val="clear" w:color="auto" w:fill="0A2458"/>
          </w:tcPr>
          <w:p w:rsidRPr="00D03F35" w:rsidR="00FD173D" w:rsidRDefault="00FD173D" w14:paraId="41B2B806" w14:textId="05DDBA04">
            <w:r w:rsidRPr="00D03F35">
              <w:t xml:space="preserve">Primary </w:t>
            </w:r>
            <w:r w:rsidR="00D03F35">
              <w:t>s</w:t>
            </w:r>
            <w:r w:rsidRPr="00D03F35">
              <w:t xml:space="preserve">coring </w:t>
            </w:r>
            <w:r w:rsidR="00D03F35">
              <w:t>c</w:t>
            </w:r>
            <w:r w:rsidRPr="00D03F35">
              <w:t>riterion (all are mandatory under NTIA rules)</w:t>
            </w:r>
          </w:p>
        </w:tc>
        <w:tc>
          <w:tcPr>
            <w:tcW w:w="3055" w:type="dxa"/>
            <w:shd w:val="clear" w:color="auto" w:fill="0A2458"/>
          </w:tcPr>
          <w:p w:rsidRPr="00D03F35" w:rsidR="00FD173D" w:rsidRDefault="00FD173D" w14:paraId="004AA5E2" w14:textId="77777777">
            <w:r w:rsidRPr="00D03F35">
              <w:t>Points available</w:t>
            </w:r>
          </w:p>
        </w:tc>
      </w:tr>
      <w:tr w:rsidRPr="00CF69D3" w:rsidR="00FD173D" w14:paraId="27E7F837" w14:textId="77777777">
        <w:tc>
          <w:tcPr>
            <w:tcW w:w="6295" w:type="dxa"/>
          </w:tcPr>
          <w:p w:rsidRPr="00D03F35" w:rsidR="00FD173D" w:rsidRDefault="00210B3F" w14:paraId="583F1F93" w14:textId="44679549">
            <w:r>
              <w:t xml:space="preserve">Minimum BEAD </w:t>
            </w:r>
            <w:r w:rsidR="00456967">
              <w:t>P</w:t>
            </w:r>
            <w:r>
              <w:t xml:space="preserve">rogram </w:t>
            </w:r>
            <w:r w:rsidRPr="00D03F35" w:rsidR="00FD173D">
              <w:t>outlay</w:t>
            </w:r>
          </w:p>
        </w:tc>
        <w:tc>
          <w:tcPr>
            <w:tcW w:w="3055" w:type="dxa"/>
            <w:vAlign w:val="center"/>
          </w:tcPr>
          <w:p w:rsidRPr="00D03F35" w:rsidR="00FD173D" w:rsidRDefault="0094321E" w14:paraId="08AB1F99" w14:textId="25FD5A15">
            <w:r>
              <w:t>40</w:t>
            </w:r>
          </w:p>
        </w:tc>
      </w:tr>
      <w:tr w:rsidRPr="00CF69D3" w:rsidR="00FD173D" w14:paraId="6B6DAE6F" w14:textId="77777777">
        <w:tc>
          <w:tcPr>
            <w:tcW w:w="6295" w:type="dxa"/>
          </w:tcPr>
          <w:p w:rsidRPr="00D03F35" w:rsidR="00FD173D" w:rsidRDefault="00AA073D" w14:paraId="092A2256" w14:textId="53923BF2">
            <w:r>
              <w:t>Affordability</w:t>
            </w:r>
          </w:p>
        </w:tc>
        <w:tc>
          <w:tcPr>
            <w:tcW w:w="3055" w:type="dxa"/>
            <w:vAlign w:val="center"/>
          </w:tcPr>
          <w:p w:rsidRPr="00D03F35" w:rsidR="00FD173D" w:rsidRDefault="0094321E" w14:paraId="3073F43E" w14:textId="32667427">
            <w:r>
              <w:t>20</w:t>
            </w:r>
          </w:p>
        </w:tc>
      </w:tr>
      <w:tr w:rsidRPr="00CF69D3" w:rsidR="00FD173D" w14:paraId="3F5D6742" w14:textId="77777777">
        <w:tc>
          <w:tcPr>
            <w:tcW w:w="6295" w:type="dxa"/>
          </w:tcPr>
          <w:p w:rsidRPr="00D03F35" w:rsidR="00FD173D" w:rsidRDefault="00AA073D" w14:paraId="69C9D634" w14:textId="66475CEF">
            <w:r>
              <w:t>Fair labor practices</w:t>
            </w:r>
            <w:r w:rsidRPr="00D03F35" w:rsidR="00FD173D">
              <w:t xml:space="preserve"> </w:t>
            </w:r>
          </w:p>
        </w:tc>
        <w:tc>
          <w:tcPr>
            <w:tcW w:w="3055" w:type="dxa"/>
            <w:vAlign w:val="center"/>
          </w:tcPr>
          <w:p w:rsidRPr="00D03F35" w:rsidR="00FD173D" w:rsidRDefault="0094321E" w14:paraId="7F2B68B8" w14:textId="3A698FFD">
            <w:r>
              <w:t>15</w:t>
            </w:r>
          </w:p>
        </w:tc>
      </w:tr>
      <w:tr w:rsidRPr="0057171F" w:rsidR="00FD173D" w14:paraId="132947D2" w14:textId="77777777">
        <w:tc>
          <w:tcPr>
            <w:tcW w:w="6295" w:type="dxa"/>
            <w:shd w:val="clear" w:color="auto" w:fill="95B3D7" w:themeFill="accent1" w:themeFillTint="99"/>
          </w:tcPr>
          <w:p w:rsidRPr="00D03F35" w:rsidR="00FD173D" w:rsidRDefault="00FD173D" w14:paraId="7D4F3819" w14:textId="77777777">
            <w:pPr>
              <w:rPr>
                <w:color w:val="FFFFFF" w:themeColor="background1"/>
              </w:rPr>
            </w:pPr>
            <w:r w:rsidRPr="00D03F35">
              <w:rPr>
                <w:color w:val="FFFFFF" w:themeColor="background1"/>
              </w:rPr>
              <w:t>Primary Criteria subtotal</w:t>
            </w:r>
          </w:p>
        </w:tc>
        <w:tc>
          <w:tcPr>
            <w:tcW w:w="3055" w:type="dxa"/>
            <w:shd w:val="clear" w:color="auto" w:fill="95B3D7" w:themeFill="accent1" w:themeFillTint="99"/>
            <w:vAlign w:val="center"/>
          </w:tcPr>
          <w:p w:rsidRPr="00D03F35" w:rsidR="00FD173D" w:rsidRDefault="00FD173D" w14:paraId="63281137" w14:textId="77777777">
            <w:pPr>
              <w:rPr>
                <w:color w:val="FFFFFF" w:themeColor="background1"/>
              </w:rPr>
            </w:pPr>
            <w:r w:rsidRPr="00D03F35">
              <w:rPr>
                <w:color w:val="FFFFFF" w:themeColor="background1"/>
              </w:rPr>
              <w:t>75</w:t>
            </w:r>
          </w:p>
        </w:tc>
      </w:tr>
      <w:tr w:rsidRPr="0057171F" w:rsidR="00FD173D" w14:paraId="08C22BD1" w14:textId="77777777">
        <w:tc>
          <w:tcPr>
            <w:tcW w:w="6295" w:type="dxa"/>
            <w:shd w:val="clear" w:color="auto" w:fill="365F91" w:themeFill="accent1" w:themeFillShade="BF"/>
          </w:tcPr>
          <w:p w:rsidRPr="00D03F35" w:rsidR="00FD173D" w:rsidRDefault="00FD173D" w14:paraId="31B4F8CA" w14:textId="11815CED">
            <w:pPr>
              <w:rPr>
                <w:color w:val="FFFFFF" w:themeColor="background1"/>
              </w:rPr>
            </w:pPr>
            <w:r w:rsidRPr="00D03F35">
              <w:rPr>
                <w:color w:val="FFFFFF" w:themeColor="background1"/>
              </w:rPr>
              <w:t>Secondary Criteria</w:t>
            </w:r>
          </w:p>
        </w:tc>
        <w:tc>
          <w:tcPr>
            <w:tcW w:w="3055" w:type="dxa"/>
            <w:shd w:val="clear" w:color="auto" w:fill="365F91" w:themeFill="accent1" w:themeFillShade="BF"/>
            <w:vAlign w:val="center"/>
          </w:tcPr>
          <w:p w:rsidRPr="00D03F35" w:rsidR="00FD173D" w:rsidRDefault="00FD173D" w14:paraId="06B92B63" w14:textId="77777777">
            <w:pPr>
              <w:rPr>
                <w:color w:val="FFFFFF" w:themeColor="background1"/>
              </w:rPr>
            </w:pPr>
          </w:p>
        </w:tc>
      </w:tr>
      <w:tr w:rsidRPr="00CF69D3" w:rsidR="00FD173D" w14:paraId="671D66EE" w14:textId="77777777">
        <w:tc>
          <w:tcPr>
            <w:tcW w:w="6295" w:type="dxa"/>
          </w:tcPr>
          <w:p w:rsidRPr="00D03F35" w:rsidR="00FD173D" w:rsidRDefault="00FD173D" w14:paraId="1C17A2E8" w14:textId="77777777">
            <w:r w:rsidRPr="00D03F35">
              <w:t>Speed to deployment (mandatory under NTIA rules)</w:t>
            </w:r>
          </w:p>
        </w:tc>
        <w:tc>
          <w:tcPr>
            <w:tcW w:w="3055" w:type="dxa"/>
            <w:vAlign w:val="center"/>
          </w:tcPr>
          <w:p w:rsidRPr="00D03F35" w:rsidR="00FD173D" w:rsidRDefault="00FD173D" w14:paraId="51D157AD" w14:textId="77777777">
            <w:r w:rsidRPr="00D03F35">
              <w:t>1</w:t>
            </w:r>
          </w:p>
        </w:tc>
      </w:tr>
      <w:tr w:rsidRPr="00CF69D3" w:rsidR="00FD173D" w14:paraId="78FF924E" w14:textId="77777777">
        <w:tc>
          <w:tcPr>
            <w:tcW w:w="6295" w:type="dxa"/>
          </w:tcPr>
          <w:p w:rsidRPr="00D03F35" w:rsidR="00FD173D" w:rsidRDefault="00FD173D" w14:paraId="6E02A58E" w14:textId="77777777">
            <w:r w:rsidRPr="00D03F35">
              <w:t>Speed of network and other technical capabilities (mandatory under NTIA rules)</w:t>
            </w:r>
          </w:p>
        </w:tc>
        <w:tc>
          <w:tcPr>
            <w:tcW w:w="3055" w:type="dxa"/>
            <w:vAlign w:val="center"/>
          </w:tcPr>
          <w:p w:rsidRPr="00D03F35" w:rsidR="00FD173D" w:rsidRDefault="00FD173D" w14:paraId="76962468" w14:textId="77777777">
            <w:r w:rsidRPr="00D03F35">
              <w:t>10</w:t>
            </w:r>
          </w:p>
        </w:tc>
      </w:tr>
      <w:tr w:rsidRPr="00CF69D3" w:rsidR="00FD173D" w14:paraId="36C2B749" w14:textId="77777777">
        <w:tc>
          <w:tcPr>
            <w:tcW w:w="6295" w:type="dxa"/>
          </w:tcPr>
          <w:p w:rsidRPr="00D03F35" w:rsidR="00FD173D" w:rsidRDefault="00FD173D" w14:paraId="7F9CA328" w14:textId="1BAEA888">
            <w:r w:rsidRPr="00D03F35">
              <w:t>Community/</w:t>
            </w:r>
            <w:r w:rsidR="00D71B04">
              <w:t>L</w:t>
            </w:r>
            <w:r w:rsidRPr="00D03F35">
              <w:t>ocal government/Tribal government support</w:t>
            </w:r>
          </w:p>
        </w:tc>
        <w:tc>
          <w:tcPr>
            <w:tcW w:w="3055" w:type="dxa"/>
            <w:vAlign w:val="center"/>
          </w:tcPr>
          <w:p w:rsidRPr="00D03F35" w:rsidR="00FD173D" w:rsidRDefault="00FD173D" w14:paraId="372C3A3B" w14:textId="77777777">
            <w:r w:rsidRPr="00D03F35">
              <w:t>10</w:t>
            </w:r>
          </w:p>
        </w:tc>
      </w:tr>
      <w:tr w:rsidRPr="00CF69D3" w:rsidR="00E05FA8" w14:paraId="0C390CC1" w14:textId="77777777">
        <w:tc>
          <w:tcPr>
            <w:tcW w:w="6295" w:type="dxa"/>
          </w:tcPr>
          <w:p w:rsidRPr="00D03F35" w:rsidR="00E05FA8" w:rsidP="00E05FA8" w:rsidRDefault="001031B4" w14:paraId="2662BD8D" w14:textId="44BB87D8">
            <w:r>
              <w:t xml:space="preserve">Lower-cost residential </w:t>
            </w:r>
            <w:r w:rsidR="00E05FA8">
              <w:t>service</w:t>
            </w:r>
          </w:p>
        </w:tc>
        <w:tc>
          <w:tcPr>
            <w:tcW w:w="3055" w:type="dxa"/>
            <w:vAlign w:val="center"/>
          </w:tcPr>
          <w:p w:rsidRPr="00D03F35" w:rsidR="00E05FA8" w:rsidP="00E05FA8" w:rsidRDefault="00B27F7F" w14:paraId="350E9A0F" w14:textId="2DFF0A9B">
            <w:r>
              <w:t>4</w:t>
            </w:r>
          </w:p>
        </w:tc>
      </w:tr>
      <w:tr w:rsidRPr="0057171F" w:rsidR="00E05FA8" w14:paraId="11E6E15F" w14:textId="77777777">
        <w:tc>
          <w:tcPr>
            <w:tcW w:w="6295" w:type="dxa"/>
            <w:shd w:val="clear" w:color="auto" w:fill="95B3D7" w:themeFill="accent1" w:themeFillTint="99"/>
          </w:tcPr>
          <w:p w:rsidRPr="00D03F35" w:rsidR="00E05FA8" w:rsidP="00E05FA8" w:rsidRDefault="00E05FA8" w14:paraId="292049CF" w14:textId="77777777">
            <w:pPr>
              <w:rPr>
                <w:color w:val="FFFFFF" w:themeColor="background1"/>
              </w:rPr>
            </w:pPr>
            <w:r w:rsidRPr="00D03F35">
              <w:rPr>
                <w:color w:val="FFFFFF" w:themeColor="background1"/>
              </w:rPr>
              <w:t>Secondary Criteria subtotal</w:t>
            </w:r>
          </w:p>
        </w:tc>
        <w:tc>
          <w:tcPr>
            <w:tcW w:w="3055" w:type="dxa"/>
            <w:shd w:val="clear" w:color="auto" w:fill="95B3D7" w:themeFill="accent1" w:themeFillTint="99"/>
            <w:vAlign w:val="center"/>
          </w:tcPr>
          <w:p w:rsidRPr="00D03F35" w:rsidR="00E05FA8" w:rsidP="00E05FA8" w:rsidRDefault="00E05FA8" w14:paraId="56BC53C7" w14:textId="77777777">
            <w:pPr>
              <w:rPr>
                <w:color w:val="FFFFFF" w:themeColor="background1"/>
              </w:rPr>
            </w:pPr>
            <w:r w:rsidRPr="00D03F35">
              <w:rPr>
                <w:color w:val="FFFFFF" w:themeColor="background1"/>
              </w:rPr>
              <w:t>25</w:t>
            </w:r>
          </w:p>
        </w:tc>
      </w:tr>
      <w:tr w:rsidRPr="00CF69D3" w:rsidR="00E05FA8" w14:paraId="144B71CB" w14:textId="77777777">
        <w:tc>
          <w:tcPr>
            <w:tcW w:w="6295" w:type="dxa"/>
            <w:shd w:val="clear" w:color="auto" w:fill="DBE5F1" w:themeFill="accent1" w:themeFillTint="33"/>
          </w:tcPr>
          <w:p w:rsidRPr="00D03F35" w:rsidR="00E05FA8" w:rsidP="00E05FA8" w:rsidRDefault="00E05FA8" w14:paraId="6160B873" w14:textId="77777777">
            <w:r w:rsidRPr="00D03F35">
              <w:t>Total</w:t>
            </w:r>
          </w:p>
        </w:tc>
        <w:tc>
          <w:tcPr>
            <w:tcW w:w="3055" w:type="dxa"/>
            <w:shd w:val="clear" w:color="auto" w:fill="DBE5F1" w:themeFill="accent1" w:themeFillTint="33"/>
            <w:vAlign w:val="center"/>
          </w:tcPr>
          <w:p w:rsidRPr="00D03F35" w:rsidR="00E05FA8" w:rsidP="00E05FA8" w:rsidRDefault="00E05FA8" w14:paraId="569103CB" w14:textId="77777777">
            <w:r w:rsidRPr="00D03F35">
              <w:t>100</w:t>
            </w:r>
          </w:p>
        </w:tc>
      </w:tr>
    </w:tbl>
    <w:p w:rsidRPr="00EE7B2A" w:rsidR="00FD173D" w:rsidP="0094321E" w:rsidRDefault="00FD173D" w14:paraId="18F9E3EA" w14:textId="77777777">
      <w:pPr>
        <w:pStyle w:val="Heading2"/>
        <w:numPr>
          <w:ilvl w:val="1"/>
          <w:numId w:val="22"/>
        </w:numPr>
        <w:spacing w:before="240"/>
      </w:pPr>
      <w:bookmarkStart w:name="_Toc146637789" w:id="81"/>
      <w:bookmarkStart w:name="_Toc147151967" w:id="82"/>
      <w:bookmarkStart w:name="_Toc148069322" w:id="83"/>
      <w:bookmarkStart w:name="_Toc150852631" w:id="84"/>
      <w:r w:rsidRPr="00EE7B2A">
        <w:t>Prioritization of unserved BSLs, underserved BSLs, and eligible CAIs</w:t>
      </w:r>
      <w:bookmarkEnd w:id="81"/>
      <w:bookmarkEnd w:id="82"/>
      <w:bookmarkEnd w:id="83"/>
      <w:bookmarkEnd w:id="84"/>
    </w:p>
    <w:p w:rsidR="00FD173D" w:rsidP="00FD173D" w:rsidRDefault="00FD173D" w14:paraId="45A95496" w14:textId="4D859814">
      <w:r>
        <w:t>ADECA</w:t>
      </w:r>
      <w:r w:rsidRPr="00EE7B2A">
        <w:t xml:space="preserve"> recognizes the</w:t>
      </w:r>
      <w:r w:rsidR="00233DBA">
        <w:t xml:space="preserve"> </w:t>
      </w:r>
      <w:r w:rsidR="0029485A">
        <w:t xml:space="preserve">service </w:t>
      </w:r>
      <w:r w:rsidR="00233DBA">
        <w:t xml:space="preserve">prioritization </w:t>
      </w:r>
      <w:r w:rsidR="00B15A24">
        <w:t>structure under BEAD</w:t>
      </w:r>
      <w:r w:rsidR="0029485A">
        <w:t xml:space="preserve">, with </w:t>
      </w:r>
      <w:r w:rsidRPr="00EE7B2A">
        <w:t xml:space="preserve">unserved locations as first priority, underserved locations as second priority, </w:t>
      </w:r>
      <w:r w:rsidR="00C037F5">
        <w:t>CAI</w:t>
      </w:r>
      <w:r w:rsidR="009A0D51">
        <w:t>s</w:t>
      </w:r>
      <w:r w:rsidRPr="00EE7B2A">
        <w:t xml:space="preserve"> as third priority, and affordable housing and other priorities following the first three. This prioritization is mandated by </w:t>
      </w:r>
      <w:r>
        <w:t>federal law</w:t>
      </w:r>
      <w:r w:rsidRPr="00EE7B2A">
        <w:t xml:space="preserve"> and aligns with </w:t>
      </w:r>
      <w:r>
        <w:t>ADECA’s</w:t>
      </w:r>
      <w:r w:rsidRPr="00EE7B2A">
        <w:t xml:space="preserve"> plans for how to utilize the BEAD funds. </w:t>
      </w:r>
    </w:p>
    <w:p w:rsidR="00FD173D" w:rsidP="00FD173D" w:rsidRDefault="002276BA" w14:paraId="0C1ECA66" w14:textId="53147290">
      <w:r>
        <w:t>ADECA</w:t>
      </w:r>
      <w:r w:rsidRPr="00EE7B2A" w:rsidR="00FD173D">
        <w:t xml:space="preserve">'s internal modeling suggests that the funds available may provide for fiber-to-the-premises to </w:t>
      </w:r>
      <w:r w:rsidR="00FC6DAC">
        <w:t xml:space="preserve">all currently </w:t>
      </w:r>
      <w:r w:rsidRPr="00EE7B2A" w:rsidR="00FD173D">
        <w:t xml:space="preserve">unserved </w:t>
      </w:r>
      <w:r w:rsidR="00FC6DAC">
        <w:t xml:space="preserve">and underserved </w:t>
      </w:r>
      <w:r w:rsidRPr="00EE7B2A" w:rsidR="00FD173D">
        <w:t>locations</w:t>
      </w:r>
      <w:r w:rsidR="00FD173D">
        <w:t xml:space="preserve"> </w:t>
      </w:r>
      <w:r w:rsidRPr="00EE7B2A" w:rsidR="00FD173D">
        <w:t xml:space="preserve">in </w:t>
      </w:r>
      <w:r w:rsidR="00FD173D">
        <w:t>Alabama</w:t>
      </w:r>
      <w:r w:rsidR="00481187">
        <w:t xml:space="preserve"> (this modeling is </w:t>
      </w:r>
      <w:r w:rsidRPr="00481187" w:rsidR="00481187">
        <w:t>based on an optimized deployment scenario but does not confirm that there will be a willing bidder for all</w:t>
      </w:r>
      <w:r w:rsidR="00FD173D">
        <w:t xml:space="preserve"> locations</w:t>
      </w:r>
      <w:r w:rsidR="00946F5C">
        <w:t>)</w:t>
      </w:r>
      <w:r w:rsidRPr="00481187" w:rsidR="00481187">
        <w:t>.</w:t>
      </w:r>
      <w:r w:rsidRPr="00EE7B2A" w:rsidR="00FD173D">
        <w:t xml:space="preserve"> However, </w:t>
      </w:r>
      <w:r w:rsidR="00FD173D">
        <w:t>ADECA</w:t>
      </w:r>
      <w:r w:rsidRPr="00EE7B2A" w:rsidR="00FD173D">
        <w:t xml:space="preserve"> believes it is unlikely, given current inflationary pressures and projected demand for broadband construction labor and materials during the BEAD deployment process, that </w:t>
      </w:r>
      <w:r w:rsidR="00FD173D">
        <w:t>Alabama</w:t>
      </w:r>
      <w:r w:rsidRPr="00EE7B2A" w:rsidR="00FD173D">
        <w:t xml:space="preserve"> will have </w:t>
      </w:r>
      <w:r w:rsidR="004545BE">
        <w:t>sufficient</w:t>
      </w:r>
      <w:r w:rsidRPr="00EE7B2A" w:rsidR="00FD173D">
        <w:t xml:space="preserve"> </w:t>
      </w:r>
      <w:r w:rsidR="00C15159">
        <w:t>BEAD</w:t>
      </w:r>
      <w:r w:rsidRPr="00EE7B2A" w:rsidR="00FD173D">
        <w:t xml:space="preserve"> funds for </w:t>
      </w:r>
      <w:r w:rsidR="00D3692C">
        <w:t xml:space="preserve">eligible </w:t>
      </w:r>
      <w:proofErr w:type="gramStart"/>
      <w:r w:rsidR="00D3692C">
        <w:t>CAIs</w:t>
      </w:r>
      <w:proofErr w:type="gramEnd"/>
      <w:r w:rsidRPr="00EE7B2A" w:rsidR="00FD173D">
        <w:t xml:space="preserve"> or the other efforts established by </w:t>
      </w:r>
      <w:r w:rsidR="00115317">
        <w:t>federal law</w:t>
      </w:r>
      <w:r w:rsidRPr="00EE7B2A" w:rsidDel="00115317" w:rsidR="00FD173D">
        <w:t xml:space="preserve"> </w:t>
      </w:r>
      <w:r w:rsidRPr="00EE7B2A" w:rsidR="00FD173D">
        <w:t>as lower priorit</w:t>
      </w:r>
      <w:r w:rsidR="00115317">
        <w:t>ies</w:t>
      </w:r>
      <w:r w:rsidRPr="00EE7B2A" w:rsidR="00FD173D">
        <w:t xml:space="preserve"> than getting broadband infrastructure to unserved </w:t>
      </w:r>
      <w:r w:rsidR="00FD173D">
        <w:t xml:space="preserve">and underserved </w:t>
      </w:r>
      <w:r w:rsidRPr="00EE7B2A" w:rsidR="00FD173D">
        <w:t>locations.</w:t>
      </w:r>
      <w:r w:rsidR="00FD173D">
        <w:t xml:space="preserve"> </w:t>
      </w:r>
    </w:p>
    <w:p w:rsidRPr="00EE7B2A" w:rsidR="00FD173D" w:rsidP="00FD173D" w:rsidRDefault="00FD173D" w14:paraId="14475E9C" w14:textId="31E6C404">
      <w:r>
        <w:t xml:space="preserve">Furthermore, ADECA </w:t>
      </w:r>
      <w:r w:rsidR="005D66B3">
        <w:t xml:space="preserve">will </w:t>
      </w:r>
      <w:r>
        <w:t xml:space="preserve">provide extensive funding to serve </w:t>
      </w:r>
      <w:r w:rsidR="005D66B3">
        <w:t>CAIs</w:t>
      </w:r>
      <w:r>
        <w:t xml:space="preserve"> through </w:t>
      </w:r>
      <w:r w:rsidR="005D66B3">
        <w:t>its</w:t>
      </w:r>
      <w:r>
        <w:t xml:space="preserve"> </w:t>
      </w:r>
      <w:r w:rsidR="00A87482">
        <w:t>Alabama Anchor Institution/Middle-Mile (AIMM) Program.</w:t>
      </w:r>
      <w:r w:rsidR="00A87482">
        <w:rPr>
          <w:rStyle w:val="FootnoteReference"/>
        </w:rPr>
        <w:footnoteReference w:id="46"/>
      </w:r>
      <w:r>
        <w:t xml:space="preserve"> That grant effort is underway as of the date of this Initial Proposal and will </w:t>
      </w:r>
      <w:r w:rsidR="009717E2">
        <w:t xml:space="preserve">potentially </w:t>
      </w:r>
      <w:r>
        <w:t xml:space="preserve">award </w:t>
      </w:r>
      <w:r w:rsidR="009717E2">
        <w:t>over</w:t>
      </w:r>
      <w:r>
        <w:t xml:space="preserve"> $2</w:t>
      </w:r>
      <w:r w:rsidR="009717E2">
        <w:t>32</w:t>
      </w:r>
      <w:r>
        <w:t xml:space="preserve"> million </w:t>
      </w:r>
      <w:r w:rsidR="009717E2">
        <w:t xml:space="preserve">in grants </w:t>
      </w:r>
      <w:r>
        <w:t xml:space="preserve">to connect </w:t>
      </w:r>
      <w:r w:rsidR="009717E2">
        <w:t>CAIs</w:t>
      </w:r>
      <w:r>
        <w:t xml:space="preserve"> that require a symmetrical gigabit connection. </w:t>
      </w:r>
    </w:p>
    <w:p w:rsidRPr="00EE7B2A" w:rsidR="00FD173D" w:rsidP="00FD173D" w:rsidRDefault="00FD173D" w14:paraId="110538F4" w14:textId="17820334">
      <w:r w:rsidRPr="00EE7B2A">
        <w:t xml:space="preserve">Given this analysis and the data that </w:t>
      </w:r>
      <w:r>
        <w:t>ADECA</w:t>
      </w:r>
      <w:r w:rsidR="0028060C">
        <w:t xml:space="preserve"> has reviewed</w:t>
      </w:r>
      <w:r w:rsidRPr="00EE7B2A">
        <w:t xml:space="preserve">, </w:t>
      </w:r>
      <w:r>
        <w:t>ADECA</w:t>
      </w:r>
      <w:r w:rsidRPr="00EE7B2A">
        <w:t xml:space="preserve"> proposes to focus the BEAD funding on unserved </w:t>
      </w:r>
      <w:r>
        <w:t xml:space="preserve">and underserved </w:t>
      </w:r>
      <w:r w:rsidRPr="00EE7B2A">
        <w:t xml:space="preserve">locations. In the event that all unserved </w:t>
      </w:r>
      <w:r>
        <w:t xml:space="preserve">and underserved </w:t>
      </w:r>
      <w:r w:rsidRPr="00EE7B2A">
        <w:t xml:space="preserve">locations can be served with fiber-to-the-premises based on the results of the BEAD application process described above, </w:t>
      </w:r>
      <w:r>
        <w:t>ADECA</w:t>
      </w:r>
      <w:r w:rsidRPr="00EE7B2A">
        <w:t xml:space="preserve"> reserves the opportunity to undertake an additional application round with remaining BEAD funds for service to </w:t>
      </w:r>
      <w:r w:rsidR="0028060C">
        <w:t>eligible CAIs</w:t>
      </w:r>
      <w:r w:rsidRPr="00EE7B2A">
        <w:t>.</w:t>
      </w:r>
    </w:p>
    <w:p w:rsidRPr="00EE7B2A" w:rsidR="00FD173D" w:rsidP="00FD173D" w:rsidRDefault="00FD173D" w14:paraId="1066978D" w14:textId="77777777">
      <w:r w:rsidRPr="00EE7B2A">
        <w:t xml:space="preserve">Furthermore, </w:t>
      </w:r>
      <w:r>
        <w:t>ADECA</w:t>
      </w:r>
      <w:r w:rsidRPr="00EE7B2A">
        <w:t xml:space="preserve"> plans that, if the funds are insufficient to deliver fiber to all </w:t>
      </w:r>
      <w:r>
        <w:t>unserved and underserved</w:t>
      </w:r>
      <w:r w:rsidRPr="00EE7B2A">
        <w:t xml:space="preserve"> locations, applications to serve high-poverty areas will be prioritized</w:t>
      </w:r>
      <w:r>
        <w:t xml:space="preserve"> through the additional points available in scoring for applications that propose to serve such areas</w:t>
      </w:r>
      <w:r w:rsidRPr="00EE7B2A">
        <w:t>.</w:t>
      </w:r>
    </w:p>
    <w:p w:rsidRPr="00EE7B2A" w:rsidR="00FD173D" w:rsidP="008A211A" w:rsidRDefault="00FD173D" w14:paraId="4AD0A475" w14:textId="77777777">
      <w:pPr>
        <w:pStyle w:val="Heading2"/>
        <w:numPr>
          <w:ilvl w:val="1"/>
          <w:numId w:val="22"/>
        </w:numPr>
      </w:pPr>
      <w:bookmarkStart w:name="_Ref144855290" w:id="85"/>
      <w:bookmarkStart w:name="_Toc146637790" w:id="86"/>
      <w:bookmarkStart w:name="_Toc147151968" w:id="87"/>
      <w:bookmarkStart w:name="_Toc148069323" w:id="88"/>
      <w:bookmarkStart w:name="_Toc150852632" w:id="89"/>
      <w:r w:rsidRPr="00EE7B2A">
        <w:t>Prioritization of non-deployment projects</w:t>
      </w:r>
      <w:bookmarkEnd w:id="85"/>
      <w:bookmarkEnd w:id="86"/>
      <w:bookmarkEnd w:id="87"/>
      <w:bookmarkEnd w:id="88"/>
      <w:bookmarkEnd w:id="89"/>
    </w:p>
    <w:p w:rsidR="00302FA4" w:rsidP="00FD173D" w:rsidRDefault="00B475E0" w14:paraId="00CC26ED" w14:textId="0995930F">
      <w:r>
        <w:t xml:space="preserve">At this time, </w:t>
      </w:r>
      <w:r w:rsidR="00C86E75">
        <w:t>ADECA</w:t>
      </w:r>
      <w:r w:rsidR="00D70242">
        <w:t xml:space="preserve"> </w:t>
      </w:r>
      <w:r w:rsidR="008B5E79">
        <w:t>does not anticipate having non-deployment subgrantees</w:t>
      </w:r>
      <w:r w:rsidR="00024331">
        <w:t xml:space="preserve"> based on its internal modeling. If</w:t>
      </w:r>
      <w:r w:rsidR="00AB6D88">
        <w:t xml:space="preserve">, however, </w:t>
      </w:r>
      <w:r w:rsidR="00A10E79">
        <w:t xml:space="preserve">ADECA has additional BEAD funds </w:t>
      </w:r>
      <w:r w:rsidR="004E51C6">
        <w:t xml:space="preserve">available </w:t>
      </w:r>
      <w:r w:rsidR="00A10E79">
        <w:t xml:space="preserve">after </w:t>
      </w:r>
      <w:r w:rsidR="004E51C6">
        <w:t>provisionally awarding</w:t>
      </w:r>
      <w:r w:rsidR="00531F20">
        <w:t xml:space="preserve"> grants for broadband deployment to all unserved/underserved locations and eligible CAIs, </w:t>
      </w:r>
      <w:r w:rsidR="008B5E79">
        <w:t>it will plan to fund non-deployment activities</w:t>
      </w:r>
      <w:r w:rsidR="00E5058C">
        <w:t xml:space="preserve"> consistent with the BEAD NOFO.</w:t>
      </w:r>
      <w:r w:rsidR="00E5058C">
        <w:rPr>
          <w:rStyle w:val="FootnoteReference"/>
        </w:rPr>
        <w:footnoteReference w:id="47"/>
      </w:r>
      <w:r w:rsidR="00D22783">
        <w:t xml:space="preserve"> Specifically, </w:t>
      </w:r>
      <w:r w:rsidR="009C013C">
        <w:t xml:space="preserve">ADECA would consider non-deployment projects </w:t>
      </w:r>
      <w:r w:rsidR="002D1D3E">
        <w:t xml:space="preserve">as outlined in the Five-Year Action Plan to </w:t>
      </w:r>
      <w:r w:rsidR="00E72B61">
        <w:t>support workforce development efforts and provide opportunities for Alabamians to achieve digital skills, improve secure online privacy and cybersecurity, gain access to affordable consumer devices and technical support for those devices, and develop and strengthen partnerships with and between entities that support digital opportunity.</w:t>
      </w:r>
      <w:r w:rsidR="002122E4">
        <w:rPr>
          <w:rStyle w:val="FootnoteReference"/>
        </w:rPr>
        <w:footnoteReference w:id="48"/>
      </w:r>
      <w:r w:rsidR="002122E4">
        <w:t xml:space="preserve"> </w:t>
      </w:r>
      <w:r w:rsidR="00302FA4">
        <w:t>However, consistent with the BEAD NOFO, ADECA also will consider supporting additional nondeployment activities related to the following:</w:t>
      </w:r>
    </w:p>
    <w:p w:rsidR="00302FA4" w:rsidP="00302FA4" w:rsidRDefault="00302FA4" w14:paraId="7487537D" w14:textId="77777777">
      <w:pPr>
        <w:pStyle w:val="ListParagraph"/>
        <w:numPr>
          <w:ilvl w:val="0"/>
          <w:numId w:val="46"/>
        </w:numPr>
        <w:spacing w:after="200"/>
      </w:pPr>
      <w:r>
        <w:t>User training with respect to cybersecurity, privacy, and other digital safety matters</w:t>
      </w:r>
    </w:p>
    <w:p w:rsidR="00302FA4" w:rsidP="00302FA4" w:rsidRDefault="00302FA4" w14:paraId="069AD488" w14:textId="77777777">
      <w:pPr>
        <w:pStyle w:val="ListParagraph"/>
        <w:numPr>
          <w:ilvl w:val="0"/>
          <w:numId w:val="46"/>
        </w:numPr>
        <w:spacing w:after="200"/>
      </w:pPr>
      <w:r>
        <w:t xml:space="preserve">Remote learning or telehealth services/facilities. </w:t>
      </w:r>
    </w:p>
    <w:p w:rsidR="00302FA4" w:rsidP="00302FA4" w:rsidRDefault="00302FA4" w14:paraId="7CD80B18" w14:textId="77777777">
      <w:pPr>
        <w:pStyle w:val="ListParagraph"/>
        <w:numPr>
          <w:ilvl w:val="0"/>
          <w:numId w:val="46"/>
        </w:numPr>
        <w:spacing w:after="200"/>
      </w:pPr>
      <w:r>
        <w:t xml:space="preserve">Digital skills (from beginner level to advanced). </w:t>
      </w:r>
    </w:p>
    <w:p w:rsidR="00302FA4" w:rsidP="00302FA4" w:rsidRDefault="00302FA4" w14:paraId="072E7F93" w14:textId="77777777">
      <w:pPr>
        <w:pStyle w:val="ListParagraph"/>
        <w:numPr>
          <w:ilvl w:val="0"/>
          <w:numId w:val="46"/>
        </w:numPr>
        <w:spacing w:after="200"/>
      </w:pPr>
      <w:r>
        <w:t xml:space="preserve">Computer science, coding, and cybersecurity education programs. </w:t>
      </w:r>
    </w:p>
    <w:p w:rsidR="00302FA4" w:rsidP="00302FA4" w:rsidRDefault="00302FA4" w14:paraId="1DE0D497" w14:textId="6C6E9CB6">
      <w:pPr>
        <w:pStyle w:val="ListParagraph"/>
        <w:numPr>
          <w:ilvl w:val="0"/>
          <w:numId w:val="46"/>
        </w:numPr>
        <w:spacing w:after="200"/>
      </w:pPr>
      <w:r>
        <w:t xml:space="preserve">Implementation of </w:t>
      </w:r>
      <w:r w:rsidR="00BE009C">
        <w:t xml:space="preserve">Alabama Statewide Digital Opportunity </w:t>
      </w:r>
      <w:r w:rsidR="00A63146">
        <w:t xml:space="preserve">Plan activities </w:t>
      </w:r>
      <w:r>
        <w:t xml:space="preserve">(to supplement, but not to duplicate or supplant, planning grant funds received by </w:t>
      </w:r>
      <w:r w:rsidR="00113503">
        <w:t>ADECA</w:t>
      </w:r>
      <w:r>
        <w:t xml:space="preserve"> in connection with the Digital Equity Act of 2021). </w:t>
      </w:r>
    </w:p>
    <w:p w:rsidR="00302FA4" w:rsidP="00302FA4" w:rsidRDefault="00302FA4" w14:paraId="55486272" w14:textId="77777777">
      <w:pPr>
        <w:pStyle w:val="ListParagraph"/>
        <w:numPr>
          <w:ilvl w:val="0"/>
          <w:numId w:val="46"/>
        </w:numPr>
        <w:spacing w:after="200"/>
      </w:pPr>
      <w:r>
        <w:t xml:space="preserve">Broadband sign-up assistance and programs that provide technology support. </w:t>
      </w:r>
    </w:p>
    <w:p w:rsidR="00302FA4" w:rsidP="00302FA4" w:rsidRDefault="00302FA4" w14:paraId="54F59517" w14:textId="77777777">
      <w:pPr>
        <w:pStyle w:val="ListParagraph"/>
        <w:numPr>
          <w:ilvl w:val="0"/>
          <w:numId w:val="46"/>
        </w:numPr>
        <w:spacing w:after="200"/>
      </w:pPr>
      <w:r>
        <w:t xml:space="preserve">Multi-lingual outreach to support adoption and digital skills. </w:t>
      </w:r>
    </w:p>
    <w:p w:rsidR="00302FA4" w:rsidP="00302FA4" w:rsidRDefault="00302FA4" w14:paraId="6C657FD9" w14:textId="77777777">
      <w:pPr>
        <w:pStyle w:val="ListParagraph"/>
        <w:numPr>
          <w:ilvl w:val="0"/>
          <w:numId w:val="46"/>
        </w:numPr>
        <w:spacing w:after="200"/>
      </w:pPr>
      <w:r>
        <w:t>Prisoner education to promote pre-release digital skills, job skills, online job acquisition skills, etc.</w:t>
      </w:r>
    </w:p>
    <w:p w:rsidR="00302FA4" w:rsidP="00302FA4" w:rsidRDefault="00302FA4" w14:paraId="0CE6A8A3" w14:textId="77777777">
      <w:pPr>
        <w:pStyle w:val="ListParagraph"/>
        <w:numPr>
          <w:ilvl w:val="0"/>
          <w:numId w:val="46"/>
        </w:numPr>
        <w:spacing w:after="200"/>
      </w:pPr>
      <w:r>
        <w:t xml:space="preserve">Digital navigators. </w:t>
      </w:r>
    </w:p>
    <w:p w:rsidR="00302FA4" w:rsidP="00302FA4" w:rsidRDefault="00302FA4" w14:paraId="07E031FC" w14:textId="57F8FD50">
      <w:pPr>
        <w:pStyle w:val="ListParagraph"/>
        <w:numPr>
          <w:ilvl w:val="0"/>
          <w:numId w:val="46"/>
        </w:numPr>
        <w:spacing w:after="200"/>
      </w:pPr>
      <w:r>
        <w:t xml:space="preserve">Direct subsidies for use toward broadband subscription, where </w:t>
      </w:r>
      <w:r w:rsidR="00532745">
        <w:t xml:space="preserve">ADECA </w:t>
      </w:r>
      <w:r>
        <w:t xml:space="preserve">shows the subsidies will improve affordability for the end user population (and to supplement, but not to duplicate or supplant, the subsidies provided by the </w:t>
      </w:r>
      <w:r w:rsidR="008F1273">
        <w:t>ACP</w:t>
      </w:r>
      <w:r>
        <w:t xml:space="preserve">). </w:t>
      </w:r>
    </w:p>
    <w:p w:rsidR="00302FA4" w:rsidP="00302FA4" w:rsidRDefault="00302FA4" w14:paraId="3EEA4FF0" w14:textId="77777777">
      <w:pPr>
        <w:pStyle w:val="ListParagraph"/>
        <w:numPr>
          <w:ilvl w:val="0"/>
          <w:numId w:val="46"/>
        </w:numPr>
        <w:spacing w:after="200"/>
      </w:pPr>
      <w:r>
        <w:t xml:space="preserve">Costs associated with outreach and engagement, including travel, capacity-building, or contract support. </w:t>
      </w:r>
    </w:p>
    <w:p w:rsidR="004830B5" w:rsidP="004830B5" w:rsidRDefault="004830B5" w14:paraId="6114768E" w14:textId="4A51E0C1">
      <w:pPr>
        <w:pStyle w:val="ListParagraph"/>
        <w:numPr>
          <w:ilvl w:val="0"/>
          <w:numId w:val="46"/>
        </w:numPr>
        <w:spacing w:after="200"/>
      </w:pPr>
      <w:r>
        <w:t>Targeted projects to support broadband access for rural businesses in such categories as agriculture and forestry. This use of funds aligns with the goals of the Innovation and Small Business Act, which is Play 3 of The Game Plan legislation signed into law by Alabama Governor Kay Ivey in April of 2023.</w:t>
      </w:r>
      <w:r>
        <w:rPr>
          <w:rStyle w:val="FootnoteReference"/>
        </w:rPr>
        <w:footnoteReference w:id="49"/>
      </w:r>
    </w:p>
    <w:p w:rsidR="00302FA4" w:rsidP="00302FA4" w:rsidRDefault="00302FA4" w14:paraId="3E09774A" w14:textId="744E1450">
      <w:pPr>
        <w:pStyle w:val="ListParagraph"/>
        <w:numPr>
          <w:ilvl w:val="0"/>
          <w:numId w:val="46"/>
        </w:numPr>
        <w:spacing w:after="200"/>
      </w:pPr>
      <w:r>
        <w:t xml:space="preserve">Other allowable costs necessary to carrying out programmatic activities of an award, not to include ineligible costs described in Section V.H.2 of the </w:t>
      </w:r>
      <w:r w:rsidR="00D240D5">
        <w:t xml:space="preserve">BEAD </w:t>
      </w:r>
      <w:r>
        <w:t xml:space="preserve">NOFO. </w:t>
      </w:r>
    </w:p>
    <w:p w:rsidRPr="00EE7B2A" w:rsidR="00FD173D" w:rsidP="00FD173D" w:rsidRDefault="009A3B17" w14:paraId="41420B19" w14:textId="2EAA1992">
      <w:r>
        <w:t xml:space="preserve">In accordance with the BEAD NOFO, </w:t>
      </w:r>
      <w:r w:rsidR="00A84C66">
        <w:t>s</w:t>
      </w:r>
      <w:r w:rsidR="002122E4">
        <w:t xml:space="preserve">uch projects </w:t>
      </w:r>
      <w:r w:rsidR="00C94E72">
        <w:t xml:space="preserve">would </w:t>
      </w:r>
      <w:r w:rsidR="00E84D29">
        <w:t>supplement</w:t>
      </w:r>
      <w:r w:rsidR="00CB3CBC">
        <w:t>—</w:t>
      </w:r>
      <w:r w:rsidR="00C37CF0">
        <w:t>and not duplicate or supplant</w:t>
      </w:r>
      <w:r w:rsidR="00CB3CBC">
        <w:t>—</w:t>
      </w:r>
      <w:r w:rsidR="00466CC9">
        <w:t xml:space="preserve">ADECA </w:t>
      </w:r>
      <w:r w:rsidR="0055012A">
        <w:t xml:space="preserve">efforts </w:t>
      </w:r>
      <w:r w:rsidR="00BF5E91">
        <w:t xml:space="preserve">proposed in the Alabama Statewide Digital Opportunity Plan </w:t>
      </w:r>
      <w:r w:rsidR="00AB36E9">
        <w:t xml:space="preserve">and </w:t>
      </w:r>
      <w:r w:rsidR="0055012A">
        <w:t xml:space="preserve">funded </w:t>
      </w:r>
      <w:r w:rsidR="00052B6E">
        <w:t>by the Digital Equity Act</w:t>
      </w:r>
      <w:r w:rsidR="00051461">
        <w:t>.</w:t>
      </w:r>
      <w:r w:rsidR="00BF5E91">
        <w:t xml:space="preserve"> </w:t>
      </w:r>
    </w:p>
    <w:p w:rsidRPr="00EE7B2A" w:rsidR="00FD173D" w:rsidP="008A211A" w:rsidRDefault="00FD173D" w14:paraId="1DB09BD2" w14:textId="77777777">
      <w:pPr>
        <w:pStyle w:val="Heading2"/>
        <w:numPr>
          <w:ilvl w:val="1"/>
          <w:numId w:val="22"/>
        </w:numPr>
      </w:pPr>
      <w:bookmarkStart w:name="_Toc146637791" w:id="90"/>
      <w:bookmarkStart w:name="_Toc147151969" w:id="91"/>
      <w:bookmarkStart w:name="_Toc148069324" w:id="92"/>
      <w:bookmarkStart w:name="_Toc150852633" w:id="93"/>
      <w:r w:rsidRPr="00EE7B2A">
        <w:t>Environmental and historic preservation and Build America, Buy America Act compliance</w:t>
      </w:r>
      <w:bookmarkEnd w:id="90"/>
      <w:bookmarkEnd w:id="91"/>
      <w:bookmarkEnd w:id="92"/>
      <w:bookmarkEnd w:id="93"/>
    </w:p>
    <w:p w:rsidRPr="00EE7B2A" w:rsidR="00575446" w:rsidP="00E76C5E" w:rsidRDefault="00EA326C" w14:paraId="64065375" w14:textId="5FDE22A5">
      <w:r>
        <w:t>ADECA recognizes the importance of</w:t>
      </w:r>
      <w:r w:rsidR="00DB43C3">
        <w:t xml:space="preserve"> </w:t>
      </w:r>
      <w:r w:rsidR="00D30E43">
        <w:t>compliance with all applicable environmental and historic preservation requirements as well as the obligat</w:t>
      </w:r>
      <w:r w:rsidR="00F96E7B">
        <w:t xml:space="preserve">ions imposed under the Build America, Buy America </w:t>
      </w:r>
      <w:r w:rsidR="00BF4571">
        <w:t xml:space="preserve">Act (BABA). </w:t>
      </w:r>
      <w:r w:rsidR="00FD173D">
        <w:t>ADECA</w:t>
      </w:r>
      <w:r w:rsidRPr="00EE7B2A" w:rsidR="00FD173D">
        <w:t xml:space="preserve"> plans to highlight </w:t>
      </w:r>
      <w:r w:rsidR="003D1408">
        <w:t xml:space="preserve">these compliance </w:t>
      </w:r>
      <w:r w:rsidR="00000BBD">
        <w:t>requirements</w:t>
      </w:r>
      <w:r w:rsidRPr="00EE7B2A" w:rsidDel="003F4837" w:rsidR="00FD173D">
        <w:t xml:space="preserve"> </w:t>
      </w:r>
      <w:r w:rsidRPr="00EE7B2A" w:rsidR="00FD173D">
        <w:t>for potential applicants during the application workshops and in the various application materials</w:t>
      </w:r>
      <w:r w:rsidR="00BB3FB8">
        <w:t xml:space="preserve">, including but not limited to the </w:t>
      </w:r>
      <w:r w:rsidR="003321B9">
        <w:t xml:space="preserve">program </w:t>
      </w:r>
      <w:r w:rsidR="00AC3CEC">
        <w:t>application/guide and FAQs</w:t>
      </w:r>
      <w:r w:rsidR="009E43E3">
        <w:t>.</w:t>
      </w:r>
      <w:r w:rsidR="006F6626">
        <w:t xml:space="preserve"> In accordance with NTIA guidance, ADECA will refer to the </w:t>
      </w:r>
      <w:r w:rsidR="00E76C5E">
        <w:t xml:space="preserve">Environmental </w:t>
      </w:r>
      <w:r w:rsidR="00FC0719">
        <w:t>and</w:t>
      </w:r>
      <w:r w:rsidR="00E76C5E">
        <w:t xml:space="preserve"> Historical Preservation and Climate Resiliency Preparation Checklist</w:t>
      </w:r>
      <w:r w:rsidR="00FC0719">
        <w:t xml:space="preserve"> </w:t>
      </w:r>
      <w:r w:rsidR="00A14C03">
        <w:t xml:space="preserve">for additional information when engaging </w:t>
      </w:r>
      <w:r w:rsidR="00A65E9D">
        <w:t>prospec</w:t>
      </w:r>
      <w:r w:rsidR="00BD51C2">
        <w:t>tive</w:t>
      </w:r>
      <w:r w:rsidR="00A65E9D">
        <w:t xml:space="preserve"> subgrantees on these issues.</w:t>
      </w:r>
      <w:r w:rsidR="00D159A4">
        <w:t xml:space="preserve"> In addition, ADECA </w:t>
      </w:r>
      <w:r w:rsidR="00DC1DD5">
        <w:t>would like to avail subgrantees</w:t>
      </w:r>
      <w:r w:rsidRPr="00EE7B2A" w:rsidDel="004926B5" w:rsidR="00E76C5E">
        <w:t xml:space="preserve"> </w:t>
      </w:r>
      <w:r w:rsidR="00D14361">
        <w:t xml:space="preserve">of the </w:t>
      </w:r>
      <w:r w:rsidR="0093601D">
        <w:t>draft limited general applicability</w:t>
      </w:r>
      <w:r w:rsidR="0035134F">
        <w:t xml:space="preserve"> nonavailability </w:t>
      </w:r>
      <w:r w:rsidR="00A0735A">
        <w:t xml:space="preserve">waiver </w:t>
      </w:r>
      <w:r w:rsidR="00907577">
        <w:t xml:space="preserve">of </w:t>
      </w:r>
      <w:r w:rsidR="00E073EC">
        <w:t xml:space="preserve">certain BABA requirements </w:t>
      </w:r>
      <w:r w:rsidR="00A0735A">
        <w:t>for the BEAD Program, if adopted</w:t>
      </w:r>
      <w:r w:rsidR="00E073EC">
        <w:t xml:space="preserve"> by the</w:t>
      </w:r>
      <w:r w:rsidR="00B50DAD">
        <w:t xml:space="preserve"> U.S. Department of Commerce</w:t>
      </w:r>
      <w:r w:rsidR="00A0735A">
        <w:t>.</w:t>
      </w:r>
      <w:r w:rsidR="00076FA1">
        <w:rPr>
          <w:rStyle w:val="FootnoteReference"/>
        </w:rPr>
        <w:footnoteReference w:id="50"/>
      </w:r>
    </w:p>
    <w:p w:rsidRPr="00EE7B2A" w:rsidR="00FD173D" w:rsidP="00FD173D" w:rsidRDefault="00FD173D" w14:paraId="5454DDC1" w14:textId="5C9F7859">
      <w:r>
        <w:t>ADECA</w:t>
      </w:r>
      <w:r w:rsidRPr="00EE7B2A">
        <w:t xml:space="preserve"> will require applicants to certify that they have no history of failure to comply with </w:t>
      </w:r>
      <w:r w:rsidR="00E77AA8">
        <w:t>applicable</w:t>
      </w:r>
      <w:r w:rsidRPr="00EE7B2A">
        <w:t xml:space="preserve"> environmental</w:t>
      </w:r>
      <w:r w:rsidR="00E77AA8">
        <w:t xml:space="preserve">, </w:t>
      </w:r>
      <w:r w:rsidRPr="00EE7B2A">
        <w:t>historic preservation</w:t>
      </w:r>
      <w:r w:rsidR="00E77AA8">
        <w:t xml:space="preserve">, </w:t>
      </w:r>
      <w:r w:rsidRPr="00EE7B2A">
        <w:t>or BABA</w:t>
      </w:r>
      <w:r w:rsidR="00E77AA8">
        <w:t xml:space="preserve"> requirements as part of the application process</w:t>
      </w:r>
      <w:r w:rsidRPr="00EE7B2A">
        <w:t xml:space="preserve">. Any applicant that cannot certify a track record of full compliance will be required to provide </w:t>
      </w:r>
      <w:r w:rsidR="00350196">
        <w:t xml:space="preserve">a </w:t>
      </w:r>
      <w:r w:rsidRPr="00EE7B2A">
        <w:t xml:space="preserve">detailed narrative and documentation regarding its </w:t>
      </w:r>
      <w:r w:rsidR="00466012">
        <w:t>compliance history</w:t>
      </w:r>
      <w:r w:rsidRPr="00EE7B2A">
        <w:t xml:space="preserve">. </w:t>
      </w:r>
      <w:r w:rsidR="008B6CA9">
        <w:t>Successful applicants will be required to certify their continuing compliance with applicable</w:t>
      </w:r>
      <w:r w:rsidRPr="00EE7B2A" w:rsidR="008B6CA9">
        <w:t xml:space="preserve"> environmental</w:t>
      </w:r>
      <w:r w:rsidR="008B6CA9">
        <w:t xml:space="preserve">, </w:t>
      </w:r>
      <w:r w:rsidRPr="00EE7B2A" w:rsidR="008B6CA9">
        <w:t>historic preservation</w:t>
      </w:r>
      <w:r w:rsidR="008B6CA9">
        <w:t xml:space="preserve">, </w:t>
      </w:r>
      <w:r w:rsidRPr="00EE7B2A" w:rsidR="008B6CA9">
        <w:t>or BABA</w:t>
      </w:r>
      <w:r w:rsidR="008B6CA9">
        <w:t xml:space="preserve"> requirements as part of the subgrant agreement process.</w:t>
      </w:r>
      <w:r w:rsidR="00637B26">
        <w:t xml:space="preserve"> </w:t>
      </w:r>
      <w:r w:rsidRPr="00EE7B2A">
        <w:t xml:space="preserve">In addition, </w:t>
      </w:r>
      <w:r>
        <w:t>ADECA</w:t>
      </w:r>
      <w:r w:rsidRPr="00EE7B2A">
        <w:t xml:space="preserve"> </w:t>
      </w:r>
      <w:r w:rsidR="00130632">
        <w:t xml:space="preserve">will </w:t>
      </w:r>
      <w:r w:rsidR="003321B9">
        <w:t xml:space="preserve">verify subgrantee compliance with these requirements as part of its post-award </w:t>
      </w:r>
      <w:r w:rsidRPr="00EE7B2A">
        <w:t>subgrantee monitoring program.</w:t>
      </w:r>
    </w:p>
    <w:p w:rsidRPr="00EE7B2A" w:rsidR="00FD173D" w:rsidP="008A211A" w:rsidRDefault="00FD173D" w14:paraId="56CC098E" w14:textId="77777777">
      <w:pPr>
        <w:pStyle w:val="Heading2"/>
        <w:numPr>
          <w:ilvl w:val="1"/>
          <w:numId w:val="22"/>
        </w:numPr>
      </w:pPr>
      <w:bookmarkStart w:name="_Toc146637792" w:id="94"/>
      <w:bookmarkStart w:name="_Toc147151970" w:id="95"/>
      <w:bookmarkStart w:name="_Toc148069325" w:id="96"/>
      <w:bookmarkStart w:name="_Toc150852634" w:id="97"/>
      <w:r w:rsidRPr="00EE7B2A">
        <w:t>Project area definition</w:t>
      </w:r>
      <w:bookmarkEnd w:id="94"/>
      <w:bookmarkEnd w:id="95"/>
      <w:bookmarkEnd w:id="96"/>
      <w:bookmarkEnd w:id="97"/>
    </w:p>
    <w:p w:rsidR="00FD173D" w:rsidP="00FD173D" w:rsidRDefault="00FD173D" w14:paraId="6C97819F" w14:textId="42B6074C">
      <w:r w:rsidRPr="00EE7B2A">
        <w:t>As described above</w:t>
      </w:r>
      <w:r w:rsidR="00F17BF7">
        <w:t xml:space="preserve"> in Section </w:t>
      </w:r>
      <w:r w:rsidR="00AC1E66">
        <w:fldChar w:fldCharType="begin"/>
      </w:r>
      <w:r w:rsidR="00AC1E66">
        <w:instrText xml:space="preserve"> REF _Ref148341145 \r \h </w:instrText>
      </w:r>
      <w:r w:rsidR="00AC1E66">
        <w:fldChar w:fldCharType="separate"/>
      </w:r>
      <w:r w:rsidR="00AC1E66">
        <w:t>5.1.4.2.1</w:t>
      </w:r>
      <w:r w:rsidR="00AC1E66">
        <w:fldChar w:fldCharType="end"/>
      </w:r>
      <w:r w:rsidRPr="00EE7B2A">
        <w:t xml:space="preserve">, </w:t>
      </w:r>
      <w:r>
        <w:t>ADECA</w:t>
      </w:r>
      <w:r w:rsidRPr="00EE7B2A">
        <w:t xml:space="preserve"> plans t</w:t>
      </w:r>
      <w:r>
        <w:t xml:space="preserve">hat </w:t>
      </w:r>
      <w:r w:rsidR="006C6E6F">
        <w:t xml:space="preserve">BEAD </w:t>
      </w:r>
      <w:r>
        <w:t>applicants will define proposed project areas within each of Alabama’s 67 counties</w:t>
      </w:r>
      <w:r w:rsidR="00F10D75">
        <w:t>, with ADECA</w:t>
      </w:r>
      <w:r w:rsidR="00C56830">
        <w:t xml:space="preserve"> </w:t>
      </w:r>
      <w:r w:rsidR="006800D2">
        <w:t>prioritiz</w:t>
      </w:r>
      <w:r w:rsidR="00F10D75">
        <w:t>ing</w:t>
      </w:r>
      <w:r w:rsidR="009D540E">
        <w:t xml:space="preserve"> projects proposing to serve </w:t>
      </w:r>
      <w:r w:rsidR="006800D2">
        <w:t>all unserved/underserved location</w:t>
      </w:r>
      <w:r w:rsidR="00A32922">
        <w:t>s</w:t>
      </w:r>
      <w:r w:rsidR="006800D2">
        <w:t xml:space="preserve"> in a county</w:t>
      </w:r>
      <w:r>
        <w:t xml:space="preserve">. </w:t>
      </w:r>
    </w:p>
    <w:p w:rsidR="00FE2FBF" w:rsidP="00FE2FBF" w:rsidRDefault="00FE2FBF" w14:paraId="49101C35" w14:textId="2607BE98">
      <w:r>
        <w:t xml:space="preserve">ADECA believes that Alabama’s interests will be best served by enabling the applicants to determine application boundaries rather than ADECA attempting to do this. NTIA rules give states the option of designating application boundaries to which applicants must conform their applications and within which applicants must commit to serving all eligible locations. By enabling applicants to do this design themselves, ADECA anticipates that companies of all sizes will have equal opportunity to apply for the funds—thus ensuring that small ISPs are not disadvantaged by the structure of the grant program. Furthermore, it is ADECA’s experience that applicants are best suited to determine </w:t>
      </w:r>
      <w:r w:rsidRPr="00EE7B2A">
        <w:t xml:space="preserve">the most </w:t>
      </w:r>
      <w:proofErr w:type="gramStart"/>
      <w:r w:rsidRPr="00EE7B2A">
        <w:t>economically</w:t>
      </w:r>
      <w:r>
        <w:t>-</w:t>
      </w:r>
      <w:r w:rsidRPr="00EE7B2A">
        <w:t>viable</w:t>
      </w:r>
      <w:proofErr w:type="gramEnd"/>
      <w:r w:rsidRPr="00EE7B2A">
        <w:t xml:space="preserve"> grouping of </w:t>
      </w:r>
      <w:r>
        <w:t>unserved and underserved</w:t>
      </w:r>
      <w:r w:rsidRPr="00EE7B2A">
        <w:t xml:space="preserve"> locations into a single geographic unit for </w:t>
      </w:r>
      <w:r>
        <w:t>application, and ADECA seeks to structure a grant program that makes best use of this expertise.</w:t>
      </w:r>
    </w:p>
    <w:p w:rsidR="00FE2FBF" w:rsidP="00FE2FBF" w:rsidRDefault="00FE2FBF" w14:paraId="0A16FC6B" w14:textId="33B9FCCD">
      <w:r>
        <w:t>At the same time, ADECA has chosen county boundaries as a means of creating structure for application service design. Alabama’s 67 counties and the communities within them have been key partners for ADECA over the past year as BEAD planning has been undertaken, and county boundaries are frequently logical boundaries of broadband infrastructure service areas.</w:t>
      </w:r>
      <w:r w:rsidR="003858E1">
        <w:t xml:space="preserve"> Furthermore, </w:t>
      </w:r>
      <w:r w:rsidR="00CA4E1C">
        <w:t>given the statutory requirement to develop a broadband solution for 100 percent of unserved and underserved locations, ADECA will also prioritize applications that commit to deploying broadband to all eligible locations, either by individual applicants or by consortia as provided herein.</w:t>
      </w:r>
    </w:p>
    <w:p w:rsidR="00FE2FBF" w:rsidP="00FE2FBF" w:rsidRDefault="00FE2FBF" w14:paraId="2EDE3C36" w14:textId="66782D89">
      <w:r>
        <w:t xml:space="preserve">ADECA thus plans to establish all 67 counties as application categories and to solicit applications for service to all or some of the eligible locations within the county. Applicants will be able to apply for multiple counties if they choose, but each application will be focused on a single county and all or a portion of the unserved and underserved locations in that county. </w:t>
      </w:r>
      <w:r w:rsidR="00CA4E1C">
        <w:t xml:space="preserve">Applicants will be able to file only a single application per </w:t>
      </w:r>
      <w:proofErr w:type="gramStart"/>
      <w:r w:rsidR="00CA4E1C">
        <w:t>county, and</w:t>
      </w:r>
      <w:proofErr w:type="gramEnd"/>
      <w:r w:rsidR="00CA4E1C">
        <w:t xml:space="preserve"> will be required to provide all addresses they propose to serve, as well as a single polygon that illustrates their service area commitments and that allows for analysis of overlap and </w:t>
      </w:r>
      <w:r w:rsidR="00466E3D">
        <w:t>coverage.</w:t>
      </w:r>
      <w:r w:rsidR="005E0119">
        <w:t xml:space="preserve"> </w:t>
      </w:r>
      <w:r>
        <w:t xml:space="preserve">In this way, ADECA anticipates being able, during the Negotiation Phase following receipt of applications, to undertake negotiations with one or more applicants per county to arrive at an outcome that results in broadband service to all eligible locations. </w:t>
      </w:r>
    </w:p>
    <w:p w:rsidR="00790BE6" w:rsidP="00FD173D" w:rsidRDefault="00145981" w14:paraId="46002D43" w14:textId="7FD2FA92">
      <w:r w:rsidRPr="00D528CA">
        <w:t xml:space="preserve">In addition, given the large size of many Alabama counties and the goal of reaching 100 percent of each county, ADECA will accept applications from groups of applicants that choose to apply together, in consortium, to cover specific counties. In a consortium application, one entity </w:t>
      </w:r>
      <w:r>
        <w:t>should</w:t>
      </w:r>
      <w:r w:rsidRPr="00D528CA">
        <w:t xml:space="preserve"> serve as the lead applicant and designated recipient of the award</w:t>
      </w:r>
      <w:r>
        <w:t xml:space="preserve">. </w:t>
      </w:r>
      <w:r w:rsidRPr="00D528CA">
        <w:t xml:space="preserve">The consortium must demonstrate in its application how it is organized and how it will meet the requirements of the grant program. Furthermore, all consortium members must provide all relevant information during the Prequalification and Scoring Phases of the grant program. If ADECA makes a provisional award to a consortium and the lead applicant declines to accept the obligations of the award, the entire provisional award </w:t>
      </w:r>
      <w:r>
        <w:t>may</w:t>
      </w:r>
      <w:r w:rsidRPr="00D528CA">
        <w:t xml:space="preserve"> be cancelled and ADECA </w:t>
      </w:r>
      <w:r>
        <w:t>may</w:t>
      </w:r>
      <w:r w:rsidRPr="00D528CA">
        <w:t xml:space="preserve"> seek an alternative solution for that county.</w:t>
      </w:r>
    </w:p>
    <w:p w:rsidRPr="00FE2FBF" w:rsidR="00466E3D" w:rsidP="00FE2FBF" w:rsidRDefault="00466E3D" w14:paraId="38566299" w14:textId="0774C6EC">
      <w:r>
        <w:t xml:space="preserve">Allowing applicants to design grant areas </w:t>
      </w:r>
      <w:r w:rsidR="0096137C">
        <w:t xml:space="preserve">will likely result in receipt of applications with overlapping geographic commitments. ADECA </w:t>
      </w:r>
      <w:r w:rsidR="0011062E">
        <w:t>will, for those counties for which no 100 percent solution is possible, review all applications and undertake a deconfliction effort to determine how</w:t>
      </w:r>
      <w:r w:rsidR="0096137C">
        <w:t xml:space="preserve"> overlapping proposals </w:t>
      </w:r>
      <w:r w:rsidR="0011062E">
        <w:t>should be fit together; ADECA will also use the Negotiation Phase to work with applicants to revise their commitments so to fund as many eligible locations as possible within the BEAD budget. ADECA has extensive experience with similar deconfliction efforts from its administration of the Alabama Broadband Accessibility Fund Program over the past few years.</w:t>
      </w:r>
    </w:p>
    <w:p w:rsidRPr="00EE7B2A" w:rsidR="00FD173D" w:rsidP="008A211A" w:rsidRDefault="00FD173D" w14:paraId="0B54A654" w14:textId="77777777">
      <w:pPr>
        <w:pStyle w:val="Heading2"/>
        <w:numPr>
          <w:ilvl w:val="1"/>
          <w:numId w:val="22"/>
        </w:numPr>
      </w:pPr>
      <w:bookmarkStart w:name="_Toc146637796" w:id="98"/>
      <w:bookmarkStart w:name="_Toc147151974" w:id="99"/>
      <w:bookmarkStart w:name="_Toc148069326" w:id="100"/>
      <w:bookmarkStart w:name="_Toc150852635" w:id="101"/>
      <w:r w:rsidRPr="00EE7B2A">
        <w:t>Approach to subsequent funding rounds if no proposals are received</w:t>
      </w:r>
      <w:bookmarkEnd w:id="98"/>
      <w:bookmarkEnd w:id="99"/>
      <w:bookmarkEnd w:id="100"/>
      <w:bookmarkEnd w:id="101"/>
    </w:p>
    <w:p w:rsidRPr="00EE7B2A" w:rsidR="00FD173D" w:rsidP="00FD173D" w:rsidRDefault="00FD173D" w14:paraId="497D97D7" w14:textId="2252DAEF">
      <w:r w:rsidRPr="00EE7B2A">
        <w:t xml:space="preserve">As described above, in the event no proposal (or no viable proposal) is received for </w:t>
      </w:r>
      <w:r>
        <w:t>eligible locations</w:t>
      </w:r>
      <w:r w:rsidRPr="00EE7B2A">
        <w:t xml:space="preserve">, </w:t>
      </w:r>
      <w:r>
        <w:t>ADECA</w:t>
      </w:r>
      <w:r w:rsidRPr="00EE7B2A">
        <w:t xml:space="preserve"> plans to undertake one or both of the following processes, depending on the circumstances.</w:t>
      </w:r>
    </w:p>
    <w:p w:rsidRPr="00EE7B2A" w:rsidR="00FD173D" w:rsidP="006F78D2" w:rsidRDefault="00FD173D" w14:paraId="7236FD34" w14:textId="3EB8AD19">
      <w:pPr>
        <w:pStyle w:val="ListParagraph"/>
        <w:numPr>
          <w:ilvl w:val="0"/>
          <w:numId w:val="59"/>
        </w:numPr>
        <w:spacing w:after="200"/>
      </w:pPr>
      <w:r w:rsidRPr="00EE7B2A">
        <w:t xml:space="preserve">First, </w:t>
      </w:r>
      <w:r>
        <w:t>ADECA</w:t>
      </w:r>
      <w:r w:rsidRPr="00EE7B2A">
        <w:t xml:space="preserve"> anticipates undertaking negotiations with one or more applicants that have </w:t>
      </w:r>
      <w:r w:rsidR="00857A42">
        <w:t>applied</w:t>
      </w:r>
      <w:r w:rsidRPr="00EE7B2A">
        <w:t xml:space="preserve"> for adjacent areas to determine whether other applicants would be willing to take on commitments to fund those locations, based on costs that will be negotiated between the applicant and </w:t>
      </w:r>
      <w:r>
        <w:t>ADECA</w:t>
      </w:r>
      <w:r w:rsidRPr="00EE7B2A">
        <w:t xml:space="preserve">. </w:t>
      </w:r>
      <w:r>
        <w:t>ADECA</w:t>
      </w:r>
      <w:r w:rsidRPr="00EE7B2A">
        <w:t xml:space="preserve"> may choose to negotiate with one or more applicants to maximize the chances of determining a solution for those locations.</w:t>
      </w:r>
    </w:p>
    <w:p w:rsidRPr="00EE7B2A" w:rsidR="00FD173D" w:rsidP="006F78D2" w:rsidRDefault="00FD173D" w14:paraId="429C9586" w14:textId="56D09AFF">
      <w:pPr>
        <w:pStyle w:val="ListParagraph"/>
        <w:numPr>
          <w:ilvl w:val="0"/>
          <w:numId w:val="59"/>
        </w:numPr>
        <w:spacing w:after="200"/>
      </w:pPr>
      <w:r w:rsidRPr="00EE7B2A">
        <w:t xml:space="preserve">Second, </w:t>
      </w:r>
      <w:r>
        <w:t>ADECA</w:t>
      </w:r>
      <w:r w:rsidRPr="00EE7B2A">
        <w:t xml:space="preserve"> anticipates that, depending on circumstances, it may choose to undertake a second (and possibly third) competitive process to formally attract </w:t>
      </w:r>
      <w:r w:rsidR="00857A42">
        <w:t>applications</w:t>
      </w:r>
      <w:r w:rsidRPr="00EE7B2A">
        <w:t xml:space="preserve"> for those locations.</w:t>
      </w:r>
    </w:p>
    <w:p w:rsidRPr="00EE7B2A" w:rsidR="00FD173D" w:rsidP="00FD173D" w:rsidRDefault="00FD173D" w14:paraId="0C21033C" w14:textId="6A29DC56">
      <w:r>
        <w:t>ADECA</w:t>
      </w:r>
      <w:r w:rsidRPr="00EE7B2A">
        <w:t xml:space="preserve"> reserves for itself the flexibility to undertake one or both of these processes following receipt </w:t>
      </w:r>
      <w:r w:rsidR="00744344">
        <w:t xml:space="preserve">and review </w:t>
      </w:r>
      <w:r w:rsidRPr="00EE7B2A">
        <w:t xml:space="preserve">of the applications. </w:t>
      </w:r>
      <w:r>
        <w:t>ADECA</w:t>
      </w:r>
      <w:r w:rsidRPr="00EE7B2A">
        <w:t xml:space="preserve"> believes that the flexibility to undertake these processes based on </w:t>
      </w:r>
      <w:r w:rsidR="009D706E">
        <w:t xml:space="preserve">specific </w:t>
      </w:r>
      <w:r w:rsidRPr="00EE7B2A">
        <w:t>circumstances will increase the competitive pressure on applicants and for that reason declines to limit its options in this regard.</w:t>
      </w:r>
    </w:p>
    <w:p w:rsidRPr="00EE7B2A" w:rsidR="00FD173D" w:rsidP="008A211A" w:rsidRDefault="00FD173D" w14:paraId="6985C832" w14:textId="77777777">
      <w:pPr>
        <w:pStyle w:val="Heading2"/>
        <w:numPr>
          <w:ilvl w:val="1"/>
          <w:numId w:val="22"/>
        </w:numPr>
      </w:pPr>
      <w:bookmarkStart w:name="_Toc146637797" w:id="102"/>
      <w:bookmarkStart w:name="_Toc147151975" w:id="103"/>
      <w:bookmarkStart w:name="_Toc148069327" w:id="104"/>
      <w:bookmarkStart w:name="_Toc150852636" w:id="105"/>
      <w:r w:rsidRPr="00EE7B2A">
        <w:t>Projects on Tribal lands</w:t>
      </w:r>
      <w:bookmarkEnd w:id="102"/>
      <w:bookmarkEnd w:id="103"/>
      <w:bookmarkEnd w:id="104"/>
      <w:bookmarkEnd w:id="105"/>
    </w:p>
    <w:p w:rsidR="004B2F70" w:rsidP="00FD173D" w:rsidRDefault="00FD173D" w14:paraId="631F6996" w14:textId="3E34379F">
      <w:r>
        <w:t>Pursuant to NTIA requirements, ADECA</w:t>
      </w:r>
      <w:r w:rsidRPr="00EE7B2A">
        <w:t xml:space="preserve"> </w:t>
      </w:r>
      <w:r w:rsidR="0098115D">
        <w:t xml:space="preserve">will not </w:t>
      </w:r>
      <w:r w:rsidR="00B677FD">
        <w:t xml:space="preserve">award any funds </w:t>
      </w:r>
      <w:r w:rsidR="007932FF">
        <w:t xml:space="preserve">for a </w:t>
      </w:r>
      <w:r w:rsidR="00474DCC">
        <w:t xml:space="preserve">proposed project on Tribal lands </w:t>
      </w:r>
      <w:r w:rsidR="00D573A0">
        <w:t xml:space="preserve">without a Resolution of Consent from </w:t>
      </w:r>
      <w:r w:rsidR="00241E99">
        <w:t>the relevant Tribal government, from the Tribal Council or other governing body</w:t>
      </w:r>
      <w:r w:rsidR="00BB6942">
        <w:t>, upon whose Tribal Lands the infrastructure will be deployed</w:t>
      </w:r>
      <w:r w:rsidR="009F7888">
        <w:t>.</w:t>
      </w:r>
      <w:r w:rsidR="00241E99">
        <w:t xml:space="preserve"> </w:t>
      </w:r>
      <w:r>
        <w:t>This will apply to the Poarch Band of Creek Indians, as the only federally</w:t>
      </w:r>
      <w:r w:rsidR="00D71CAC">
        <w:t xml:space="preserve"> </w:t>
      </w:r>
      <w:r>
        <w:t>recognized Tribe in Alabama.</w:t>
      </w:r>
    </w:p>
    <w:p w:rsidR="004B2F70" w:rsidP="00FD173D" w:rsidRDefault="004B2F70" w14:paraId="083EBBD8" w14:textId="51E5AEBC">
      <w:r>
        <w:t xml:space="preserve">As explained above, ADECA invited the Tribal </w:t>
      </w:r>
      <w:r w:rsidR="00560B79">
        <w:t>L</w:t>
      </w:r>
      <w:r>
        <w:t xml:space="preserve">eadership for the Poarch Band of Creek Indians to participate in a county session being held close to Tribal land in January 2023, but did not receive a response. In June 2023, ADECA sent a Dear Tribal Leader letter requesting input and in early September 2023 sent a follow-up letter to Tribal Leadership, but as of submission of this Initial Proposal, has not yet received a response. </w:t>
      </w:r>
      <w:r w:rsidR="00DD61E6">
        <w:t xml:space="preserve">A copy of both letters is included as </w:t>
      </w:r>
      <w:r w:rsidR="002E7F57">
        <w:t xml:space="preserve">a </w:t>
      </w:r>
      <w:r w:rsidR="00DD61E6">
        <w:t xml:space="preserve">linked file in </w:t>
      </w:r>
      <w:hyperlink w:history="1" r:id="rId22">
        <w:r w:rsidRPr="00101A5E" w:rsidR="00DD61E6">
          <w:rPr>
            <w:rStyle w:val="Hyperlink"/>
          </w:rPr>
          <w:t>Appendix B</w:t>
        </w:r>
      </w:hyperlink>
      <w:r w:rsidR="00DD61E6">
        <w:t xml:space="preserve">. </w:t>
      </w:r>
      <w:r w:rsidR="00023F9A">
        <w:t xml:space="preserve">ADECA will continue to reach out to the Poarch Band of Creek Indians </w:t>
      </w:r>
      <w:r w:rsidR="00E50B00">
        <w:t>regarding BEAD-related engagement</w:t>
      </w:r>
      <w:r w:rsidR="00023F9A">
        <w:t>.</w:t>
      </w:r>
    </w:p>
    <w:p w:rsidRPr="00EE7B2A" w:rsidR="00FD173D" w:rsidP="00FD173D" w:rsidRDefault="00AB6C38" w14:paraId="50AE0FF2" w14:textId="2C49CC5D">
      <w:r>
        <w:t xml:space="preserve">To the extent </w:t>
      </w:r>
      <w:r w:rsidR="0055685C">
        <w:t xml:space="preserve">ADECA receives an application to deploy broadband on the Tribal </w:t>
      </w:r>
      <w:r w:rsidR="00E50B00">
        <w:t>L</w:t>
      </w:r>
      <w:r w:rsidR="0055685C">
        <w:t>ands of the Poarch Band of Creek Indians, it</w:t>
      </w:r>
      <w:r w:rsidR="00FD173D">
        <w:t xml:space="preserve"> </w:t>
      </w:r>
      <w:r w:rsidRPr="00EE7B2A" w:rsidR="00FD173D">
        <w:t xml:space="preserve">intends to award points in scoring to indications of support from </w:t>
      </w:r>
      <w:r w:rsidR="00155C22">
        <w:t xml:space="preserve">Tribal </w:t>
      </w:r>
      <w:r w:rsidR="002D6F34">
        <w:t>L</w:t>
      </w:r>
      <w:r w:rsidR="00FD173D">
        <w:t>eadership. This scoring criterion is intended to</w:t>
      </w:r>
      <w:r w:rsidRPr="00EE7B2A" w:rsidR="00FD173D">
        <w:t xml:space="preserve"> incentivize potential applicants to engage with, collaborate with, and understand the needs of </w:t>
      </w:r>
      <w:r w:rsidR="00FD173D">
        <w:t>the Poarch Band of Creek Indians</w:t>
      </w:r>
      <w:r w:rsidRPr="00EE7B2A" w:rsidR="00FD173D">
        <w:t xml:space="preserve"> on whose land they propose to deploy broadband. </w:t>
      </w:r>
    </w:p>
    <w:p w:rsidRPr="00EE7B2A" w:rsidR="00FD173D" w:rsidP="00FD173D" w:rsidRDefault="00FD173D" w14:paraId="4F40227A" w14:textId="423666DC">
      <w:r>
        <w:t>Under NTIA rules, Tribal approval is</w:t>
      </w:r>
      <w:r w:rsidRPr="00EE7B2A">
        <w:t xml:space="preserve"> a required element for any </w:t>
      </w:r>
      <w:r>
        <w:t>award.</w:t>
      </w:r>
      <w:r w:rsidRPr="00EE7B2A">
        <w:t xml:space="preserve"> Furthermore, while lack of pre-application Tribal consent will not be a disqualifying factor, </w:t>
      </w:r>
      <w:r>
        <w:t>ADECA</w:t>
      </w:r>
      <w:r w:rsidRPr="00EE7B2A">
        <w:t xml:space="preserve"> anticipates that, during the Negotiation P</w:t>
      </w:r>
      <w:r>
        <w:t>hase</w:t>
      </w:r>
      <w:r w:rsidRPr="00EE7B2A">
        <w:t xml:space="preserve"> of the grant program, it will request that applica</w:t>
      </w:r>
      <w:r>
        <w:t>nts</w:t>
      </w:r>
      <w:r w:rsidRPr="00EE7B2A">
        <w:t xml:space="preserve"> provide </w:t>
      </w:r>
      <w:r w:rsidR="002D6F34">
        <w:t xml:space="preserve">the required </w:t>
      </w:r>
      <w:r w:rsidR="00224991">
        <w:t xml:space="preserve">consent </w:t>
      </w:r>
      <w:r w:rsidR="00432497">
        <w:t xml:space="preserve">and </w:t>
      </w:r>
      <w:r w:rsidRPr="00EE7B2A">
        <w:t>written support from Tribal authorities if such documents have not already been provided.</w:t>
      </w:r>
      <w:r w:rsidR="004E2A79">
        <w:t xml:space="preserve"> </w:t>
      </w:r>
      <w:r w:rsidRPr="00EE7B2A">
        <w:t>In the even</w:t>
      </w:r>
      <w:r>
        <w:t>t</w:t>
      </w:r>
      <w:r w:rsidRPr="00EE7B2A">
        <w:t xml:space="preserve"> that a presumptive awardee cannot provide </w:t>
      </w:r>
      <w:r w:rsidR="004E2A79">
        <w:t xml:space="preserve">the required </w:t>
      </w:r>
      <w:r w:rsidRPr="00EE7B2A">
        <w:t xml:space="preserve">documentation, </w:t>
      </w:r>
      <w:r>
        <w:t>ADECA</w:t>
      </w:r>
      <w:r w:rsidRPr="00EE7B2A">
        <w:t xml:space="preserve"> will use the Negotiation P</w:t>
      </w:r>
      <w:r w:rsidR="00CA3A3A">
        <w:t>hase</w:t>
      </w:r>
      <w:r w:rsidRPr="00EE7B2A">
        <w:t xml:space="preserve"> to engage with other applicants and/or to meet with Tribal authorities </w:t>
      </w:r>
      <w:r w:rsidR="00CA3A3A">
        <w:t>as needed</w:t>
      </w:r>
      <w:r w:rsidRPr="00EE7B2A">
        <w:t>.</w:t>
      </w:r>
    </w:p>
    <w:p w:rsidRPr="00CD104E" w:rsidR="00FD173D" w:rsidP="008A211A" w:rsidRDefault="00FD173D" w14:paraId="6A7782E7" w14:textId="45FB74A6">
      <w:pPr>
        <w:pStyle w:val="Heading2"/>
        <w:numPr>
          <w:ilvl w:val="1"/>
          <w:numId w:val="22"/>
        </w:numPr>
      </w:pPr>
      <w:bookmarkStart w:name="_Toc146637798" w:id="106"/>
      <w:bookmarkStart w:name="_Toc147151976" w:id="107"/>
      <w:bookmarkStart w:name="_Toc148069328" w:id="108"/>
      <w:bookmarkStart w:name="_Toc150852637" w:id="109"/>
      <w:r w:rsidRPr="00CD104E">
        <w:t>Identifying the Extremely High Cost Per Location Threshold</w:t>
      </w:r>
      <w:bookmarkEnd w:id="106"/>
      <w:bookmarkEnd w:id="107"/>
      <w:bookmarkEnd w:id="108"/>
      <w:r w:rsidR="00985AAD">
        <w:t xml:space="preserve"> (EHCPLT)</w:t>
      </w:r>
      <w:bookmarkEnd w:id="109"/>
    </w:p>
    <w:p w:rsidR="0011062E" w:rsidP="00FD173D" w:rsidRDefault="00FD173D" w14:paraId="6C0427E1" w14:textId="77777777">
      <w:r>
        <w:t xml:space="preserve">ADECA will determine the Extremely High Cost Per Location Threshold (EHCPLT) once it has received all grant applications and will use it to efficiently allocate its BEAD funding based on the applications received. </w:t>
      </w:r>
      <w:r w:rsidR="007A6DB6">
        <w:t xml:space="preserve">In accordance with NTIA </w:t>
      </w:r>
      <w:r w:rsidR="00CE2C42">
        <w:t>guidance and ADECA’s goal of</w:t>
      </w:r>
      <w:r>
        <w:t xml:space="preserve"> fund</w:t>
      </w:r>
      <w:r w:rsidR="00CE2C42">
        <w:t>ing</w:t>
      </w:r>
      <w:r>
        <w:t xml:space="preserve"> fiber-to-the-premises wherever possible, ADECA will </w:t>
      </w:r>
      <w:r w:rsidR="00F178A2">
        <w:t>set the</w:t>
      </w:r>
      <w:r>
        <w:t xml:space="preserve"> EHCPLT as high as possible to ensure </w:t>
      </w:r>
      <w:r w:rsidR="00C67DB5">
        <w:t>that end-to</w:t>
      </w:r>
      <w:r w:rsidR="00F178A2">
        <w:t>-</w:t>
      </w:r>
      <w:r w:rsidR="00C67DB5">
        <w:t>end fiber projects are deployed wherever feasible</w:t>
      </w:r>
      <w:r>
        <w:t xml:space="preserve">. </w:t>
      </w:r>
    </w:p>
    <w:p w:rsidR="00FD173D" w:rsidP="00FD173D" w:rsidRDefault="0011062E" w14:paraId="6DF9888A" w14:textId="25A6A55C">
      <w:r>
        <w:t>The EHCPLT will be set primarily based on the pricing and associated data provided by applicants through the application process, including feedback and outcomes from the Negotiation Phase of the process</w:t>
      </w:r>
      <w:r w:rsidR="00C77BD3">
        <w:t>, as well as additional data such as that developed by ADECA in the course of previous grant program and in market research efforts</w:t>
      </w:r>
      <w:r>
        <w:t xml:space="preserve">. </w:t>
      </w:r>
    </w:p>
    <w:p w:rsidRPr="00330BC6" w:rsidR="00FD173D" w:rsidP="00FD173D" w:rsidRDefault="00FD173D" w14:paraId="18F80627" w14:textId="22A9E4D5">
      <w:r>
        <w:t xml:space="preserve">Based on all these inputs, ADECA will develop the EHCPLT in order to determine at what cost per </w:t>
      </w:r>
      <w:r w:rsidR="0026310F">
        <w:t>location</w:t>
      </w:r>
      <w:r>
        <w:t xml:space="preserve"> (if any), fiber-to-the-premises is too costly to </w:t>
      </w:r>
      <w:r w:rsidR="00EB35FE">
        <w:t>reach</w:t>
      </w:r>
      <w:r>
        <w:t xml:space="preserve"> the critical BEAD goal of achieving 100 percent broadband coverage with the funds provided in the BEAD allocation.</w:t>
      </w:r>
    </w:p>
    <w:p w:rsidRPr="005A7ABC" w:rsidR="00FD173D" w:rsidP="008A211A" w:rsidRDefault="00FD173D" w14:paraId="7E10CEEB" w14:textId="77777777">
      <w:pPr>
        <w:pStyle w:val="Heading2"/>
        <w:numPr>
          <w:ilvl w:val="1"/>
          <w:numId w:val="22"/>
        </w:numPr>
      </w:pPr>
      <w:bookmarkStart w:name="_Toc146637799" w:id="110"/>
      <w:bookmarkStart w:name="_Toc147151977" w:id="111"/>
      <w:bookmarkStart w:name="_Toc148069329" w:id="112"/>
      <w:bookmarkStart w:name="_Toc150852638" w:id="113"/>
      <w:r w:rsidRPr="005A7ABC">
        <w:t>Utilizing the EHCPLT</w:t>
      </w:r>
      <w:bookmarkEnd w:id="110"/>
      <w:bookmarkEnd w:id="111"/>
      <w:bookmarkEnd w:id="112"/>
      <w:bookmarkEnd w:id="113"/>
    </w:p>
    <w:p w:rsidR="00FD173D" w:rsidP="00FD173D" w:rsidRDefault="00FD173D" w14:paraId="65DF1BE2" w14:textId="4C0DB31A">
      <w:r>
        <w:t xml:space="preserve">Given ADECA’s goals of achieving 100 percent broadband </w:t>
      </w:r>
      <w:r w:rsidR="00755B90">
        <w:t>availability</w:t>
      </w:r>
      <w:r w:rsidR="00B31378">
        <w:t xml:space="preserve"> </w:t>
      </w:r>
      <w:r>
        <w:t>statewide, while maximizing fiber-to-the-premises, ADECA proposes the following approach to determining whether to fund fiber applications that exceed the EHCPLT where a lower cost non-Priority Broadband Project has been proposed and meets the minimum standards:</w:t>
      </w:r>
    </w:p>
    <w:p w:rsidR="0011062E" w:rsidP="00FD173D" w:rsidRDefault="0011062E" w14:paraId="7FD5B6A8" w14:textId="00E39B89">
      <w:r>
        <w:t>For counties that receive proposals to serve 100 percent of eligible locations with fiber, ADECA will provisionally award the highest-scoring applicant, so long as the proposed pricing is below the EHCPLT. If the proposed pricing is above the EHCPLT, the highest-scoring applicant may be given opportunity to reduce its proposal, or ADECA may provisionally award the second highest-scoring applicant.</w:t>
      </w:r>
    </w:p>
    <w:p w:rsidR="00FD173D" w:rsidP="00FD173D" w:rsidRDefault="0011062E" w14:paraId="45377D26" w14:textId="5FBDD7FF">
      <w:r>
        <w:t>I</w:t>
      </w:r>
      <w:r w:rsidR="00FD173D">
        <w:t>f the applicant</w:t>
      </w:r>
      <w:r>
        <w:t xml:space="preserve">(s) for 100 percent of locations </w:t>
      </w:r>
      <w:r w:rsidR="001823B4">
        <w:t xml:space="preserve">with fiber </w:t>
      </w:r>
      <w:r>
        <w:t>cannot</w:t>
      </w:r>
      <w:r w:rsidR="00FD173D">
        <w:t xml:space="preserve"> reduce </w:t>
      </w:r>
      <w:r>
        <w:t xml:space="preserve">costs </w:t>
      </w:r>
      <w:r w:rsidR="00F563EF">
        <w:t>below the EHCPLT</w:t>
      </w:r>
      <w:r w:rsidR="00FD173D">
        <w:t xml:space="preserve">, ADECA will then </w:t>
      </w:r>
      <w:r>
        <w:t xml:space="preserve">review the applications for less than 100 percent of the county </w:t>
      </w:r>
      <w:r w:rsidR="001823B4">
        <w:t>with fiber</w:t>
      </w:r>
      <w:r>
        <w:t xml:space="preserve"> and undertake a deconfliction and negotiation process with the applicant(s) for less than 100 percent to determine how to develop a solution for all eligible locations. ADECA may also </w:t>
      </w:r>
      <w:r w:rsidR="00FD173D">
        <w:t xml:space="preserve">consider whether other applicants that have provided fiber proposals for nearby areas could potentially serve the applicable area. If such potential exists, ADECA will negotiate with one or more of those applicants to determine if they will amend their application to include the subject areas at a cost that is below the EHCPLT. </w:t>
      </w:r>
    </w:p>
    <w:p w:rsidR="00FD173D" w:rsidP="00FD173D" w:rsidRDefault="00494A0D" w14:paraId="7CC901FA" w14:textId="7BF025E1">
      <w:r>
        <w:t>I</w:t>
      </w:r>
      <w:r w:rsidR="00FD173D">
        <w:t xml:space="preserve">f </w:t>
      </w:r>
      <w:r>
        <w:t>the fiber</w:t>
      </w:r>
      <w:r w:rsidR="00FD173D">
        <w:t xml:space="preserve"> applicants are unable to offer a cost per location that is </w:t>
      </w:r>
      <w:r w:rsidR="006F43F8">
        <w:t>below the EHCPLT</w:t>
      </w:r>
      <w:r w:rsidR="00FD173D">
        <w:t xml:space="preserve">, ADECA will then </w:t>
      </w:r>
      <w:r w:rsidR="00BE79E0">
        <w:t>undertake the same process with applicants</w:t>
      </w:r>
      <w:r w:rsidR="00FD173D">
        <w:t xml:space="preserve"> that propose an alternative, non-fiber technology that meets the BEAD </w:t>
      </w:r>
      <w:r w:rsidR="00DF0FB1">
        <w:t>P</w:t>
      </w:r>
      <w:r w:rsidR="00FD173D">
        <w:t>rogram’s requirements for Reliable Broadband Service.</w:t>
      </w:r>
    </w:p>
    <w:p w:rsidR="00FD173D" w:rsidP="00FD173D" w:rsidRDefault="00BE79E0" w14:paraId="7049AEEA" w14:textId="1BC4A0E9">
      <w:r>
        <w:t xml:space="preserve">If this process does not result in a satisfactory outcome, </w:t>
      </w:r>
      <w:r w:rsidR="00FD173D">
        <w:t xml:space="preserve">ADECA will then </w:t>
      </w:r>
      <w:r w:rsidR="00A5522C">
        <w:t>undertake the same process with applicants</w:t>
      </w:r>
      <w:r w:rsidR="00FD173D">
        <w:t xml:space="preserve"> for non-fiber technologies that do not meet the BEAD </w:t>
      </w:r>
      <w:r w:rsidR="005756EF">
        <w:t>P</w:t>
      </w:r>
      <w:r w:rsidR="00FD173D">
        <w:t xml:space="preserve">rogram requirements for Reliable Broadband Service (while otherwise satisfying the </w:t>
      </w:r>
      <w:r w:rsidR="00C53F94">
        <w:t xml:space="preserve">BEAD </w:t>
      </w:r>
      <w:r w:rsidR="00DA1AB0">
        <w:t xml:space="preserve">Program </w:t>
      </w:r>
      <w:r w:rsidR="00FD173D">
        <w:t>technical requirements).</w:t>
      </w:r>
    </w:p>
    <w:p w:rsidRPr="00EE7B2A" w:rsidR="00FD173D" w:rsidP="008A211A" w:rsidRDefault="00FD173D" w14:paraId="55C82C16" w14:textId="77777777">
      <w:pPr>
        <w:pStyle w:val="Heading2"/>
        <w:numPr>
          <w:ilvl w:val="1"/>
          <w:numId w:val="22"/>
        </w:numPr>
      </w:pPr>
      <w:bookmarkStart w:name="_Toc146637800" w:id="114"/>
      <w:bookmarkStart w:name="_Toc147151978" w:id="115"/>
      <w:bookmarkStart w:name="_Toc148069330" w:id="116"/>
      <w:bookmarkStart w:name="_Toc150852639" w:id="117"/>
      <w:r w:rsidRPr="00EE7B2A">
        <w:t>Requiring prospective subgrantees to certify their qualifications</w:t>
      </w:r>
      <w:bookmarkEnd w:id="114"/>
      <w:bookmarkEnd w:id="115"/>
      <w:bookmarkEnd w:id="116"/>
      <w:bookmarkEnd w:id="117"/>
    </w:p>
    <w:p w:rsidRPr="00EE7B2A" w:rsidR="00FD173D" w:rsidP="00FD173D" w:rsidRDefault="00FD173D" w14:paraId="7B50232D" w14:textId="17538D95">
      <w:r>
        <w:t>ADECA</w:t>
      </w:r>
      <w:r w:rsidRPr="00EE7B2A">
        <w:t xml:space="preserve"> will require potential subgrantees to demonstrate financial capability through a series of application questions and document requests. Applicant responses and documentation will be collected through a</w:t>
      </w:r>
      <w:r>
        <w:t xml:space="preserve">n online portal </w:t>
      </w:r>
      <w:r w:rsidR="002367A1">
        <w:t>and</w:t>
      </w:r>
      <w:r w:rsidRPr="00EE7B2A">
        <w:t xml:space="preserve"> analyzed to support an informed assessment of the potential subgrantee’s financial capability to meet the obligations of the project, maintain available funds to support the project, and demonstrate financial viability of the project.</w:t>
      </w:r>
    </w:p>
    <w:p w:rsidRPr="00EE7B2A" w:rsidR="00FD173D" w:rsidP="00FD173D" w:rsidRDefault="00FD173D" w14:paraId="4C6277B9" w14:textId="12EC0F0E">
      <w:r>
        <w:t>ADECA</w:t>
      </w:r>
      <w:r w:rsidRPr="00EE7B2A">
        <w:t xml:space="preserve">’s Prequalification Phase and its Scoring Phase application </w:t>
      </w:r>
      <w:r w:rsidR="00DF0AE5">
        <w:t>process</w:t>
      </w:r>
      <w:r w:rsidRPr="00EE7B2A">
        <w:t xml:space="preserve"> will require potential subgrantees to provide narrative responses, certifications, and documentation to demonstrate financial </w:t>
      </w:r>
      <w:r w:rsidR="00392BF6">
        <w:t>capability</w:t>
      </w:r>
      <w:r w:rsidRPr="00EE7B2A">
        <w:t xml:space="preserve"> and available resources to meet program requirements and successfully complete a funded project.</w:t>
      </w:r>
    </w:p>
    <w:p w:rsidRPr="00EE7B2A" w:rsidR="00FD173D" w:rsidP="008A211A" w:rsidRDefault="00FD173D" w14:paraId="7897D024" w14:textId="173FAD49">
      <w:pPr>
        <w:pStyle w:val="Heading3"/>
        <w:numPr>
          <w:ilvl w:val="2"/>
          <w:numId w:val="22"/>
        </w:numPr>
      </w:pPr>
      <w:bookmarkStart w:name="_Toc146637801" w:id="118"/>
      <w:bookmarkStart w:name="_Toc147151979" w:id="119"/>
      <w:bookmarkStart w:name="_Toc148069331" w:id="120"/>
      <w:bookmarkStart w:name="_Toc150852640" w:id="121"/>
      <w:r w:rsidRPr="00EE7B2A">
        <w:t>Officer certifications</w:t>
      </w:r>
      <w:bookmarkEnd w:id="118"/>
      <w:bookmarkEnd w:id="119"/>
      <w:bookmarkEnd w:id="120"/>
      <w:bookmarkEnd w:id="121"/>
    </w:p>
    <w:p w:rsidRPr="00EE7B2A" w:rsidR="00E02F23" w:rsidP="00FD173D" w:rsidRDefault="00FD173D" w14:paraId="77159EB6" w14:textId="67BFAD0A">
      <w:r w:rsidRPr="00EE7B2A">
        <w:t xml:space="preserve">As part of the Prequalification Phase, </w:t>
      </w:r>
      <w:r>
        <w:t>ADECA</w:t>
      </w:r>
      <w:r w:rsidRPr="00EE7B2A">
        <w:t xml:space="preserve"> will require a certification from an officer or director of a prospective subgrantee </w:t>
      </w:r>
      <w:r w:rsidRPr="00C15A3D" w:rsidR="00C15A3D">
        <w:t xml:space="preserve">with the authority to bind the company </w:t>
      </w:r>
      <w:r w:rsidRPr="00EE7B2A">
        <w:t xml:space="preserve">that the organization has the necessary financial qualifications, capabilities, and resources to comply with all program requirements and successfully participate in the program. </w:t>
      </w:r>
    </w:p>
    <w:p w:rsidRPr="00EE7B2A" w:rsidR="00FD173D" w:rsidP="00FD173D" w:rsidRDefault="00FD173D" w14:paraId="1ECBC563" w14:textId="77777777">
      <w:r w:rsidRPr="00EE7B2A">
        <w:t xml:space="preserve">Only prequalified applicants will be allowed to submit applications for project funding during the Scoring Phase. During the Scoring Phase, applicants will be required to submit project-specific certifications by an officer or director of the company. The organization will certify that it will have sufficient financial resources to successfully complete its proposed project and will further certify that it understands the program will use a reimbursement model, requiring subgrantees to commit resources to construct the network and begin service prior to receiving grant award funding as reimbursement for eligible expenses. </w:t>
      </w:r>
    </w:p>
    <w:p w:rsidRPr="00EE7B2A" w:rsidR="00FD173D" w:rsidP="00FD173D" w:rsidRDefault="00FD173D" w14:paraId="0A602755" w14:textId="695FBE69">
      <w:r w:rsidRPr="00EE7B2A">
        <w:t xml:space="preserve">Additionally, during the Scoring Phase, </w:t>
      </w:r>
      <w:r>
        <w:t>ADECA</w:t>
      </w:r>
      <w:r w:rsidRPr="00EE7B2A">
        <w:t xml:space="preserve"> will require certifications from the applicant that it will have sufficient financial resources to provide the pledged matching funding as required by the </w:t>
      </w:r>
      <w:r w:rsidR="00C714C7">
        <w:t>BEAD P</w:t>
      </w:r>
      <w:r w:rsidRPr="00EE7B2A">
        <w:t xml:space="preserve">rogram rules. </w:t>
      </w:r>
      <w:r w:rsidR="00457358">
        <w:t>In particular, ADECA will require applicants to demonstrate in their budgets</w:t>
      </w:r>
      <w:r w:rsidR="00004AF8">
        <w:t xml:space="preserve"> and pro forma statements </w:t>
      </w:r>
      <w:r w:rsidR="00982195">
        <w:t xml:space="preserve">that </w:t>
      </w:r>
      <w:r w:rsidR="00C9089F">
        <w:t xml:space="preserve">they will comply with the match requirements </w:t>
      </w:r>
      <w:r w:rsidR="002E60F6">
        <w:t xml:space="preserve">set forth in the BEAD NOFO (i.e., </w:t>
      </w:r>
      <w:r w:rsidR="00DB58BB">
        <w:t xml:space="preserve">minimum 25 percent match </w:t>
      </w:r>
      <w:r w:rsidR="00A0670D">
        <w:t>for non-</w:t>
      </w:r>
      <w:proofErr w:type="gramStart"/>
      <w:r w:rsidR="00A0670D">
        <w:t>high cost</w:t>
      </w:r>
      <w:proofErr w:type="gramEnd"/>
      <w:r w:rsidR="00A0670D">
        <w:t xml:space="preserve"> locations)</w:t>
      </w:r>
      <w:r w:rsidR="00ED75E6">
        <w:t>.</w:t>
      </w:r>
      <w:r w:rsidRPr="00EE7B2A">
        <w:t xml:space="preserve"> Applicants will also be required to certify that they will have the financial resources to support all project costs necessary to complete the project, even if those costs exceed the amount of </w:t>
      </w:r>
      <w:r w:rsidR="003B2042">
        <w:t xml:space="preserve">the </w:t>
      </w:r>
      <w:r w:rsidRPr="00EE7B2A">
        <w:t xml:space="preserve">grant award and pledged matching funds. </w:t>
      </w:r>
    </w:p>
    <w:p w:rsidR="00F17AD7" w:rsidP="00FD173D" w:rsidRDefault="00FD173D" w14:paraId="4CAE9EE2" w14:textId="0FA04EBA">
      <w:r w:rsidRPr="00EE7B2A">
        <w:t xml:space="preserve">These certifications, along with the financial documentation discussed below, will provide </w:t>
      </w:r>
      <w:r>
        <w:t>ADECA</w:t>
      </w:r>
      <w:r w:rsidRPr="00EE7B2A">
        <w:t xml:space="preserve"> with necessary assurances of the applicant’s financial qualifications and capabilities.</w:t>
      </w:r>
      <w:r w:rsidR="00095C1D">
        <w:t xml:space="preserve"> </w:t>
      </w:r>
      <w:r w:rsidR="00D47482">
        <w:t xml:space="preserve">To the extent </w:t>
      </w:r>
      <w:r w:rsidR="00331BA7">
        <w:t xml:space="preserve">these </w:t>
      </w:r>
      <w:r w:rsidR="00DD0892">
        <w:t xml:space="preserve">certifications and other terms </w:t>
      </w:r>
      <w:r w:rsidR="001E3760">
        <w:t xml:space="preserve">may need to be revised </w:t>
      </w:r>
      <w:r w:rsidR="00797576">
        <w:t xml:space="preserve">due to </w:t>
      </w:r>
      <w:r w:rsidR="00EE3A46">
        <w:t xml:space="preserve">potential Special Award </w:t>
      </w:r>
      <w:r w:rsidR="00F22EF6">
        <w:t xml:space="preserve">Conditions, ADECA will ensure that </w:t>
      </w:r>
      <w:r w:rsidR="00624B1D">
        <w:t>such revisions</w:t>
      </w:r>
      <w:r w:rsidR="00F17AD7">
        <w:t xml:space="preserve">: (a) </w:t>
      </w:r>
      <w:r w:rsidR="00107D4D">
        <w:t>are specific and clearly defined;</w:t>
      </w:r>
      <w:r w:rsidR="00F17AD7">
        <w:t xml:space="preserve"> (b) a</w:t>
      </w:r>
      <w:r w:rsidR="00107D4D">
        <w:t>re measurable in whether or not they are</w:t>
      </w:r>
      <w:r w:rsidR="00F17AD7">
        <w:t xml:space="preserve"> </w:t>
      </w:r>
      <w:r w:rsidR="00107D4D">
        <w:t>achieved;</w:t>
      </w:r>
      <w:r w:rsidR="00F17AD7">
        <w:t xml:space="preserve"> (c) h</w:t>
      </w:r>
      <w:r w:rsidR="00107D4D">
        <w:t>ave a specific timeframe; and</w:t>
      </w:r>
      <w:r w:rsidR="00F17AD7">
        <w:t xml:space="preserve"> (d) n</w:t>
      </w:r>
      <w:r w:rsidR="00107D4D">
        <w:t>ote the reviewing party and associated responsibilities.</w:t>
      </w:r>
    </w:p>
    <w:p w:rsidR="00F17AD7" w:rsidP="00EA0205" w:rsidRDefault="000C0228" w14:paraId="10EA9494" w14:textId="6B695C5C">
      <w:pPr>
        <w:pStyle w:val="Heading3"/>
        <w:numPr>
          <w:ilvl w:val="2"/>
          <w:numId w:val="22"/>
        </w:numPr>
        <w:jc w:val="both"/>
      </w:pPr>
      <w:bookmarkStart w:name="_Toc150852641" w:id="122"/>
      <w:r w:rsidRPr="00EE7B2A">
        <w:t>Letter of credit</w:t>
      </w:r>
      <w:r>
        <w:t>/performance bond</w:t>
      </w:r>
      <w:bookmarkEnd w:id="122"/>
    </w:p>
    <w:p w:rsidR="00244CEC" w:rsidP="005F199C" w:rsidRDefault="006C0FC7" w14:paraId="62BBD8B8" w14:textId="23A1C23C">
      <w:r>
        <w:t xml:space="preserve">The BEAD NOFO established letter of credit (LOC) </w:t>
      </w:r>
      <w:r w:rsidR="004069FD">
        <w:t>obligations</w:t>
      </w:r>
      <w:r>
        <w:t xml:space="preserve"> for </w:t>
      </w:r>
      <w:r w:rsidR="00E77CCA">
        <w:t>prospective subgrantees.</w:t>
      </w:r>
      <w:r w:rsidR="009E2B08">
        <w:rPr>
          <w:rStyle w:val="FootnoteReference"/>
        </w:rPr>
        <w:footnoteReference w:id="51"/>
      </w:r>
      <w:r w:rsidR="00E77CCA">
        <w:t xml:space="preserve"> </w:t>
      </w:r>
      <w:r w:rsidR="004069FD">
        <w:t xml:space="preserve">Such obligations </w:t>
      </w:r>
      <w:r w:rsidR="00ED6722">
        <w:t xml:space="preserve">required prospective subgrantees </w:t>
      </w:r>
      <w:r w:rsidR="00A6013A">
        <w:t xml:space="preserve">to submit a letter during the application process from a </w:t>
      </w:r>
      <w:proofErr w:type="gramStart"/>
      <w:r w:rsidR="00A6013A">
        <w:t>bank meet</w:t>
      </w:r>
      <w:r w:rsidR="00D27509">
        <w:t>ing</w:t>
      </w:r>
      <w:r w:rsidR="00A6013A">
        <w:t xml:space="preserve"> eligibility requirements</w:t>
      </w:r>
      <w:proofErr w:type="gramEnd"/>
      <w:r w:rsidR="00A6013A">
        <w:t xml:space="preserve"> consistent with those set forth in 47 C.F.R. § 54.804(c)(2) committing to issue an irrevocable standby </w:t>
      </w:r>
      <w:r w:rsidR="00884B09">
        <w:t>LOC</w:t>
      </w:r>
      <w:r w:rsidR="00A6013A">
        <w:t>, in the required form, to the prospective subgrantee</w:t>
      </w:r>
      <w:r w:rsidR="00506AB8">
        <w:t xml:space="preserve">. </w:t>
      </w:r>
      <w:r w:rsidR="00D27509">
        <w:t>Such obligations further required p</w:t>
      </w:r>
      <w:r w:rsidR="00A81380">
        <w:t xml:space="preserve">rospective subgrantees to provide an irrevocable standby </w:t>
      </w:r>
      <w:r w:rsidR="00884B09">
        <w:t>LOC,</w:t>
      </w:r>
      <w:r w:rsidR="00F643DA">
        <w:t xml:space="preserve"> </w:t>
      </w:r>
      <w:r w:rsidR="00EC6CC8">
        <w:t>in the required form</w:t>
      </w:r>
      <w:r w:rsidR="00884B09">
        <w:t>,</w:t>
      </w:r>
      <w:r w:rsidR="00EC6CC8">
        <w:t xml:space="preserve"> </w:t>
      </w:r>
      <w:r w:rsidR="00F643DA">
        <w:t xml:space="preserve">in a value </w:t>
      </w:r>
      <w:r w:rsidR="00B051FE">
        <w:t xml:space="preserve">of no less than 25 percent of the subaward amount. In addition, </w:t>
      </w:r>
      <w:r w:rsidR="00884B09">
        <w:t xml:space="preserve">the obligations required </w:t>
      </w:r>
      <w:r w:rsidR="00FF234D">
        <w:t>prospective subgrantees</w:t>
      </w:r>
      <w:r w:rsidR="00884B09">
        <w:t xml:space="preserve"> </w:t>
      </w:r>
      <w:r w:rsidR="00FF234D">
        <w:t xml:space="preserve">to provide </w:t>
      </w:r>
      <w:r w:rsidR="00244CEC">
        <w:t>an opinion letter from legal counsel stating that</w:t>
      </w:r>
      <w:r w:rsidR="00884B09">
        <w:t>,</w:t>
      </w:r>
      <w:r w:rsidR="00244CEC">
        <w:t xml:space="preserve"> in a proceeding under the Bankruptcy Code</w:t>
      </w:r>
      <w:r w:rsidR="00884B09">
        <w:t>,</w:t>
      </w:r>
      <w:r w:rsidR="00244CEC">
        <w:t xml:space="preserve"> the bankruptcy court would not treat the </w:t>
      </w:r>
      <w:r w:rsidR="00884B09">
        <w:t>LOC</w:t>
      </w:r>
      <w:r w:rsidR="00244CEC">
        <w:t xml:space="preserve"> as property of the winning subgrantee’s bankruptcy estate</w:t>
      </w:r>
      <w:r w:rsidR="00884B09">
        <w:t>.</w:t>
      </w:r>
    </w:p>
    <w:p w:rsidR="00A2074A" w:rsidP="003F6EFE" w:rsidRDefault="00BC50E4" w14:paraId="02F76FDB" w14:textId="58E16297">
      <w:r w:rsidRPr="00C02932">
        <w:t>On November 1, 2023,</w:t>
      </w:r>
      <w:r w:rsidRPr="00405F06">
        <w:t xml:space="preserve"> </w:t>
      </w:r>
      <w:r w:rsidRPr="0073014E" w:rsidR="00405F06">
        <w:t xml:space="preserve">NTIA </w:t>
      </w:r>
      <w:r w:rsidR="00DC04A3">
        <w:t xml:space="preserve">issued </w:t>
      </w:r>
      <w:r w:rsidRPr="0073014E" w:rsidR="00405F06">
        <w:t>a conditional programmatic waiver</w:t>
      </w:r>
      <w:r w:rsidR="009B2AC5">
        <w:t xml:space="preserve"> that modifies the LOC requirements </w:t>
      </w:r>
      <w:r w:rsidR="00BC06E2">
        <w:t xml:space="preserve">for </w:t>
      </w:r>
      <w:r w:rsidR="001B7A7B">
        <w:t xml:space="preserve">prospective </w:t>
      </w:r>
      <w:r w:rsidR="00BC06E2">
        <w:t>subgrantees</w:t>
      </w:r>
      <w:r w:rsidR="00EF2240">
        <w:t xml:space="preserve"> (NTIA LOC Waiver)</w:t>
      </w:r>
      <w:r w:rsidR="00BC06E2">
        <w:t>.</w:t>
      </w:r>
      <w:r w:rsidR="00AE2653">
        <w:rPr>
          <w:rStyle w:val="FootnoteReference"/>
        </w:rPr>
        <w:footnoteReference w:id="52"/>
      </w:r>
      <w:r w:rsidR="00BC06E2">
        <w:t xml:space="preserve"> Specifically, the </w:t>
      </w:r>
      <w:r w:rsidR="00EF2240">
        <w:t>NTIA LOC Waiver</w:t>
      </w:r>
      <w:r w:rsidR="00AE2653">
        <w:t>:</w:t>
      </w:r>
    </w:p>
    <w:p w:rsidR="009B3249" w:rsidP="007040B7" w:rsidRDefault="008E66F2" w14:paraId="3419C3EC" w14:textId="72017BF0">
      <w:pPr>
        <w:pStyle w:val="ListParagraph"/>
        <w:numPr>
          <w:ilvl w:val="0"/>
          <w:numId w:val="87"/>
        </w:numPr>
      </w:pPr>
      <w:r>
        <w:t xml:space="preserve">Allows </w:t>
      </w:r>
      <w:r w:rsidR="00F81B0E">
        <w:t xml:space="preserve">a </w:t>
      </w:r>
      <w:r w:rsidR="009B3249">
        <w:t xml:space="preserve">prospective subgrantee to </w:t>
      </w:r>
      <w:r w:rsidR="00710858">
        <w:t>meet the LOC requirements</w:t>
      </w:r>
      <w:r w:rsidR="007040B7">
        <w:t xml:space="preserve"> by using </w:t>
      </w:r>
      <w:r w:rsidR="00BA002C">
        <w:t>any United States credit union that is insured by the National Credit Union Administration and has a credit union safety rating issued by Weiss of B– or better</w:t>
      </w:r>
    </w:p>
    <w:p w:rsidR="009B3249" w:rsidP="00817751" w:rsidRDefault="00A05B4F" w14:paraId="49605D8B" w14:textId="563A5BAB">
      <w:pPr>
        <w:pStyle w:val="ListParagraph"/>
        <w:numPr>
          <w:ilvl w:val="0"/>
          <w:numId w:val="83"/>
        </w:numPr>
      </w:pPr>
      <w:r>
        <w:t xml:space="preserve">Allows </w:t>
      </w:r>
      <w:r w:rsidR="00F81B0E">
        <w:t xml:space="preserve">a </w:t>
      </w:r>
      <w:r>
        <w:t>prospective subgrantee to use a performance bond</w:t>
      </w:r>
      <w:r w:rsidR="006510EC">
        <w:t xml:space="preserve"> in lieu of a LOC if</w:t>
      </w:r>
      <w:r w:rsidR="00867C77">
        <w:t xml:space="preserve">: (a) during the application process, </w:t>
      </w:r>
      <w:r w:rsidR="00F81B0E">
        <w:t xml:space="preserve">the </w:t>
      </w:r>
      <w:r w:rsidR="00867C77">
        <w:t>prospective subgrantee submit</w:t>
      </w:r>
      <w:r w:rsidR="001767A8">
        <w:t>s</w:t>
      </w:r>
      <w:r w:rsidR="00867C77">
        <w:t xml:space="preserve"> a letter from a company holding a certificate of authority as an acceptable surety on federal bonds as identified in the Department of Treasury Circular 570 committing to issue a</w:t>
      </w:r>
      <w:r w:rsidR="00B628F3">
        <w:t xml:space="preserve"> </w:t>
      </w:r>
      <w:r w:rsidRPr="00B628F3" w:rsidR="00B628F3">
        <w:t>performance bond to the prospective subgrantee</w:t>
      </w:r>
      <w:r w:rsidR="00512DF5">
        <w:t>; (b)</w:t>
      </w:r>
      <w:r w:rsidR="00857743">
        <w:t xml:space="preserve"> t</w:t>
      </w:r>
      <w:r w:rsidR="006510EC">
        <w:t>he letter provide</w:t>
      </w:r>
      <w:r w:rsidR="00857743">
        <w:t>s</w:t>
      </w:r>
      <w:r w:rsidR="006510EC">
        <w:t xml:space="preserve"> the dollar amount </w:t>
      </w:r>
      <w:r w:rsidR="00AD0EB3">
        <w:t xml:space="preserve">of the performance bond; and (c) </w:t>
      </w:r>
      <w:r w:rsidR="00817751">
        <w:t>p</w:t>
      </w:r>
      <w:r w:rsidR="00FA2077">
        <w:t xml:space="preserve">rior to entering into any subgrant agreement, </w:t>
      </w:r>
      <w:r w:rsidR="00817751">
        <w:t>the</w:t>
      </w:r>
      <w:r w:rsidR="00FA2077">
        <w:t xml:space="preserve"> prospective subgrantee obtains a performance bond</w:t>
      </w:r>
      <w:r w:rsidR="00FC5AD2">
        <w:t xml:space="preserve"> </w:t>
      </w:r>
      <w:r w:rsidR="00FA2077">
        <w:t>in a value of no less than 100 percent of the subaward amount</w:t>
      </w:r>
    </w:p>
    <w:p w:rsidR="006D1575" w:rsidP="003B4E75" w:rsidRDefault="00DD66EC" w14:paraId="570D8459" w14:textId="097F7F71">
      <w:pPr>
        <w:pStyle w:val="ListParagraph"/>
        <w:numPr>
          <w:ilvl w:val="0"/>
          <w:numId w:val="83"/>
        </w:numPr>
      </w:pPr>
      <w:r>
        <w:t xml:space="preserve">Allows ADECA to reduce </w:t>
      </w:r>
      <w:r w:rsidR="00953416">
        <w:t xml:space="preserve">LOC/performance bond obligations upon </w:t>
      </w:r>
      <w:r w:rsidR="00724DB2">
        <w:t>subgrantee completion of milestones</w:t>
      </w:r>
      <w:r w:rsidR="003B4E75">
        <w:t xml:space="preserve"> that are publicly specified by ADECA</w:t>
      </w:r>
      <w:r w:rsidR="009B49E6">
        <w:t xml:space="preserve"> </w:t>
      </w:r>
      <w:r w:rsidR="003B4E75">
        <w:t>and applicable to all subgrantees subject to the LOC requirements</w:t>
      </w:r>
      <w:r w:rsidR="006D1575">
        <w:t>; w</w:t>
      </w:r>
      <w:r w:rsidR="009A41C4">
        <w:t xml:space="preserve">ith the completion of each milestone, the subgrantee may obtain </w:t>
      </w:r>
      <w:r w:rsidR="00FD5A00">
        <w:t xml:space="preserve">a new LOC or reduce the amount of the performance bond, subject to limitations </w:t>
      </w:r>
      <w:r w:rsidR="006D1575">
        <w:t xml:space="preserve">established in </w:t>
      </w:r>
      <w:r w:rsidR="00EF2240">
        <w:t>the NTIA LOC Waiver</w:t>
      </w:r>
    </w:p>
    <w:p w:rsidR="00F75C9D" w:rsidP="00F75C9D" w:rsidRDefault="00CA6E7A" w14:paraId="18BE74F2" w14:textId="7329C30B">
      <w:pPr>
        <w:pStyle w:val="ListParagraph"/>
        <w:numPr>
          <w:ilvl w:val="0"/>
          <w:numId w:val="83"/>
        </w:numPr>
        <w:spacing w:after="240"/>
      </w:pPr>
      <w:r>
        <w:t xml:space="preserve">Allows </w:t>
      </w:r>
      <w:r w:rsidR="00D6111C">
        <w:t xml:space="preserve">a prospective subgrantee </w:t>
      </w:r>
      <w:r w:rsidR="005F669D">
        <w:t xml:space="preserve">to obtain a LOC for less than 25 percent of the subaward amount or </w:t>
      </w:r>
      <w:r w:rsidR="00F25952">
        <w:t>a performance bond for less than 100 percent of the subaward amount if: (a)</w:t>
      </w:r>
      <w:r w:rsidR="00332979">
        <w:t xml:space="preserve"> </w:t>
      </w:r>
      <w:r w:rsidR="0075014C">
        <w:t>ADECA issues funding on a reimbursable basis</w:t>
      </w:r>
      <w:r w:rsidR="00332979">
        <w:t>; (b)</w:t>
      </w:r>
      <w:r w:rsidR="0075014C">
        <w:t xml:space="preserve"> reimbursement is for no more than six months</w:t>
      </w:r>
      <w:r w:rsidR="00332979">
        <w:t>; and (c)</w:t>
      </w:r>
      <w:r w:rsidR="0075014C">
        <w:t xml:space="preserve"> the subgrantee commits to maintain a LOC or performance bond in the amount of 10 </w:t>
      </w:r>
      <w:r w:rsidR="00FE360F">
        <w:t>percent</w:t>
      </w:r>
      <w:r w:rsidR="0075014C">
        <w:t xml:space="preserve"> of the subaward amount until it has demonstrated to ADECA that it has completed the buildout of 10</w:t>
      </w:r>
      <w:r w:rsidR="00F75C9D">
        <w:t>0</w:t>
      </w:r>
      <w:r w:rsidR="0075014C">
        <w:t xml:space="preserve"> percent of locations to be served by the project or until the period of performance of the subaward has ended, whichever occurs first</w:t>
      </w:r>
    </w:p>
    <w:p w:rsidR="00F75C9D" w:rsidP="00FF1267" w:rsidRDefault="00F75C9D" w14:paraId="10B31F70" w14:textId="6053C8A5">
      <w:r>
        <w:t xml:space="preserve">ADECA is reviewing the </w:t>
      </w:r>
      <w:r w:rsidR="00B92188">
        <w:t>NTIA LOC Waiver</w:t>
      </w:r>
      <w:r>
        <w:t xml:space="preserve"> and seeks comment regarding </w:t>
      </w:r>
      <w:r w:rsidR="00EB723B">
        <w:t xml:space="preserve">its application to </w:t>
      </w:r>
      <w:r w:rsidR="00BF13D1">
        <w:t>the</w:t>
      </w:r>
      <w:r w:rsidR="00030B34">
        <w:t xml:space="preserve"> qualifications for prospective subgrantees under the BEAD Program. </w:t>
      </w:r>
      <w:r w:rsidR="007B5FD5">
        <w:t>ADECA</w:t>
      </w:r>
      <w:r w:rsidRPr="00EE7B2A" w:rsidR="007B5FD5">
        <w:t xml:space="preserve"> will have a model </w:t>
      </w:r>
      <w:r w:rsidR="007B5FD5">
        <w:t>LOC</w:t>
      </w:r>
      <w:r w:rsidRPr="00EE7B2A" w:rsidR="007B5FD5">
        <w:t xml:space="preserve"> posted on its website as part of the BEAD application materials and </w:t>
      </w:r>
      <w:r w:rsidR="007B5FD5">
        <w:t xml:space="preserve">applicants may meet their </w:t>
      </w:r>
      <w:r w:rsidR="00B53881">
        <w:t xml:space="preserve">LOC requirements in accordance with the process established in the BEAD NOFO. </w:t>
      </w:r>
      <w:r w:rsidR="00030B34">
        <w:t>However, ADECA c</w:t>
      </w:r>
      <w:r w:rsidR="00B53881">
        <w:t>urrently anticipates</w:t>
      </w:r>
      <w:r w:rsidR="00030B34">
        <w:t xml:space="preserve"> </w:t>
      </w:r>
      <w:r w:rsidR="00895A1E">
        <w:t>implement</w:t>
      </w:r>
      <w:r w:rsidR="00B53881">
        <w:t>ing</w:t>
      </w:r>
      <w:r w:rsidR="00895A1E">
        <w:t xml:space="preserve"> the </w:t>
      </w:r>
      <w:r w:rsidR="00B92188">
        <w:t>NTIA LOC Waiver</w:t>
      </w:r>
      <w:r w:rsidR="00895A1E">
        <w:t xml:space="preserve"> to provide additional flexibility for </w:t>
      </w:r>
      <w:r w:rsidR="007B5FD5">
        <w:t>prospective subgrantees.</w:t>
      </w:r>
      <w:r w:rsidR="00BF13D1">
        <w:t xml:space="preserve"> </w:t>
      </w:r>
    </w:p>
    <w:p w:rsidRPr="00EE7B2A" w:rsidR="00FD173D" w:rsidP="00FD173D" w:rsidRDefault="00FD173D" w14:paraId="5A425F99" w14:textId="3BAC6776">
      <w:r>
        <w:t>ADECA</w:t>
      </w:r>
      <w:r w:rsidRPr="00EE7B2A">
        <w:t xml:space="preserve">’s </w:t>
      </w:r>
      <w:r w:rsidR="00B84E16">
        <w:t>LOC/performance bond</w:t>
      </w:r>
      <w:r w:rsidRPr="00EE7B2A">
        <w:t xml:space="preserve"> process will require program participants to satisfy </w:t>
      </w:r>
      <w:r w:rsidR="00E95248">
        <w:t>the following requirements</w:t>
      </w:r>
      <w:r w:rsidR="00CA3CEB">
        <w:t>:</w:t>
      </w:r>
    </w:p>
    <w:p w:rsidR="00163820" w:rsidP="001F52F4" w:rsidRDefault="00FD173D" w14:paraId="4B4CCAF3" w14:textId="7AFC97E2">
      <w:pPr>
        <w:pStyle w:val="ListParagraph"/>
        <w:numPr>
          <w:ilvl w:val="0"/>
          <w:numId w:val="102"/>
        </w:numPr>
      </w:pPr>
      <w:r w:rsidRPr="00EE7B2A">
        <w:t xml:space="preserve">As part of the Prequalification Phase, </w:t>
      </w:r>
      <w:r>
        <w:t>ADECA</w:t>
      </w:r>
      <w:r w:rsidRPr="00EE7B2A">
        <w:t xml:space="preserve"> will require participants to certify that they are aware of and understand the </w:t>
      </w:r>
      <w:r w:rsidR="006B2D5A">
        <w:t>updated LOC</w:t>
      </w:r>
      <w:r w:rsidR="00CF21FB">
        <w:t xml:space="preserve"> and performance bond obligations based on</w:t>
      </w:r>
      <w:r w:rsidR="00551698">
        <w:t xml:space="preserve"> the NTIA LOC Waiver</w:t>
      </w:r>
      <w:r w:rsidR="00CF21FB">
        <w:t>.</w:t>
      </w:r>
      <w:r w:rsidR="002B796F">
        <w:t xml:space="preserve"> Participants will further certify </w:t>
      </w:r>
      <w:r w:rsidR="005418C1">
        <w:t xml:space="preserve">that </w:t>
      </w:r>
      <w:r w:rsidRPr="00EE7B2A">
        <w:t>they have the qualifications and resources to obtain the required letter of commitment</w:t>
      </w:r>
      <w:r w:rsidR="002B796F">
        <w:t>, LOC, or performance bond</w:t>
      </w:r>
      <w:r w:rsidR="00286607">
        <w:t>.</w:t>
      </w:r>
    </w:p>
    <w:p w:rsidR="004133EF" w:rsidP="001F52F4" w:rsidRDefault="00286607" w14:paraId="673B04EA" w14:textId="2CB5A39A">
      <w:pPr>
        <w:pStyle w:val="ListParagraph"/>
        <w:numPr>
          <w:ilvl w:val="0"/>
          <w:numId w:val="102"/>
        </w:numPr>
      </w:pPr>
      <w:r>
        <w:t xml:space="preserve">Second, </w:t>
      </w:r>
      <w:r w:rsidR="002C2C4E">
        <w:t xml:space="preserve">as part of the application phase, applicants choosing to obtain a LOC </w:t>
      </w:r>
      <w:r w:rsidRPr="00EE7B2A" w:rsidR="002C2C4E">
        <w:t>will be required to present a letter of commitment from a qualified financial institution</w:t>
      </w:r>
      <w:r w:rsidR="00AA22A9">
        <w:t>.</w:t>
      </w:r>
      <w:r w:rsidRPr="00EE7B2A" w:rsidR="002C2C4E">
        <w:t xml:space="preserve"> </w:t>
      </w:r>
      <w:r w:rsidR="002C2C4E">
        <w:t>ADECA</w:t>
      </w:r>
      <w:r w:rsidRPr="00EE7B2A" w:rsidR="002C2C4E">
        <w:t xml:space="preserve"> will define a “qualified financial institution” as one that meets the program rules for the FCC’s RDOF program (47 C.F.R. §</w:t>
      </w:r>
      <w:r w:rsidR="00551698">
        <w:t xml:space="preserve"> </w:t>
      </w:r>
      <w:r w:rsidRPr="00EE7B2A" w:rsidR="002C2C4E">
        <w:t>54.804(c)(2))</w:t>
      </w:r>
      <w:r w:rsidR="004133EF">
        <w:t xml:space="preserve"> as well as any United States credit union that is insured by the National Credit Union Administration and has a credit union safety rating issued by Weiss of B– or better</w:t>
      </w:r>
      <w:r w:rsidR="006F6F1F">
        <w:t>.</w:t>
      </w:r>
      <w:r w:rsidR="00DF631F">
        <w:t xml:space="preserve"> Applicants choosing to obtain a performance bond</w:t>
      </w:r>
      <w:r w:rsidR="008852B6">
        <w:t xml:space="preserve"> will be required to submit a letter from a company holding a certificate of authority as an acceptable surety on federal bonds as identified in the Department of Treasury Circular 570 which contains the dollar amount of the performance bond.</w:t>
      </w:r>
    </w:p>
    <w:p w:rsidRPr="00EE7B2A" w:rsidR="00FD173D" w:rsidP="00207A42" w:rsidRDefault="00912654" w14:paraId="4CCA72EB" w14:textId="5CF2761D">
      <w:pPr>
        <w:pStyle w:val="ListParagraph"/>
        <w:numPr>
          <w:ilvl w:val="0"/>
          <w:numId w:val="102"/>
        </w:numPr>
      </w:pPr>
      <w:r>
        <w:t>For applicants choosing to obtain a LOC, the</w:t>
      </w:r>
      <w:r w:rsidRPr="00EE7B2A" w:rsidR="00FD173D">
        <w:t xml:space="preserve"> letter of commitment must describe the type of financial institution that is making the commitment using the categories in 47 C.F.R. §</w:t>
      </w:r>
      <w:r w:rsidR="00551698">
        <w:t xml:space="preserve"> </w:t>
      </w:r>
      <w:r w:rsidRPr="00EE7B2A" w:rsidR="00FD173D">
        <w:t xml:space="preserve">54.804(c)(2). The letter of commitment must also state that the financial institution stands ready to issue an irrevocable standby </w:t>
      </w:r>
      <w:r w:rsidR="00BF4C49">
        <w:t>LOC</w:t>
      </w:r>
      <w:r w:rsidRPr="00EE7B2A" w:rsidR="00FD173D">
        <w:t xml:space="preserve"> for the proposed project in the required amount and must specify the expected amount. The financial institution must also state that it has reviewed the model </w:t>
      </w:r>
      <w:r w:rsidR="00EA691F">
        <w:t>LOC</w:t>
      </w:r>
      <w:r w:rsidRPr="00EE7B2A" w:rsidDel="00EA691F" w:rsidR="00FD173D">
        <w:t xml:space="preserve"> </w:t>
      </w:r>
      <w:r w:rsidRPr="00EE7B2A" w:rsidR="00FD173D">
        <w:t xml:space="preserve">and is prepared to comply with all terms and conditions for the </w:t>
      </w:r>
      <w:r w:rsidR="00BD4533">
        <w:t xml:space="preserve">LOC </w:t>
      </w:r>
      <w:r w:rsidRPr="00EE7B2A" w:rsidR="00FD173D">
        <w:t xml:space="preserve">under this program. </w:t>
      </w:r>
    </w:p>
    <w:p w:rsidRPr="00EE7B2A" w:rsidR="00FD173D" w:rsidP="00F45400" w:rsidRDefault="00FD173D" w14:paraId="70257625" w14:textId="38DDEA52">
      <w:pPr>
        <w:pStyle w:val="ListParagraph"/>
        <w:numPr>
          <w:ilvl w:val="0"/>
          <w:numId w:val="102"/>
        </w:numPr>
      </w:pPr>
      <w:r w:rsidRPr="00EE7B2A">
        <w:t xml:space="preserve">Upon completion of the Scoring Phase, successful subgrantees with awarded projects will be required to obtain an irrevocable standby </w:t>
      </w:r>
      <w:r w:rsidR="00BD4533">
        <w:t>LOC</w:t>
      </w:r>
      <w:r w:rsidR="00F5715C">
        <w:t xml:space="preserve"> or performance bond from the previously identified </w:t>
      </w:r>
      <w:r w:rsidRPr="00EE7B2A">
        <w:t xml:space="preserve">institution. Submission of this </w:t>
      </w:r>
      <w:r w:rsidR="00A36EA2">
        <w:t>LOC</w:t>
      </w:r>
      <w:r w:rsidRPr="00EE7B2A">
        <w:t xml:space="preserve"> </w:t>
      </w:r>
      <w:r w:rsidR="00A36EA2">
        <w:t xml:space="preserve">or performance bond </w:t>
      </w:r>
      <w:r w:rsidRPr="00EE7B2A">
        <w:t xml:space="preserve">will be a condition of </w:t>
      </w:r>
      <w:r w:rsidR="001E3A6D">
        <w:t>the</w:t>
      </w:r>
      <w:r w:rsidRPr="00EE7B2A">
        <w:t xml:space="preserve"> final </w:t>
      </w:r>
      <w:r w:rsidR="00A36EA2">
        <w:t>sub</w:t>
      </w:r>
      <w:r w:rsidRPr="00EE7B2A">
        <w:t xml:space="preserve">award agreement. A copy of the </w:t>
      </w:r>
      <w:r w:rsidR="001E3A6D">
        <w:t>LOC or performance bond</w:t>
      </w:r>
      <w:r w:rsidRPr="00EE7B2A">
        <w:t xml:space="preserve"> for each funded project must be submitted directly from the issuing financial institution </w:t>
      </w:r>
      <w:r w:rsidR="000B3ED0">
        <w:t>or surety company</w:t>
      </w:r>
      <w:r w:rsidRPr="00EE7B2A">
        <w:t xml:space="preserve"> within </w:t>
      </w:r>
      <w:r w:rsidRPr="009B0A3C" w:rsidR="000B3ED0">
        <w:t xml:space="preserve">60 </w:t>
      </w:r>
      <w:r w:rsidRPr="00EE7B2A">
        <w:t xml:space="preserve">days of the notification of the award and prior to the finalization of the </w:t>
      </w:r>
      <w:r w:rsidR="00BF3327">
        <w:t>sub</w:t>
      </w:r>
      <w:r w:rsidRPr="00EE7B2A">
        <w:t xml:space="preserve">award agreement. </w:t>
      </w:r>
      <w:r w:rsidR="00701A50">
        <w:t xml:space="preserve">Failure to submit the LOC or performance bond directly from the issuing financial institution or surety company within 60 days of the notification of the award may result in </w:t>
      </w:r>
      <w:r w:rsidR="00985199">
        <w:t xml:space="preserve">award revocation. </w:t>
      </w:r>
      <w:r>
        <w:t>ADECA</w:t>
      </w:r>
      <w:r w:rsidRPr="00EE7B2A">
        <w:t xml:space="preserve"> will ensure that funding will only be committed or distributed upon submission of a proper </w:t>
      </w:r>
      <w:r w:rsidR="00985199">
        <w:t>LOC or performance bond</w:t>
      </w:r>
      <w:r w:rsidRPr="00EE7B2A">
        <w:t>. </w:t>
      </w:r>
    </w:p>
    <w:p w:rsidRPr="00EE7B2A" w:rsidR="0018014F" w:rsidP="00FD173D" w:rsidRDefault="00FD173D" w14:paraId="057E09BD" w14:textId="59DBF119">
      <w:r w:rsidRPr="00EE7B2A">
        <w:t xml:space="preserve">As an additional condition of the final </w:t>
      </w:r>
      <w:r w:rsidR="0090104F">
        <w:t>sub</w:t>
      </w:r>
      <w:r w:rsidRPr="00EE7B2A">
        <w:t xml:space="preserve">award agreement, subgrantees </w:t>
      </w:r>
      <w:r w:rsidR="0090104F">
        <w:t xml:space="preserve">that obtain a LOC </w:t>
      </w:r>
      <w:r w:rsidRPr="00EE7B2A">
        <w:t xml:space="preserve">will be required to submit a bankruptcy opinion letter from legal counsel that states the </w:t>
      </w:r>
      <w:r w:rsidR="004910D9">
        <w:t>LOC</w:t>
      </w:r>
      <w:r w:rsidRPr="00EE7B2A">
        <w:t xml:space="preserve"> is drafted in such a way that</w:t>
      </w:r>
      <w:r w:rsidR="004910D9">
        <w:t>,</w:t>
      </w:r>
      <w:r w:rsidRPr="00EE7B2A">
        <w:t xml:space="preserve"> under a Title 11 bankruptcy proceeding</w:t>
      </w:r>
      <w:r w:rsidR="004910D9">
        <w:t>,</w:t>
      </w:r>
      <w:r w:rsidRPr="00EE7B2A">
        <w:t xml:space="preserve"> the bankruptcy court will not treat the </w:t>
      </w:r>
      <w:r w:rsidR="004910D9">
        <w:t>LOC</w:t>
      </w:r>
      <w:r w:rsidRPr="00EE7B2A">
        <w:t xml:space="preserve"> or proceeds from the </w:t>
      </w:r>
      <w:r w:rsidR="004910D9">
        <w:t>LOC</w:t>
      </w:r>
      <w:r w:rsidRPr="00EE7B2A">
        <w:t xml:space="preserve"> as “property” of the subgrantee’s bankruptcy estate under Section 541 of the United States Bankruptcy Code.</w:t>
      </w:r>
      <w:r w:rsidR="00BD3E2D">
        <w:t xml:space="preserve"> This requirement does not apply if a subgrantee chooses to obtain a performance bond</w:t>
      </w:r>
      <w:r w:rsidR="00AB1F2F">
        <w:t xml:space="preserve"> in accordance with the </w:t>
      </w:r>
      <w:r w:rsidR="001D2C9D">
        <w:t>NTIA LOC Waiver</w:t>
      </w:r>
      <w:r w:rsidR="00AB1F2F">
        <w:t>.</w:t>
      </w:r>
    </w:p>
    <w:p w:rsidRPr="00EE7B2A" w:rsidR="00FD173D" w:rsidP="008A211A" w:rsidRDefault="00FD173D" w14:paraId="6EE98942" w14:textId="77777777">
      <w:pPr>
        <w:pStyle w:val="Heading3"/>
        <w:numPr>
          <w:ilvl w:val="2"/>
          <w:numId w:val="22"/>
        </w:numPr>
      </w:pPr>
      <w:bookmarkStart w:name="_Toc146637803" w:id="123"/>
      <w:bookmarkStart w:name="_Toc147151981" w:id="124"/>
      <w:bookmarkStart w:name="_Toc148069333" w:id="125"/>
      <w:bookmarkStart w:name="_Toc150852642" w:id="126"/>
      <w:r w:rsidRPr="00EE7B2A">
        <w:t>Financial statements</w:t>
      </w:r>
      <w:bookmarkEnd w:id="123"/>
      <w:bookmarkEnd w:id="124"/>
      <w:bookmarkEnd w:id="125"/>
      <w:bookmarkEnd w:id="126"/>
      <w:r w:rsidRPr="00EE7B2A">
        <w:t> </w:t>
      </w:r>
    </w:p>
    <w:p w:rsidR="003332BD" w:rsidP="00FD173D" w:rsidRDefault="00FD173D" w14:paraId="7307C645" w14:textId="7ED56338">
      <w:r w:rsidRPr="00EE7B2A">
        <w:t xml:space="preserve">In addition to the certifications discussed above, </w:t>
      </w:r>
      <w:r>
        <w:t>ADECA</w:t>
      </w:r>
      <w:r w:rsidRPr="00EE7B2A">
        <w:t xml:space="preserve"> will require potential subgrantees to submit documentation of their financial capabilities. During the Prequalification Phase, </w:t>
      </w:r>
      <w:r w:rsidR="003332BD">
        <w:t>each applicant will be required to submit to ADECA financial statements from the prior fiscal year that are audited by an independent certified public accountant. If the applicant has not been audited during the ordinary course of business, in lieu of submitting audited financial statements, it must submit unaudited financial statements from the prior fiscal year and certify that it will provide financial statements from the prior fiscal year that are audited by an independent certified public accountant by a deadline specified by ADECA. ADECA will not approve any grant for the deployment or upgrading of network facilities unless it determines that the documents submitted to it demonstrate the applicant’s financial capability with respect to the proposed project.</w:t>
      </w:r>
    </w:p>
    <w:p w:rsidRPr="00EE7B2A" w:rsidR="00FD173D" w:rsidP="00FD173D" w:rsidRDefault="00FD173D" w14:paraId="577E1DE7" w14:textId="7C4E3D20">
      <w:r w:rsidRPr="00EE7B2A">
        <w:t>Other entities that may have alternative financial reporting requirements, such as public entities</w:t>
      </w:r>
      <w:r w:rsidR="0020418A">
        <w:t xml:space="preserve"> and electric cooperatives</w:t>
      </w:r>
      <w:r w:rsidRPr="00EE7B2A">
        <w:t>, will be allowed to submit relevant and applicable financial documentation</w:t>
      </w:r>
      <w:r w:rsidR="00CA3CEB">
        <w:t>,</w:t>
      </w:r>
      <w:r w:rsidRPr="00EE7B2A">
        <w:t xml:space="preserve"> </w:t>
      </w:r>
      <w:r w:rsidR="0020418A">
        <w:t>in accordance with the BEAD NOFO</w:t>
      </w:r>
      <w:r w:rsidR="00CA3CEB">
        <w:t>,</w:t>
      </w:r>
      <w:r w:rsidR="0020418A">
        <w:t xml:space="preserve"> </w:t>
      </w:r>
      <w:r w:rsidRPr="00EE7B2A">
        <w:t>that provide</w:t>
      </w:r>
      <w:r w:rsidR="005C63AD">
        <w:t>s</w:t>
      </w:r>
      <w:r w:rsidRPr="00EE7B2A">
        <w:t xml:space="preserve"> substantially similar information and that will allow </w:t>
      </w:r>
      <w:r>
        <w:t>ADECA</w:t>
      </w:r>
      <w:r w:rsidRPr="00EE7B2A">
        <w:t xml:space="preserve"> to substantiate the </w:t>
      </w:r>
      <w:r w:rsidR="005C63AD">
        <w:t>potential applicant</w:t>
      </w:r>
      <w:r w:rsidRPr="00EE7B2A">
        <w:t>’s financial qualifications and capabilities to participate in the program. A certification by an officer of the entity and a narrative explanation by the entity must accompany the submitted financial documentation. </w:t>
      </w:r>
    </w:p>
    <w:p w:rsidRPr="00EE7B2A" w:rsidR="00FD173D" w:rsidP="00FD173D" w:rsidRDefault="00FD173D" w14:paraId="1C4E0EEC" w14:textId="77777777">
      <w:r w:rsidRPr="00EE7B2A">
        <w:t xml:space="preserve">During the Scoring Phase, </w:t>
      </w:r>
      <w:r>
        <w:t>ADECA</w:t>
      </w:r>
      <w:r w:rsidRPr="00EE7B2A">
        <w:t xml:space="preserve"> will review these financial statements together with the applicant’s submission of project-specific financial documentation discussed below, such as budgets, capital expenditures, and pro forma business case analyses as part of the applicant’s overall showing of financial qualifications and capability. </w:t>
      </w:r>
    </w:p>
    <w:p w:rsidRPr="00EE7B2A" w:rsidR="00FD173D" w:rsidP="008A211A" w:rsidRDefault="00FD173D" w14:paraId="799F2BB4" w14:textId="77777777">
      <w:pPr>
        <w:pStyle w:val="Heading3"/>
        <w:numPr>
          <w:ilvl w:val="2"/>
          <w:numId w:val="22"/>
        </w:numPr>
      </w:pPr>
      <w:bookmarkStart w:name="_Toc146637804" w:id="127"/>
      <w:bookmarkStart w:name="_Toc147151982" w:id="128"/>
      <w:bookmarkStart w:name="_Toc148069334" w:id="129"/>
      <w:bookmarkStart w:name="_Toc150852643" w:id="130"/>
      <w:r w:rsidRPr="00EE7B2A">
        <w:t>Financial sustainability</w:t>
      </w:r>
      <w:bookmarkEnd w:id="127"/>
      <w:bookmarkEnd w:id="128"/>
      <w:bookmarkEnd w:id="129"/>
      <w:bookmarkEnd w:id="130"/>
      <w:r w:rsidRPr="00EE7B2A">
        <w:t> </w:t>
      </w:r>
    </w:p>
    <w:p w:rsidRPr="00EE7B2A" w:rsidR="00FD173D" w:rsidP="00FD173D" w:rsidRDefault="00FD173D" w14:paraId="6A5C8C87" w14:textId="77777777">
      <w:r w:rsidRPr="00EE7B2A">
        <w:t xml:space="preserve">During the Scoring Phase, </w:t>
      </w:r>
      <w:r>
        <w:t>ADECA</w:t>
      </w:r>
      <w:r w:rsidRPr="00EE7B2A">
        <w:t xml:space="preserve"> will request specific and detailed documentation and narrative descriptions of the applicant’s business plans, budgets, and timelines for the proposed project. </w:t>
      </w:r>
    </w:p>
    <w:p w:rsidRPr="00EE7B2A" w:rsidR="00FD173D" w:rsidP="00FD173D" w:rsidRDefault="00FD173D" w14:paraId="7B8805DC" w14:textId="77777777">
      <w:r w:rsidRPr="00EE7B2A">
        <w:t xml:space="preserve">To assess the financial sustainability of a proposed project, </w:t>
      </w:r>
      <w:r>
        <w:t>ADECA</w:t>
      </w:r>
      <w:r w:rsidRPr="00EE7B2A">
        <w:t xml:space="preserve"> will require applicants to complete and submit a budget narrative, proposed budget, and pro forma business case analysis. Applicants will be required to use provided templates for these submissions. </w:t>
      </w:r>
    </w:p>
    <w:p w:rsidRPr="00EE7B2A" w:rsidR="00FD173D" w:rsidP="00FD173D" w:rsidRDefault="00FD173D" w14:paraId="2C55BB90" w14:textId="77777777">
      <w:r w:rsidRPr="00EE7B2A">
        <w:t>Applicants will be allowed to upload additional documentation that they believe will complement the template information and will present a fuller picture of the applicant’s financial capabilities and the proposed project’s financial sustainability.</w:t>
      </w:r>
    </w:p>
    <w:p w:rsidRPr="00EE7B2A" w:rsidR="00FD173D" w:rsidP="00FD173D" w:rsidRDefault="00FD173D" w14:paraId="700959DA" w14:textId="77777777">
      <w:r w:rsidRPr="00EE7B2A">
        <w:t>The budget narrative template requires applicants to provide a detailed breakdown of the expected budget for 11 standardized categories. Additionally, the narrative will require a description of each charge, the entity or team responsible for that budget expense (if applicable and if known), and how each category expenditure relates to the project objectives. If the applicant will be providing a cash or in-kind match in this cost category, this must be noted and explained in the justification to include a break-down of the grant and match share of each proposed cost.</w:t>
      </w:r>
    </w:p>
    <w:p w:rsidRPr="00EE7B2A" w:rsidR="00FD173D" w:rsidP="00FD173D" w:rsidRDefault="00FD173D" w14:paraId="31C8F888" w14:textId="4F9357A2">
      <w:r>
        <w:t>ADECA</w:t>
      </w:r>
      <w:r w:rsidRPr="00EE7B2A">
        <w:t xml:space="preserve"> will require applicants to demonstrate that costs proposed for this grant program will be reasonable, allowable, allocable, and necessary to the supported activity. </w:t>
      </w:r>
      <w:r w:rsidR="00745052">
        <w:t>ADECA’s BEAD</w:t>
      </w:r>
      <w:r w:rsidRPr="00EE7B2A">
        <w:t xml:space="preserve"> Application and Guide, as well as </w:t>
      </w:r>
      <w:r w:rsidR="008475D6">
        <w:t>its</w:t>
      </w:r>
      <w:r w:rsidRPr="00EE7B2A">
        <w:t xml:space="preserve"> Program Guide, will reference 2 C</w:t>
      </w:r>
      <w:r w:rsidR="008475D6">
        <w:t>.</w:t>
      </w:r>
      <w:r w:rsidRPr="00EE7B2A">
        <w:t>F</w:t>
      </w:r>
      <w:r w:rsidR="008475D6">
        <w:t>.</w:t>
      </w:r>
      <w:r w:rsidRPr="00EE7B2A">
        <w:t>R</w:t>
      </w:r>
      <w:r w:rsidR="008475D6">
        <w:t>.</w:t>
      </w:r>
      <w:r w:rsidRPr="00EE7B2A">
        <w:t xml:space="preserve"> Part 200 for applicable administrative requirements and cost principles.</w:t>
      </w:r>
      <w:r w:rsidR="008475D6">
        <w:rPr>
          <w:rStyle w:val="FootnoteReference"/>
        </w:rPr>
        <w:footnoteReference w:id="53"/>
      </w:r>
      <w:r w:rsidRPr="00EE7B2A">
        <w:t xml:space="preserve"> These program materials will also discuss program objectives and describe the specific allowable and unallowable costs and activities. </w:t>
      </w:r>
      <w:r>
        <w:t>ADECA</w:t>
      </w:r>
      <w:r w:rsidRPr="00EE7B2A">
        <w:t xml:space="preserve"> will provide additional technical assistance and </w:t>
      </w:r>
      <w:r w:rsidR="008475D6">
        <w:t>FAQs</w:t>
      </w:r>
      <w:r w:rsidRPr="00EE7B2A" w:rsidDel="008475D6">
        <w:t xml:space="preserve"> </w:t>
      </w:r>
      <w:r w:rsidRPr="00EE7B2A">
        <w:t>to support this element of an applicant’s showing. </w:t>
      </w:r>
    </w:p>
    <w:p w:rsidRPr="00EE7B2A" w:rsidR="00FD173D" w:rsidP="00FD173D" w:rsidRDefault="00FD173D" w14:paraId="05F34876" w14:textId="441B74B4">
      <w:r w:rsidRPr="00EE7B2A">
        <w:t xml:space="preserve">Applicants will also submit templates to present a pro forma business case analysis to </w:t>
      </w:r>
      <w:r w:rsidR="00E5255A">
        <w:t>demonstrate</w:t>
      </w:r>
      <w:r w:rsidRPr="00EE7B2A">
        <w:t xml:space="preserve"> their financial projections to </w:t>
      </w:r>
      <w:r w:rsidR="00A04BCD">
        <w:t>ensure</w:t>
      </w:r>
      <w:r w:rsidRPr="00EE7B2A">
        <w:t xml:space="preserve"> sustainability. These templates ask for assumptions regarding take rates, churn, revenue-per-user, operating expenses, cash flow, and capital expenditures over the course of the construction and start-up operations for a 10-year period. The template also requests a proposed project budget with standard categories that correspond with the cost categories in the template budget narrative. </w:t>
      </w:r>
    </w:p>
    <w:p w:rsidRPr="00EE7B2A" w:rsidR="00FD173D" w:rsidP="00FD173D" w:rsidRDefault="00FD173D" w14:paraId="612F7C2E" w14:textId="57C9F464">
      <w:r w:rsidRPr="00EE7B2A">
        <w:t>By standardizing application requirement</w:t>
      </w:r>
      <w:r w:rsidR="00D776E1">
        <w:t>s</w:t>
      </w:r>
      <w:r w:rsidRPr="00EE7B2A">
        <w:t xml:space="preserve"> through the use of templates, </w:t>
      </w:r>
      <w:r>
        <w:t>ADECA</w:t>
      </w:r>
      <w:r w:rsidRPr="00EE7B2A">
        <w:t xml:space="preserve"> can review the financial sustainability of each project in a more consistent, fair, and transparent manner. </w:t>
      </w:r>
    </w:p>
    <w:p w:rsidRPr="00EE7B2A" w:rsidR="00FD173D" w:rsidP="00FD173D" w:rsidRDefault="00FD173D" w14:paraId="75BBDC15" w14:textId="77777777">
      <w:r>
        <w:t>ADECA</w:t>
      </w:r>
      <w:r w:rsidRPr="00EE7B2A">
        <w:t xml:space="preserve"> will further review these materials, in combination with the audited financial statements submitted during the applicant’s Prequalification Phase, to validate the showing of financial sustainability. </w:t>
      </w:r>
      <w:r>
        <w:t>ADECA</w:t>
      </w:r>
      <w:r w:rsidRPr="00EE7B2A">
        <w:t xml:space="preserve"> will additionally consider the expected growth of the project and ongoing benefits to the community beyond completion of the build and disbursement of grant funding. </w:t>
      </w:r>
    </w:p>
    <w:p w:rsidRPr="00EE7B2A" w:rsidR="00FD173D" w:rsidP="00FD173D" w:rsidRDefault="00FD173D" w14:paraId="42F6F6A2" w14:textId="00800F12">
      <w:r w:rsidRPr="00EE7B2A">
        <w:t xml:space="preserve">However, recognizing that applicants may have different internal recordkeeping and business planning processes, in addition to the required template information, </w:t>
      </w:r>
      <w:r>
        <w:t>ADECA</w:t>
      </w:r>
      <w:r w:rsidRPr="00EE7B2A">
        <w:t xml:space="preserve"> will also accept </w:t>
      </w:r>
      <w:r w:rsidR="00221126">
        <w:t>supplemental</w:t>
      </w:r>
      <w:r w:rsidRPr="00EE7B2A">
        <w:t xml:space="preserve"> documentation that gives applicants </w:t>
      </w:r>
      <w:r w:rsidR="00822B6C">
        <w:t>the</w:t>
      </w:r>
      <w:r w:rsidRPr="00EE7B2A">
        <w:t xml:space="preserve"> opportunity to present </w:t>
      </w:r>
      <w:r w:rsidR="001D52E3">
        <w:t>further</w:t>
      </w:r>
      <w:r w:rsidRPr="00EE7B2A">
        <w:t xml:space="preserve"> </w:t>
      </w:r>
      <w:r w:rsidR="00822B6C">
        <w:t>information regarding</w:t>
      </w:r>
      <w:r w:rsidRPr="00EE7B2A">
        <w:t xml:space="preserve"> financial sustainability tailored to the proposed project. </w:t>
      </w:r>
    </w:p>
    <w:p w:rsidRPr="00EE7B2A" w:rsidR="00FD173D" w:rsidP="00FD173D" w:rsidRDefault="00FD173D" w14:paraId="6B0EA7CD" w14:textId="2A6B7FEF">
      <w:r>
        <w:t>ADECA</w:t>
      </w:r>
      <w:r w:rsidRPr="00EE7B2A">
        <w:t xml:space="preserve"> will ensure that requests for the pro forma and business plan information in this section of the Scoring Phase application will be complementary to, not duplicative of, documentation provided by the applicant in response to other sections of the application or the applicant’s Prequalification Phase submissions. To avoid inefficient and duplicative submissions, applicants will be allowed to reference submissions from other parts of its application to satisfy these requirements.</w:t>
      </w:r>
    </w:p>
    <w:p w:rsidRPr="00EE7B2A" w:rsidR="00FD173D" w:rsidP="008A211A" w:rsidRDefault="00FD173D" w14:paraId="2C484328" w14:textId="77777777">
      <w:pPr>
        <w:pStyle w:val="Heading3"/>
        <w:numPr>
          <w:ilvl w:val="2"/>
          <w:numId w:val="22"/>
        </w:numPr>
      </w:pPr>
      <w:bookmarkStart w:name="_Toc146637805" w:id="131"/>
      <w:bookmarkStart w:name="_Toc147151983" w:id="132"/>
      <w:bookmarkStart w:name="_Toc148069335" w:id="133"/>
      <w:bookmarkStart w:name="_Toc150852644" w:id="134"/>
      <w:r w:rsidRPr="00EE7B2A">
        <w:t>Managerial capability</w:t>
      </w:r>
      <w:bookmarkEnd w:id="131"/>
      <w:bookmarkEnd w:id="132"/>
      <w:bookmarkEnd w:id="133"/>
      <w:bookmarkEnd w:id="134"/>
    </w:p>
    <w:p w:rsidRPr="00EE7B2A" w:rsidR="00FD173D" w:rsidP="00FD173D" w:rsidRDefault="00FD173D" w14:paraId="6B452DB8" w14:textId="72795912">
      <w:r>
        <w:t>ADECA</w:t>
      </w:r>
      <w:r w:rsidRPr="00EE7B2A">
        <w:t xml:space="preserve"> will require potential subgrantees to demonstrate managerial capability to successfully complete and support a BEAD</w:t>
      </w:r>
      <w:r w:rsidR="005C5FFF">
        <w:t>-</w:t>
      </w:r>
      <w:r w:rsidRPr="00EE7B2A">
        <w:t xml:space="preserve">funded broadband network. </w:t>
      </w:r>
      <w:r>
        <w:t>ADECA</w:t>
      </w:r>
      <w:r w:rsidRPr="00EE7B2A">
        <w:t xml:space="preserve"> will request documentation during both the Prequalification Phase and the Scoring Phase application. The potential subgrantee’s showing of its managerial capability is expected to be comprehensive and robust and demonstrate a commitment to long-term success of the project well beyond the period of construction. </w:t>
      </w:r>
      <w:r>
        <w:t>ADECA</w:t>
      </w:r>
      <w:r w:rsidRPr="00EE7B2A">
        <w:t xml:space="preserve"> expects to put a detailed reporting framework in place that will require successful subgrantees to demonstrate ongoing commitment of resources, stable leadership, and continued improvement of processes and services to the funded area. </w:t>
      </w:r>
    </w:p>
    <w:p w:rsidRPr="00EE7B2A" w:rsidR="00FD173D" w:rsidP="00345D52" w:rsidRDefault="00FD173D" w14:paraId="57F7E407" w14:textId="77777777">
      <w:pPr>
        <w:pStyle w:val="Heading4"/>
      </w:pPr>
      <w:r w:rsidRPr="00EE7B2A">
        <w:t>Key management personnel resumes </w:t>
      </w:r>
    </w:p>
    <w:p w:rsidRPr="00EE7B2A" w:rsidR="00FD173D" w:rsidP="00FD173D" w:rsidRDefault="00FD173D" w14:paraId="5BF3C7DE" w14:textId="77777777">
      <w:r w:rsidRPr="00EE7B2A">
        <w:t xml:space="preserve">During the Prequalification Phase, participants will be required to provide current resumes of all key management personnel, as well as a narrative discussion of each individual’s expected role in a BEAD-funded project. Each of the identified individuals shall be an employee of the organization, have at least five years of experience in the same or similar role within the communications industry, and have the demonstrated experience, skills, and authority to successfully fulfill the obligations of the role. </w:t>
      </w:r>
    </w:p>
    <w:p w:rsidRPr="00EE7B2A" w:rsidR="00FD173D" w:rsidP="00FD173D" w:rsidRDefault="00FD173D" w14:paraId="32477BFF" w14:textId="08EE0D0A">
      <w:r>
        <w:t>ADECA</w:t>
      </w:r>
      <w:r w:rsidRPr="00EE7B2A">
        <w:t xml:space="preserve"> will expect participants to identify personnel in current roles</w:t>
      </w:r>
      <w:r w:rsidR="00405BD0">
        <w:t>,</w:t>
      </w:r>
      <w:r w:rsidRPr="00EE7B2A">
        <w:t xml:space="preserve"> such as officers and directors of the organization, executive level management, financial planning and strategy, technical design, risk management, human resources, equipment procurement, operations, and planning. </w:t>
      </w:r>
    </w:p>
    <w:p w:rsidRPr="00EE7B2A" w:rsidR="00FD173D" w:rsidP="00345D52" w:rsidRDefault="00FD173D" w14:paraId="7B6CB223" w14:textId="77777777">
      <w:pPr>
        <w:pStyle w:val="Heading4"/>
      </w:pPr>
      <w:r w:rsidRPr="00EE7B2A">
        <w:t>Organizational charts </w:t>
      </w:r>
    </w:p>
    <w:p w:rsidRPr="00EE7B2A" w:rsidR="00FD173D" w:rsidP="00FD173D" w:rsidRDefault="00FD173D" w14:paraId="13FAD404" w14:textId="77777777">
      <w:r w:rsidRPr="00EE7B2A">
        <w:t xml:space="preserve">In addition to resumes for key individuals within the organization, applicants will be required to submit detailed organizational charts of the organization’s structure, key management personnel, and relevant operational teams. These charts will also provide information regarding the organization’s parent company and affiliates, if any. The organizational chart is expected to correspond to the other elements of the entity’s showing of managerial capability, including mapping back to each identified key management personnel and functional teams. The Prequalification Phase participant should describe any recent or expected changes to the organization’s structure, processes, and planning that may impact its BEAD project efforts. </w:t>
      </w:r>
    </w:p>
    <w:p w:rsidRPr="00EE7B2A" w:rsidR="00FD173D" w:rsidP="00345D52" w:rsidRDefault="00FD173D" w14:paraId="18A45521" w14:textId="77777777">
      <w:pPr>
        <w:pStyle w:val="Heading4"/>
      </w:pPr>
      <w:r w:rsidRPr="00EE7B2A">
        <w:t>Organizational experience and qualifications</w:t>
      </w:r>
    </w:p>
    <w:p w:rsidRPr="00EE7B2A" w:rsidR="00FD173D" w:rsidP="00FD173D" w:rsidRDefault="00FD173D" w14:paraId="736284E3" w14:textId="77777777">
      <w:r w:rsidRPr="00EE7B2A">
        <w:t xml:space="preserve">As an additional part of the Prequalification Phase, applicants will be required to provide a narrative description of the organization’s background and experience managing broadband infrastructure projects of similar size and scope and under similar circumstances, such as the timeframes, reimbursement models, and geographic characteristics. </w:t>
      </w:r>
    </w:p>
    <w:p w:rsidRPr="00EE7B2A" w:rsidR="00FD173D" w:rsidP="00FD173D" w:rsidRDefault="00FD173D" w14:paraId="2590F79F" w14:textId="77777777">
      <w:r w:rsidRPr="00EE7B2A">
        <w:t xml:space="preserve">The applicant’s narrative will also be required to describe the organization’s experience, resources, and readiness to provide the required service offerings, level of service, and maintenance over the completed network. The organization will be required to describe plans to maintain a sufficient level of management resources through training, retention, and recruitment activities to support its service delivery efforts throughout the federal interest period. </w:t>
      </w:r>
    </w:p>
    <w:p w:rsidRPr="00EE7B2A" w:rsidR="00FD173D" w:rsidP="00FD173D" w:rsidRDefault="00FD173D" w14:paraId="45784BAE" w14:textId="77777777">
      <w:r w:rsidRPr="00EE7B2A">
        <w:t xml:space="preserve">The entity will be expected to also describe and provide documentation regarding any independent contractors, consultants, and subcontractors that it plans to retain to supplement its managerial capabilities. This description should include the scope of the third-party contractor’s role and the expected term of the engagement. </w:t>
      </w:r>
    </w:p>
    <w:p w:rsidRPr="00EE7B2A" w:rsidR="00FD173D" w:rsidP="00FD173D" w:rsidRDefault="00FD173D" w14:paraId="32FC1F8A" w14:textId="2C4C02BE">
      <w:r w:rsidRPr="00EE7B2A">
        <w:t xml:space="preserve">A Prequalification Phase </w:t>
      </w:r>
      <w:r w:rsidR="00BF538C">
        <w:t xml:space="preserve">participant </w:t>
      </w:r>
      <w:r w:rsidRPr="00EE7B2A">
        <w:t>that is a new entrant</w:t>
      </w:r>
      <w:r w:rsidR="008E2C21">
        <w:t xml:space="preserve"> </w:t>
      </w:r>
      <w:r w:rsidRPr="00EE7B2A">
        <w:t>will be required to demonstrate how it will develop its organization’s managerial expertise and resources through the recruitment of directly employed key management personnel with the requisite leadership experience of at least five years in prior roles and positions in the communication</w:t>
      </w:r>
      <w:r w:rsidR="00FD700F">
        <w:t>s</w:t>
      </w:r>
      <w:r w:rsidRPr="00EE7B2A">
        <w:t xml:space="preserve"> industry. </w:t>
      </w:r>
    </w:p>
    <w:p w:rsidRPr="007F0759" w:rsidR="002D03EB" w:rsidP="002D03EB" w:rsidRDefault="002D03EB" w14:paraId="72FD64E3" w14:textId="1CA00B60">
      <w:r w:rsidRPr="007F0759">
        <w:t>All applicants must certify that there is no collusion, bias</w:t>
      </w:r>
      <w:r w:rsidR="00284E69">
        <w:t>,</w:t>
      </w:r>
      <w:r w:rsidRPr="007F0759">
        <w:t xml:space="preserve"> or conflict of interest </w:t>
      </w:r>
      <w:r w:rsidR="00284E69">
        <w:t>and</w:t>
      </w:r>
      <w:r w:rsidRPr="007F0759">
        <w:t xml:space="preserve"> provide </w:t>
      </w:r>
      <w:r w:rsidR="00284E69">
        <w:t xml:space="preserve">all required </w:t>
      </w:r>
      <w:r w:rsidRPr="007F0759">
        <w:t>ownership and partnership disclosures as outlined in 47 C</w:t>
      </w:r>
      <w:r w:rsidR="00EF268B">
        <w:t>.</w:t>
      </w:r>
      <w:r w:rsidRPr="007F0759">
        <w:t>F</w:t>
      </w:r>
      <w:r w:rsidR="00EF268B">
        <w:t>.</w:t>
      </w:r>
      <w:r w:rsidRPr="007F0759">
        <w:t>R</w:t>
      </w:r>
      <w:r w:rsidR="00EF268B">
        <w:t>.</w:t>
      </w:r>
      <w:r w:rsidRPr="007F0759">
        <w:t xml:space="preserve"> </w:t>
      </w:r>
      <w:r w:rsidR="00EF268B">
        <w:t>§</w:t>
      </w:r>
      <w:r w:rsidRPr="007F0759">
        <w:t xml:space="preserve"> 1.2105(a). All applicants must likewise disclose foreign interest</w:t>
      </w:r>
      <w:r w:rsidR="00284E69">
        <w:t>,</w:t>
      </w:r>
      <w:r w:rsidRPr="007F0759">
        <w:t xml:space="preserve"> if pertinent.</w:t>
      </w:r>
    </w:p>
    <w:p w:rsidRPr="00EE7B2A" w:rsidR="002D03EB" w:rsidP="00FD173D" w:rsidRDefault="002D03EB" w14:paraId="6ED25DC8" w14:textId="25D03894">
      <w:r w:rsidRPr="007F0759">
        <w:t>All applicants must certify that they will not engage in prohibited communications as defined in 47 C</w:t>
      </w:r>
      <w:r w:rsidR="00EF268B">
        <w:t>.</w:t>
      </w:r>
      <w:r w:rsidRPr="007F0759">
        <w:t>F</w:t>
      </w:r>
      <w:r w:rsidR="00EF268B">
        <w:t>.</w:t>
      </w:r>
      <w:r w:rsidRPr="007F0759">
        <w:t>R</w:t>
      </w:r>
      <w:r w:rsidR="00EF268B">
        <w:t>.</w:t>
      </w:r>
      <w:r w:rsidRPr="007F0759">
        <w:t xml:space="preserve"> </w:t>
      </w:r>
      <w:r w:rsidR="00EF268B">
        <w:t>§</w:t>
      </w:r>
      <w:r w:rsidRPr="007F0759">
        <w:t xml:space="preserve"> 1.2105 starting from the date of submission of preregistration application until final award.</w:t>
      </w:r>
    </w:p>
    <w:p w:rsidRPr="00EE7B2A" w:rsidR="00FD173D" w:rsidP="00345D52" w:rsidRDefault="00FD173D" w14:paraId="0D52B5FF" w14:textId="77777777">
      <w:pPr>
        <w:pStyle w:val="Heading4"/>
      </w:pPr>
      <w:r w:rsidRPr="00EE7B2A">
        <w:t>Project-specific managerial requirements </w:t>
      </w:r>
    </w:p>
    <w:p w:rsidRPr="00EE7B2A" w:rsidR="00FD173D" w:rsidP="00FD173D" w:rsidRDefault="00FD173D" w14:paraId="391CA857" w14:textId="53C4FAFC">
      <w:r w:rsidRPr="00EE7B2A">
        <w:t xml:space="preserve">While </w:t>
      </w:r>
      <w:r w:rsidR="008E7C62">
        <w:t>applicants</w:t>
      </w:r>
      <w:r w:rsidRPr="00EE7B2A">
        <w:t xml:space="preserve"> will be expected to make their managerial capability showing during the Prequalification Phase, applicants will also be required to provide additional data and descriptions of management capabilities to specifically address any unique needs of the proposed project that is the subject of the Scoring Phase application. This project-specific management showing should reflect and correspond to other elements of the Scoring Phase application</w:t>
      </w:r>
      <w:r w:rsidR="00C10E18">
        <w:t>,</w:t>
      </w:r>
      <w:r w:rsidRPr="00EE7B2A">
        <w:t xml:space="preserve"> including financial capability, network design, budgeting, and planning. </w:t>
      </w:r>
    </w:p>
    <w:p w:rsidRPr="00EE7B2A" w:rsidR="00FD173D" w:rsidP="00FD173D" w:rsidRDefault="00FD173D" w14:paraId="1B72EDFF" w14:textId="0E002392">
      <w:pPr>
        <w:rPr>
          <w:color w:val="4C483D"/>
        </w:rPr>
      </w:pPr>
      <w:r w:rsidRPr="00EE7B2A">
        <w:t>For example, if a proposed project will primarily serve a rural area, applicants should include specific references to key management personnel, organizational teams, and the entity’s general experience with projects in rural areas. Similarly, if an applicant proposes a project that will serve significant numbers of multi-unit buildings or utilize a unique construction technique, applicants should highlight the experience of the entity or its management personnel in those areas.</w:t>
      </w:r>
      <w:r w:rsidR="00017ACE">
        <w:t xml:space="preserve"> </w:t>
      </w:r>
      <w:r>
        <w:t>ADECA</w:t>
      </w:r>
      <w:r w:rsidRPr="00EE7B2A">
        <w:t xml:space="preserve"> will require information that demonstrates that the applicant has sufficient managerial capabilities to support a successful BEAD</w:t>
      </w:r>
      <w:r w:rsidR="00D9262A">
        <w:t>-</w:t>
      </w:r>
      <w:r w:rsidRPr="00EE7B2A">
        <w:t>funded project, with specific reference to the uniqueness of the project.</w:t>
      </w:r>
    </w:p>
    <w:p w:rsidRPr="00EE7B2A" w:rsidR="00FD173D" w:rsidP="008A211A" w:rsidRDefault="00FD173D" w14:paraId="232101B1" w14:textId="77777777">
      <w:pPr>
        <w:pStyle w:val="Heading3"/>
        <w:numPr>
          <w:ilvl w:val="2"/>
          <w:numId w:val="22"/>
        </w:numPr>
      </w:pPr>
      <w:bookmarkStart w:name="_Toc146637806" w:id="135"/>
      <w:bookmarkStart w:name="_Toc147151984" w:id="136"/>
      <w:bookmarkStart w:name="_Toc148069336" w:id="137"/>
      <w:bookmarkStart w:name="_Toc150852645" w:id="138"/>
      <w:r w:rsidRPr="00EE7B2A">
        <w:t>Technical capabilities</w:t>
      </w:r>
      <w:bookmarkEnd w:id="135"/>
      <w:bookmarkEnd w:id="136"/>
      <w:bookmarkEnd w:id="137"/>
      <w:bookmarkEnd w:id="138"/>
    </w:p>
    <w:p w:rsidRPr="00EE7B2A" w:rsidR="00FD173D" w:rsidP="00FD173D" w:rsidRDefault="00FD173D" w14:paraId="444AA3AA" w14:textId="4D1A53BB">
      <w:r w:rsidRPr="00EE7B2A">
        <w:t xml:space="preserve">During the Prequalification Phase, participants will be expected to demonstrate their technical capability to participate in the program and successfully complete a funded project. This showing will complement the applicant’s management capabilities and will provide </w:t>
      </w:r>
      <w:r>
        <w:t>ADECA</w:t>
      </w:r>
      <w:r w:rsidRPr="00EE7B2A">
        <w:t xml:space="preserve"> </w:t>
      </w:r>
      <w:r w:rsidR="00DA10B9">
        <w:t xml:space="preserve">with </w:t>
      </w:r>
      <w:r w:rsidRPr="00EE7B2A">
        <w:t xml:space="preserve">additional detail to substantiate overall technical expertise, knowledge, and capabilities as well as information about the applicant’s federal and state technical certifications, licenses, and standards. </w:t>
      </w:r>
    </w:p>
    <w:p w:rsidRPr="00EE7B2A" w:rsidR="00FD173D" w:rsidP="00345D52" w:rsidRDefault="00FD173D" w14:paraId="7E758BB8" w14:textId="77777777">
      <w:pPr>
        <w:pStyle w:val="Heading4"/>
      </w:pPr>
      <w:r w:rsidRPr="00EE7B2A">
        <w:t>Officer and director certifications </w:t>
      </w:r>
    </w:p>
    <w:p w:rsidRPr="00EE7B2A" w:rsidR="00FD173D" w:rsidP="00FD173D" w:rsidRDefault="00FD173D" w14:paraId="7E7DFF4F" w14:textId="1D4D4F40">
      <w:r w:rsidRPr="00EE7B2A">
        <w:t xml:space="preserve">Prequalification Phase participants will be required to provide certifications from an officer or director of the company that they are fully and properly licensed in </w:t>
      </w:r>
      <w:r>
        <w:t>Alabama</w:t>
      </w:r>
      <w:r w:rsidRPr="00EE7B2A">
        <w:t xml:space="preserve"> to conduct funded activities and comply with all post</w:t>
      </w:r>
      <w:r w:rsidR="00C128AA">
        <w:t>-</w:t>
      </w:r>
      <w:r w:rsidRPr="00EE7B2A">
        <w:t xml:space="preserve">award obligations. </w:t>
      </w:r>
    </w:p>
    <w:p w:rsidRPr="00EE7B2A" w:rsidR="00EE54A2" w:rsidP="00FD173D" w:rsidRDefault="00EE54A2" w14:paraId="0157A7E9" w14:textId="14AF842D">
      <w:r>
        <w:t>Also</w:t>
      </w:r>
      <w:r w:rsidR="00163DC9">
        <w:t>,</w:t>
      </w:r>
      <w:r>
        <w:t xml:space="preserve"> as part of the Prequalification Phase, and i</w:t>
      </w:r>
      <w:r w:rsidRPr="00EE7B2A">
        <w:t>f not submitted as part of the managerial capability requirements, applicants must provide the resumes of an employed C</w:t>
      </w:r>
      <w:r>
        <w:t>hief Technology Officer</w:t>
      </w:r>
      <w:r w:rsidR="008E4A2E">
        <w:t xml:space="preserve"> (or equivalent)</w:t>
      </w:r>
      <w:r w:rsidRPr="00EE7B2A">
        <w:t xml:space="preserve"> and contractor oversight team with the relevant certifications (both management and non-management) for deployment projects as mandated by state and federal law</w:t>
      </w:r>
      <w:r w:rsidR="00B93F45">
        <w:t>.</w:t>
      </w:r>
    </w:p>
    <w:p w:rsidRPr="00EE7B2A" w:rsidR="00FD173D" w:rsidP="00FD173D" w:rsidRDefault="00FD173D" w14:paraId="42B88870" w14:textId="2195360B">
      <w:r w:rsidRPr="00EE7B2A">
        <w:t>Participants will further certify that they have the processes and resources in place to employ an appropriately skilled and credentialed workforce and that key technical personnel and technical team members are current on all required training, licensing, and license renewals.</w:t>
      </w:r>
    </w:p>
    <w:p w:rsidRPr="00EE7B2A" w:rsidR="00FD173D" w:rsidP="00FD173D" w:rsidRDefault="00FD173D" w14:paraId="3C570B93" w14:textId="68883732">
      <w:r>
        <w:t>ADECA</w:t>
      </w:r>
      <w:r w:rsidRPr="00EE7B2A">
        <w:t xml:space="preserve"> will provide a list of required licenses and certifications as part of its </w:t>
      </w:r>
      <w:r w:rsidR="00E554C1">
        <w:t xml:space="preserve">BEAD </w:t>
      </w:r>
      <w:r w:rsidRPr="00EE7B2A">
        <w:t>Program Guide posted on its website and discussed during the Prequalification Phase workshop.</w:t>
      </w:r>
    </w:p>
    <w:p w:rsidRPr="00EE7B2A" w:rsidR="00FD173D" w:rsidP="00345D52" w:rsidRDefault="00FD173D" w14:paraId="7263ECE7" w14:textId="29C6F20F">
      <w:pPr>
        <w:pStyle w:val="Heading4"/>
      </w:pPr>
      <w:r w:rsidRPr="00EE7B2A">
        <w:t xml:space="preserve">Certifications and licenses </w:t>
      </w:r>
    </w:p>
    <w:p w:rsidRPr="00EE7B2A" w:rsidR="00FD173D" w:rsidP="00FD173D" w:rsidRDefault="00FD173D" w14:paraId="7E844656" w14:textId="70AA5E70">
      <w:r w:rsidRPr="00EE7B2A">
        <w:t>In addition to the certifications from an officer or director,</w:t>
      </w:r>
      <w:r w:rsidR="00017ACE">
        <w:t xml:space="preserve"> </w:t>
      </w:r>
      <w:r w:rsidRPr="00EE7B2A">
        <w:t xml:space="preserve">Prequalification Phase participants will be required to provide a list of the business and technical certifications and licenses that will be relevant to their participation in the BEAD </w:t>
      </w:r>
      <w:r w:rsidR="007F5561">
        <w:t>P</w:t>
      </w:r>
      <w:r w:rsidRPr="00EE7B2A">
        <w:t xml:space="preserve">rogram that </w:t>
      </w:r>
      <w:r w:rsidR="007F5561">
        <w:t>they hold</w:t>
      </w:r>
      <w:r w:rsidRPr="00EE7B2A">
        <w:t xml:space="preserve"> nationally and in </w:t>
      </w:r>
      <w:r>
        <w:t>Alabama</w:t>
      </w:r>
      <w:r w:rsidRPr="00EE7B2A">
        <w:t xml:space="preserve">. This list will include certifications and licenses held by key technical personnel as well as those held by the organization. The list will be required to include unique identifiers and license numbers to allow </w:t>
      </w:r>
      <w:r>
        <w:t>ADECA</w:t>
      </w:r>
      <w:r w:rsidRPr="00EE7B2A">
        <w:t xml:space="preserve"> to validate the reported data. </w:t>
      </w:r>
    </w:p>
    <w:p w:rsidRPr="00EE7B2A" w:rsidR="00FD173D" w:rsidP="00FD173D" w:rsidRDefault="00FD173D" w14:paraId="338B4B27" w14:textId="5DDDC401">
      <w:r w:rsidRPr="00EE7B2A">
        <w:t xml:space="preserve">Prequalification Phase participants will also submit descriptions of workforce training and certification programs that they rely on, or expect to rely on, to support a continued commitment to a highly skilled and trained workforce. These programs </w:t>
      </w:r>
      <w:r w:rsidR="00DB2934">
        <w:t>c</w:t>
      </w:r>
      <w:r w:rsidRPr="00EE7B2A">
        <w:t>ould include certified apprenticeship programs, community college curricula, and for-profit certification programs, programs offered by trade and labor unions, as well as industry</w:t>
      </w:r>
      <w:r w:rsidR="00F556FE">
        <w:t>-</w:t>
      </w:r>
      <w:r w:rsidRPr="00EE7B2A">
        <w:t xml:space="preserve">sponsored programs. </w:t>
      </w:r>
      <w:r>
        <w:t>Alabama</w:t>
      </w:r>
      <w:r w:rsidRPr="00EE7B2A">
        <w:t xml:space="preserve"> provided a list of these programs available to workers in the state as part of its Five-Year Action Plan</w:t>
      </w:r>
      <w:r w:rsidR="003674FB">
        <w:rPr>
          <w:rStyle w:val="FootnoteReference"/>
        </w:rPr>
        <w:footnoteReference w:id="54"/>
      </w:r>
      <w:r w:rsidRPr="00EE7B2A">
        <w:t xml:space="preserve"> and further discusses these programs</w:t>
      </w:r>
      <w:r>
        <w:t xml:space="preserve"> in Section </w:t>
      </w:r>
      <w:r w:rsidR="00C76330">
        <w:rPr>
          <w:shd w:val="clear" w:color="auto" w:fill="FFFF00"/>
        </w:rPr>
        <w:fldChar w:fldCharType="begin"/>
      </w:r>
      <w:r w:rsidR="00C76330">
        <w:instrText xml:space="preserve"> REF _Ref148099639 \r \h </w:instrText>
      </w:r>
      <w:r w:rsidR="00C76330">
        <w:rPr>
          <w:shd w:val="clear" w:color="auto" w:fill="FFFF00"/>
        </w:rPr>
      </w:r>
      <w:r w:rsidR="00C76330">
        <w:rPr>
          <w:shd w:val="clear" w:color="auto" w:fill="FFFF00"/>
        </w:rPr>
        <w:fldChar w:fldCharType="separate"/>
      </w:r>
      <w:r w:rsidR="00C76330">
        <w:t>9</w:t>
      </w:r>
      <w:r w:rsidR="00C76330">
        <w:rPr>
          <w:shd w:val="clear" w:color="auto" w:fill="FFFF00"/>
        </w:rPr>
        <w:fldChar w:fldCharType="end"/>
      </w:r>
      <w:r>
        <w:t>.</w:t>
      </w:r>
      <w:r w:rsidRPr="00EE7B2A">
        <w:t xml:space="preserve"> </w:t>
      </w:r>
    </w:p>
    <w:p w:rsidRPr="00EE7B2A" w:rsidR="00FD173D" w:rsidP="00FD173D" w:rsidRDefault="00FD173D" w14:paraId="01CEDF07" w14:textId="77777777">
      <w:r w:rsidRPr="00EE7B2A">
        <w:t>Information regarding certifications, training, and licensing of key technical personnel submitted as part of this element of the Prequalification Phase will be considered complementary to and not duplicative of the information and data submitted in other elements of the application. Applicants will be encouraged to cross-reference materials to avoid duplicative submissions. </w:t>
      </w:r>
    </w:p>
    <w:p w:rsidRPr="00EE7B2A" w:rsidR="00FD173D" w:rsidP="00345D52" w:rsidRDefault="00FD173D" w14:paraId="784ECA6F" w14:textId="77777777">
      <w:pPr>
        <w:pStyle w:val="Heading4"/>
      </w:pPr>
      <w:r w:rsidRPr="00EE7B2A">
        <w:t>Narrative description </w:t>
      </w:r>
    </w:p>
    <w:p w:rsidRPr="00EE7B2A" w:rsidR="00FD173D" w:rsidP="00FD173D" w:rsidRDefault="00FD173D" w14:paraId="01B8FBB1" w14:textId="3149EB61">
      <w:r w:rsidRPr="00EE7B2A">
        <w:t xml:space="preserve">Prequalification Phase participants will also be expected to provide a narrative description of the entity’s experience designing and constructing broadband infrastructure projects of similar size and scope and </w:t>
      </w:r>
      <w:r w:rsidR="00421B3B">
        <w:t xml:space="preserve">its </w:t>
      </w:r>
      <w:r w:rsidRPr="00EE7B2A">
        <w:t xml:space="preserve">experience </w:t>
      </w:r>
      <w:r w:rsidR="00421B3B">
        <w:t>with</w:t>
      </w:r>
      <w:r w:rsidRPr="00EE7B2A">
        <w:t xml:space="preserve"> operating network</w:t>
      </w:r>
      <w:r w:rsidR="007B24B7">
        <w:t>s</w:t>
      </w:r>
      <w:r w:rsidRPr="00EE7B2A">
        <w:t xml:space="preserve"> to offer last</w:t>
      </w:r>
      <w:r w:rsidR="007B24B7">
        <w:t>-</w:t>
      </w:r>
      <w:r w:rsidRPr="00EE7B2A">
        <w:t>mile services. This description should reference the key management personnel referenced in the prior application section as well as the experience and expertise of the technical teams the organizations will use to design, construct, and operate the proposed project. </w:t>
      </w:r>
    </w:p>
    <w:p w:rsidRPr="00EE7B2A" w:rsidR="00FD173D" w:rsidP="00345D52" w:rsidRDefault="00FD173D" w14:paraId="309C66FB" w14:textId="77777777">
      <w:pPr>
        <w:pStyle w:val="Heading4"/>
      </w:pPr>
      <w:r w:rsidRPr="00EE7B2A">
        <w:t>Scoring Phase – project-specific certifications </w:t>
      </w:r>
    </w:p>
    <w:p w:rsidRPr="00EE7B2A" w:rsidR="00FD173D" w:rsidP="00FD173D" w:rsidRDefault="00FD173D" w14:paraId="7B276F11" w14:textId="31A1B59C">
      <w:r w:rsidRPr="00EE7B2A">
        <w:t xml:space="preserve">As part of the Scoring Phase application process, </w:t>
      </w:r>
      <w:r>
        <w:t>ADECA</w:t>
      </w:r>
      <w:r w:rsidRPr="00EE7B2A">
        <w:t xml:space="preserve"> will require applicants to list the employment categories, job titles, and job descriptions that will be necessary to successfully complete the proposed project. Applicants will also be required to provide any additional certifications, licenses, or other qualifications that are unique and specific to the proposed project</w:t>
      </w:r>
      <w:r w:rsidR="0044199C">
        <w:t>, which will supplement</w:t>
      </w:r>
      <w:r w:rsidRPr="00EE7B2A">
        <w:t xml:space="preserve"> the information provided as part of the Prequalification Phase. </w:t>
      </w:r>
    </w:p>
    <w:p w:rsidRPr="00EE7B2A" w:rsidR="00FD173D" w:rsidP="00FD173D" w:rsidRDefault="00FD173D" w14:paraId="32DCE5C0" w14:textId="77777777">
      <w:r w:rsidRPr="00EE7B2A">
        <w:t>Applicants must provide supporting documentation to demonstrate that they have completed, or are in the process of completing, these additional requirements to become fully and properly qualified to successfully complete the proposed project. Each applicant will also be required to describe the processes it will have in place to track and maintain required certifications, licenses, and training programs for construction and post-construction activities to ensure that the organization will maintain a highly skilled workforce throughout the federal interest period of the project. </w:t>
      </w:r>
    </w:p>
    <w:p w:rsidRPr="00EE7B2A" w:rsidR="00FD173D" w:rsidP="00345D52" w:rsidRDefault="00FD173D" w14:paraId="5F66B2EA" w14:textId="77777777">
      <w:pPr>
        <w:pStyle w:val="Heading4"/>
      </w:pPr>
      <w:r w:rsidRPr="00EE7B2A">
        <w:t>Scoring Phase – description of the proposed project </w:t>
      </w:r>
    </w:p>
    <w:p w:rsidRPr="00EE7B2A" w:rsidR="00FD173D" w:rsidP="00FD173D" w:rsidRDefault="00FD173D" w14:paraId="01EAB5BF" w14:textId="49BDB6B4">
      <w:r w:rsidRPr="00EE7B2A">
        <w:t>As part of the Scoring Phase process, applicants will be required to provide a detailed description of the proposed project. Applicants will be encouraged to review the Prioritization and Scoring Phase section</w:t>
      </w:r>
      <w:r w:rsidR="003161ED">
        <w:t xml:space="preserve"> </w:t>
      </w:r>
      <w:r w:rsidRPr="00EE7B2A">
        <w:t xml:space="preserve">of the application (discussed in Section </w:t>
      </w:r>
      <w:r w:rsidRPr="00EE7B2A">
        <w:fldChar w:fldCharType="begin"/>
      </w:r>
      <w:r w:rsidRPr="00EE7B2A">
        <w:instrText xml:space="preserve"> REF _Ref146637937 \r \h  \* MERGEFORMAT </w:instrText>
      </w:r>
      <w:r w:rsidRPr="00EE7B2A">
        <w:fldChar w:fldCharType="separate"/>
      </w:r>
      <w:r w:rsidR="00571998">
        <w:t>5.3</w:t>
      </w:r>
      <w:r w:rsidRPr="00EE7B2A">
        <w:fldChar w:fldCharType="end"/>
      </w:r>
      <w:r w:rsidRPr="00EE7B2A">
        <w:t xml:space="preserve"> of this Initial Proposal Volume 2) to ensure that the project description submitted in this section of the application will satisfy program requirements and related scoring rubric elements. </w:t>
      </w:r>
    </w:p>
    <w:p w:rsidRPr="00EE7B2A" w:rsidR="00FD173D" w:rsidP="00FD173D" w:rsidRDefault="00FD173D" w14:paraId="244B01BB" w14:textId="77777777">
      <w:r w:rsidRPr="00EE7B2A">
        <w:t xml:space="preserve">This submission will consist of the following required elements: </w:t>
      </w:r>
    </w:p>
    <w:p w:rsidRPr="00EE7B2A" w:rsidR="00FD173D" w:rsidP="001B4244" w:rsidRDefault="00FD173D" w14:paraId="6C8E3641" w14:textId="34E4C466">
      <w:pPr>
        <w:pStyle w:val="ListParagraph"/>
        <w:numPr>
          <w:ilvl w:val="0"/>
          <w:numId w:val="66"/>
        </w:numPr>
        <w:spacing w:after="200"/>
        <w:ind w:left="720"/>
      </w:pPr>
      <w:r w:rsidRPr="00EE7B2A">
        <w:t>Network design and diagrams using shapefiles that display fiber routes, interconnect points, and required right</w:t>
      </w:r>
      <w:r w:rsidR="00B754E4">
        <w:t>-</w:t>
      </w:r>
      <w:r w:rsidRPr="00EE7B2A">
        <w:t>of</w:t>
      </w:r>
      <w:r w:rsidR="00B754E4">
        <w:t>-</w:t>
      </w:r>
      <w:r w:rsidRPr="00EE7B2A">
        <w:t>way usage</w:t>
      </w:r>
    </w:p>
    <w:p w:rsidRPr="00EE7B2A" w:rsidR="00FD173D" w:rsidP="001B4244" w:rsidRDefault="00FD173D" w14:paraId="26C44BDC" w14:textId="77777777">
      <w:pPr>
        <w:pStyle w:val="ListParagraph"/>
        <w:numPr>
          <w:ilvl w:val="0"/>
          <w:numId w:val="66"/>
        </w:numPr>
        <w:spacing w:after="200"/>
        <w:ind w:left="720"/>
      </w:pPr>
      <w:r w:rsidRPr="00EE7B2A">
        <w:t xml:space="preserve">Narrative descriptions of the geographic location, characteristics of the local community, anticipated labor requirements, and other related information that will provide </w:t>
      </w:r>
      <w:r>
        <w:t>ADECA</w:t>
      </w:r>
      <w:r w:rsidRPr="00EE7B2A">
        <w:t xml:space="preserve"> with a complete picture of the community to be served</w:t>
      </w:r>
    </w:p>
    <w:p w:rsidRPr="00EE7B2A" w:rsidR="00FD173D" w:rsidP="001B4244" w:rsidRDefault="00FD173D" w14:paraId="539EEE4B" w14:textId="2DAC4328">
      <w:pPr>
        <w:pStyle w:val="ListParagraph"/>
        <w:numPr>
          <w:ilvl w:val="0"/>
          <w:numId w:val="66"/>
        </w:numPr>
        <w:spacing w:after="200"/>
        <w:ind w:left="720"/>
      </w:pPr>
      <w:r w:rsidRPr="00EE7B2A">
        <w:t>Descriptions of the proposed project’s technical specifications and design, including project elements such as the proposed miles of fiber, number of interconnection points, technology types to be deployed, number of passings, and anticipated speeds and latency of the services to be offered over the completed networ</w:t>
      </w:r>
      <w:r>
        <w:t xml:space="preserve">k. A template for this requirement, hereinafter referred to as the Technical Specifications Template, will be provided </w:t>
      </w:r>
      <w:r w:rsidR="002B58CB">
        <w:t xml:space="preserve">by ADECA </w:t>
      </w:r>
      <w:r>
        <w:t>in the application materials.</w:t>
      </w:r>
      <w:r w:rsidRPr="00EE7B2A">
        <w:t> </w:t>
      </w:r>
    </w:p>
    <w:p w:rsidRPr="00EE7B2A" w:rsidR="00FD173D" w:rsidP="001B4244" w:rsidRDefault="00FD173D" w14:paraId="13289601" w14:textId="08F7C967">
      <w:pPr>
        <w:pStyle w:val="ListParagraph"/>
        <w:numPr>
          <w:ilvl w:val="0"/>
          <w:numId w:val="66"/>
        </w:numPr>
        <w:spacing w:after="200"/>
        <w:ind w:left="720"/>
      </w:pPr>
      <w:r w:rsidRPr="00EE7B2A">
        <w:t>Deployment timelines and milestones that reflect a construction and installation process of no longer than four years, including planning, design, procurement, construction, installation, network turn-up and testing, and service initiation.</w:t>
      </w:r>
      <w:r w:rsidR="00D77A9D">
        <w:rPr>
          <w:rStyle w:val="FootnoteReference"/>
        </w:rPr>
        <w:footnoteReference w:id="55"/>
      </w:r>
      <w:r w:rsidRPr="00EE7B2A">
        <w:t xml:space="preserve"> </w:t>
      </w:r>
      <w:r>
        <w:t xml:space="preserve">A template for this requirement, hereinafter referred to as the Project Timeline Template, will be provided </w:t>
      </w:r>
      <w:r w:rsidR="002B58CB">
        <w:t xml:space="preserve">by ADECA </w:t>
      </w:r>
      <w:r w:rsidR="00FA07B0">
        <w:t xml:space="preserve">in </w:t>
      </w:r>
      <w:r>
        <w:t>the application materials.</w:t>
      </w:r>
      <w:r w:rsidRPr="00EE7B2A">
        <w:t> </w:t>
      </w:r>
    </w:p>
    <w:p w:rsidRPr="00EE7B2A" w:rsidR="00FD173D" w:rsidP="001B4244" w:rsidRDefault="00FD173D" w14:paraId="170F6747" w14:textId="77777777">
      <w:pPr>
        <w:pStyle w:val="ListParagraph"/>
        <w:numPr>
          <w:ilvl w:val="0"/>
          <w:numId w:val="66"/>
        </w:numPr>
        <w:spacing w:after="200"/>
        <w:ind w:left="720"/>
      </w:pPr>
      <w:r w:rsidRPr="00EE7B2A">
        <w:t xml:space="preserve">In addition to the budget narrative and pro forma analysis provided as part of the showing of financial sustainability (including anticipated take rates over time, average revenue per user, churn, and other related elements), this section of the application will require applicants to provide documentation of project costs, operational costs, and budgets and to connect these showings to other sections of the application to create a comprehensive description of the proposed project and showing of technical and financial feasibility. </w:t>
      </w:r>
    </w:p>
    <w:p w:rsidRPr="00EE7B2A" w:rsidR="00FD173D" w:rsidP="00FD173D" w:rsidRDefault="00FD173D" w14:paraId="44F9CA23" w14:textId="77777777">
      <w:r>
        <w:t>ADECA</w:t>
      </w:r>
      <w:r w:rsidRPr="00EE7B2A">
        <w:t xml:space="preserve"> will review the timelines and milestones for the proposed project to ensure that they correspond and map directly with the capital expenditures and schedules provided as part of the applicant’s showing of financial sustainability for the project. </w:t>
      </w:r>
    </w:p>
    <w:p w:rsidRPr="00EE7B2A" w:rsidR="00FD173D" w:rsidP="00FD173D" w:rsidRDefault="00FD173D" w14:paraId="3DCC7529" w14:textId="4DC45504">
      <w:r>
        <w:t>ADECA</w:t>
      </w:r>
      <w:r w:rsidRPr="00EE7B2A">
        <w:t xml:space="preserve"> will also </w:t>
      </w:r>
      <w:r w:rsidR="006D14E8">
        <w:t>review</w:t>
      </w:r>
      <w:r w:rsidRPr="00EE7B2A">
        <w:t xml:space="preserve"> the description of the proposed project’s technical specifications, network design, and diagrams to ensure that the related project budgets, financial analysis, and business case pro forma analysis support the applicant</w:t>
      </w:r>
      <w:r w:rsidR="00EB7F7A">
        <w:t>’s</w:t>
      </w:r>
      <w:r w:rsidRPr="00EE7B2A">
        <w:t xml:space="preserve"> project-specific financial sustainability showing. </w:t>
      </w:r>
    </w:p>
    <w:p w:rsidRPr="00EE7B2A" w:rsidR="00FD173D" w:rsidP="00FD173D" w:rsidRDefault="00FD173D" w14:paraId="67B77491" w14:textId="02F54078">
      <w:r w:rsidRPr="00EE7B2A">
        <w:t>As each of these application elements must correspond and connect with each other to present a comprehensive picture of the propos</w:t>
      </w:r>
      <w:r w:rsidR="00F13BE3">
        <w:t>ed</w:t>
      </w:r>
      <w:r w:rsidRPr="00EE7B2A">
        <w:t xml:space="preserve"> project, </w:t>
      </w:r>
      <w:r>
        <w:t>ADECA</w:t>
      </w:r>
      <w:r w:rsidRPr="00EE7B2A">
        <w:t xml:space="preserve"> intends these showings to be complementary and not duplicative. Applicants can reference attachments and information provided in other parts of the application.</w:t>
      </w:r>
    </w:p>
    <w:p w:rsidRPr="00EE7B2A" w:rsidR="00FD173D" w:rsidP="00345D52" w:rsidRDefault="00FD173D" w14:paraId="03FFD43E" w14:textId="0CD9170F">
      <w:pPr>
        <w:pStyle w:val="Heading4"/>
      </w:pPr>
      <w:r w:rsidRPr="00EE7B2A">
        <w:t>Certification of a Professional Engineer</w:t>
      </w:r>
    </w:p>
    <w:p w:rsidRPr="00EE7B2A" w:rsidR="00FD173D" w:rsidP="00FD173D" w:rsidRDefault="00FD173D" w14:paraId="087E01C7" w14:textId="2903C2BE">
      <w:r w:rsidRPr="00EE7B2A">
        <w:t xml:space="preserve">To support </w:t>
      </w:r>
      <w:r>
        <w:t>ADECA</w:t>
      </w:r>
      <w:r w:rsidRPr="00EE7B2A">
        <w:t xml:space="preserve">’s own analysis of an applicant’s technical capabilities, as well as the reasonableness and benefits of </w:t>
      </w:r>
      <w:r w:rsidR="009D00E9">
        <w:t>a</w:t>
      </w:r>
      <w:r w:rsidRPr="00EE7B2A">
        <w:t xml:space="preserve"> proposed project, the applicant will be required to produce a certification by a</w:t>
      </w:r>
      <w:r w:rsidR="00231759">
        <w:t xml:space="preserve"> </w:t>
      </w:r>
      <w:r w:rsidR="00E4555C">
        <w:t>P</w:t>
      </w:r>
      <w:r w:rsidRPr="00EE7B2A">
        <w:t>rofessional</w:t>
      </w:r>
      <w:r w:rsidRPr="00EE7B2A" w:rsidDel="00E4555C">
        <w:t xml:space="preserve"> </w:t>
      </w:r>
      <w:r w:rsidR="00E4555C">
        <w:t>E</w:t>
      </w:r>
      <w:r w:rsidRPr="00EE7B2A" w:rsidR="00E4555C">
        <w:t xml:space="preserve">ngineer </w:t>
      </w:r>
      <w:r w:rsidRPr="00EE7B2A">
        <w:t xml:space="preserve">during the Scoring Phase. </w:t>
      </w:r>
      <w:r>
        <w:t>ADECA</w:t>
      </w:r>
      <w:r w:rsidRPr="00EE7B2A">
        <w:t xml:space="preserve"> will require that the certifying engineer hold all required professional licenses</w:t>
      </w:r>
      <w:r w:rsidR="00CF0740">
        <w:t>, but the engineer does not have</w:t>
      </w:r>
      <w:r w:rsidR="00A83550">
        <w:t xml:space="preserve"> to be licensed in Alabama to provide the </w:t>
      </w:r>
      <w:r w:rsidR="00E4555C">
        <w:t>P</w:t>
      </w:r>
      <w:r w:rsidR="00FE24A8">
        <w:t xml:space="preserve">rofessional </w:t>
      </w:r>
      <w:r w:rsidR="00E4555C">
        <w:t>E</w:t>
      </w:r>
      <w:r w:rsidR="00FE24A8">
        <w:t>ngineer certification</w:t>
      </w:r>
      <w:r w:rsidR="00E37A12">
        <w:t>.</w:t>
      </w:r>
      <w:r w:rsidR="00CF0740">
        <w:t xml:space="preserve"> </w:t>
      </w:r>
    </w:p>
    <w:p w:rsidR="00E37A12" w:rsidP="00FD173D" w:rsidRDefault="00FD173D" w14:paraId="432E7274" w14:textId="1C325CEF">
      <w:r>
        <w:t>ADECA</w:t>
      </w:r>
      <w:r w:rsidRPr="00EE7B2A">
        <w:t xml:space="preserve"> will provide a sample certification as part of the application materials. </w:t>
      </w:r>
      <w:r w:rsidR="00E37A12">
        <w:t xml:space="preserve">The </w:t>
      </w:r>
      <w:r w:rsidR="00E4555C">
        <w:t>P</w:t>
      </w:r>
      <w:r w:rsidR="00E37A12">
        <w:t xml:space="preserve">rofessional </w:t>
      </w:r>
      <w:r w:rsidR="00E4555C">
        <w:t>E</w:t>
      </w:r>
      <w:r w:rsidR="00E37A12">
        <w:t xml:space="preserve">ngineer certification will cover the proposed network design, diagram, project costs, build-out timeline and milestones for project implementation, and </w:t>
      </w:r>
      <w:r w:rsidR="006E685C">
        <w:t>the</w:t>
      </w:r>
      <w:r w:rsidR="00E37A12">
        <w:t xml:space="preserve"> capital investment schedule evidencing complete build-out and initiation of service within four years of the date on which the entity receives the subgrant</w:t>
      </w:r>
      <w:r w:rsidR="006E685C">
        <w:t>. The certification will further state</w:t>
      </w:r>
      <w:r w:rsidR="00E37A12">
        <w:t xml:space="preserve"> that the proposed network can deliver broadband service that meets the requisite performance requirements to all locations served by the </w:t>
      </w:r>
      <w:r w:rsidR="006E685C">
        <w:t>proposed p</w:t>
      </w:r>
      <w:r w:rsidR="00E37A12">
        <w:t>roject.</w:t>
      </w:r>
    </w:p>
    <w:p w:rsidRPr="00EE7B2A" w:rsidR="00FD173D" w:rsidP="00FD173D" w:rsidRDefault="00FD173D" w14:paraId="3B6AE134" w14:textId="0F0BABC2">
      <w:r w:rsidRPr="00EE7B2A">
        <w:t xml:space="preserve">The applicant will be required to upload documentation of the </w:t>
      </w:r>
      <w:r w:rsidR="00E4555C">
        <w:t>P</w:t>
      </w:r>
      <w:r w:rsidRPr="00EE7B2A" w:rsidR="00E4555C">
        <w:t>rofessional</w:t>
      </w:r>
      <w:r w:rsidRPr="00EE7B2A" w:rsidDel="00E4555C">
        <w:t xml:space="preserve"> </w:t>
      </w:r>
      <w:r w:rsidR="00E4555C">
        <w:t>E</w:t>
      </w:r>
      <w:r w:rsidRPr="00EE7B2A" w:rsidR="00E4555C">
        <w:t xml:space="preserve">ngineer’s </w:t>
      </w:r>
      <w:r w:rsidRPr="00EE7B2A">
        <w:t>licenses as well as any written reports, letters, or analysis provided by the engineer regarding the proposed project</w:t>
      </w:r>
      <w:r w:rsidR="00E06A42">
        <w:t xml:space="preserve"> as part of the certification</w:t>
      </w:r>
      <w:r w:rsidRPr="00EE7B2A">
        <w:t>. </w:t>
      </w:r>
    </w:p>
    <w:p w:rsidRPr="00EE7B2A" w:rsidR="00FD173D" w:rsidP="008A211A" w:rsidRDefault="00FD173D" w14:paraId="0E4E54FF" w14:textId="0FAE58DC">
      <w:pPr>
        <w:pStyle w:val="Heading3"/>
        <w:numPr>
          <w:ilvl w:val="2"/>
          <w:numId w:val="22"/>
        </w:numPr>
      </w:pPr>
      <w:bookmarkStart w:name="_Toc146637807" w:id="139"/>
      <w:bookmarkStart w:name="_Toc147151985" w:id="140"/>
      <w:bookmarkStart w:name="_Toc148069337" w:id="141"/>
      <w:bookmarkStart w:name="_Toc150852646" w:id="142"/>
      <w:r w:rsidRPr="00EE7B2A">
        <w:t>Compliance with applicable laws</w:t>
      </w:r>
      <w:bookmarkEnd w:id="139"/>
      <w:bookmarkEnd w:id="140"/>
      <w:bookmarkEnd w:id="141"/>
      <w:bookmarkEnd w:id="142"/>
      <w:r w:rsidRPr="00EE7B2A">
        <w:t xml:space="preserve"> </w:t>
      </w:r>
    </w:p>
    <w:p w:rsidRPr="00EE7B2A" w:rsidR="00FD173D" w:rsidP="00FD173D" w:rsidRDefault="00FD173D" w14:paraId="6E1F6A97" w14:textId="133AC11E">
      <w:r>
        <w:t>ADECA</w:t>
      </w:r>
      <w:r w:rsidRPr="00EE7B2A">
        <w:t xml:space="preserve">’s Prequalification Phase will require participants to provide a legal opinion by an attorney licensed in </w:t>
      </w:r>
      <w:r>
        <w:t>Alabama</w:t>
      </w:r>
      <w:r w:rsidRPr="00EE7B2A">
        <w:t xml:space="preserve"> that the organization is aware of the federal</w:t>
      </w:r>
      <w:r w:rsidR="00B138BC">
        <w:t xml:space="preserve">, </w:t>
      </w:r>
      <w:r w:rsidRPr="00EE7B2A">
        <w:t>state</w:t>
      </w:r>
      <w:r w:rsidR="00B138BC">
        <w:t>, and local</w:t>
      </w:r>
      <w:r w:rsidRPr="00EE7B2A">
        <w:t xml:space="preserve"> laws applicable to BEAD</w:t>
      </w:r>
      <w:r w:rsidR="00176FA3">
        <w:t>-</w:t>
      </w:r>
      <w:r w:rsidRPr="00EE7B2A">
        <w:t>funded broadband deployment projects</w:t>
      </w:r>
      <w:r w:rsidR="00176FA3">
        <w:t xml:space="preserve">, </w:t>
      </w:r>
      <w:r w:rsidR="00436F8D">
        <w:t>including those related to procurement,</w:t>
      </w:r>
      <w:r w:rsidRPr="00EE7B2A">
        <w:t xml:space="preserve"> and that the organization possesses the qualifications and resources to perform BEAD-related commitments in compliance with all applicable federal</w:t>
      </w:r>
      <w:r w:rsidR="00B138BC">
        <w:t xml:space="preserve">, </w:t>
      </w:r>
      <w:r w:rsidRPr="00EE7B2A">
        <w:t>state</w:t>
      </w:r>
      <w:r w:rsidR="00B138BC">
        <w:t>, and local</w:t>
      </w:r>
      <w:r w:rsidRPr="00EE7B2A">
        <w:t xml:space="preserve"> laws. </w:t>
      </w:r>
    </w:p>
    <w:p w:rsidRPr="00EE7B2A" w:rsidR="00FD173D" w:rsidP="00FD173D" w:rsidRDefault="00FD173D" w14:paraId="46490649" w14:textId="1A6CB4F4">
      <w:r w:rsidRPr="00EE7B2A">
        <w:t>The legal opinion will further attest to the organization’s current compliance with all relevant federal</w:t>
      </w:r>
      <w:r w:rsidR="002833C5">
        <w:t xml:space="preserve">, </w:t>
      </w:r>
      <w:r w:rsidRPr="00EE7B2A">
        <w:t>state</w:t>
      </w:r>
      <w:r w:rsidR="002833C5">
        <w:t>, and local</w:t>
      </w:r>
      <w:r w:rsidRPr="00EE7B2A">
        <w:t xml:space="preserve"> laws and describe any violations of applicable laws and regulations, current or pending investigations, and current or pending legal actions. </w:t>
      </w:r>
    </w:p>
    <w:p w:rsidRPr="00EE7B2A" w:rsidR="00FD173D" w:rsidP="00FD173D" w:rsidRDefault="00FD173D" w14:paraId="7A82F9DB" w14:textId="5E3DA39B">
      <w:r w:rsidRPr="00EE7B2A">
        <w:t>The legal opinion must be accompanied by a description of the expertise and qualifications of the attorney and demonstration of the attorney’s familiarity with relevant areas of the law</w:t>
      </w:r>
      <w:r w:rsidR="00564E7D">
        <w:t>,</w:t>
      </w:r>
      <w:r w:rsidRPr="00EE7B2A">
        <w:t xml:space="preserve"> including preemption and issues of jurisdiction. The attorney must also describe their familiarity with the operations of the organization and the documents, policies, and procedures that they reviewed to render the opinion. </w:t>
      </w:r>
    </w:p>
    <w:p w:rsidRPr="00EE7B2A" w:rsidR="00FD173D" w:rsidP="00FD173D" w:rsidRDefault="00FD173D" w14:paraId="0DB83083" w14:textId="37DA5B12">
      <w:r w:rsidRPr="00EE7B2A">
        <w:t xml:space="preserve">In the BEAD application materials, </w:t>
      </w:r>
      <w:r>
        <w:t>ADECA</w:t>
      </w:r>
      <w:r w:rsidRPr="00EE7B2A">
        <w:t xml:space="preserve"> will reference the types of laws that Prequalification </w:t>
      </w:r>
      <w:r w:rsidR="00895299">
        <w:t>Phase</w:t>
      </w:r>
      <w:r w:rsidRPr="00EE7B2A">
        <w:t xml:space="preserve"> participants must consider, including federal procurement laws such as applicable </w:t>
      </w:r>
      <w:r w:rsidR="00364265">
        <w:t>BABA</w:t>
      </w:r>
      <w:r w:rsidRPr="00EE7B2A">
        <w:t xml:space="preserve"> requirements, state-specific procurement regulations, federal Uniform Guidance regulations, Department of Commerce Standard Terms and Conditions for grant funding, federal and state environmental and historic preservation re</w:t>
      </w:r>
      <w:r w:rsidR="00662317">
        <w:t>quirements</w:t>
      </w:r>
      <w:r w:rsidRPr="00EE7B2A">
        <w:t xml:space="preserve">, and any specific award conditions that </w:t>
      </w:r>
      <w:r>
        <w:t>ADECA</w:t>
      </w:r>
      <w:r w:rsidRPr="00EE7B2A">
        <w:t xml:space="preserve"> or NTIA may develop.</w:t>
      </w:r>
      <w:r w:rsidR="00612823">
        <w:rPr>
          <w:rStyle w:val="FootnoteReference"/>
        </w:rPr>
        <w:footnoteReference w:id="56"/>
      </w:r>
      <w:r w:rsidRPr="00EE7B2A">
        <w:t xml:space="preserve"> </w:t>
      </w:r>
      <w:r>
        <w:t>ADECA</w:t>
      </w:r>
      <w:r w:rsidRPr="00EE7B2A">
        <w:t xml:space="preserve"> will also consult with other state and federal agencies to incorporate additional laws and regulations applicable to BEAD </w:t>
      </w:r>
      <w:r w:rsidR="00422A63">
        <w:t>P</w:t>
      </w:r>
      <w:r w:rsidRPr="00EE7B2A">
        <w:t xml:space="preserve">rogram projects. In the event of a conflict between federal, state, or local regulations, </w:t>
      </w:r>
      <w:r>
        <w:t>ADECA</w:t>
      </w:r>
      <w:r w:rsidRPr="00EE7B2A">
        <w:t xml:space="preserve"> will require compliance with the most stringent obligations and requirements to the extent those obligations are not preempted by applicable federal law. </w:t>
      </w:r>
    </w:p>
    <w:p w:rsidRPr="00EE7B2A" w:rsidR="00FD173D" w:rsidP="00FD173D" w:rsidRDefault="00FD173D" w14:paraId="6E29BF12" w14:textId="77777777">
      <w:r>
        <w:t>ADECA</w:t>
      </w:r>
      <w:r w:rsidRPr="00EE7B2A">
        <w:t xml:space="preserve"> will also require Prequalification Phase participants to provide a narrative description of the processes they have in place to conduct funding activities in compliance with federal and state laws, including descriptions and documentation of procurement practices. Additionally, participants shall be required to provide an explanation of any special circumstances or considerations that may prevent compliance with specific applicable laws. The narrative must address specific requirements and discuss the participant’s plans to mitigate the impact of any noncompliance on its participation in the program. </w:t>
      </w:r>
    </w:p>
    <w:p w:rsidRPr="00EE7B2A" w:rsidR="00FD173D" w:rsidP="00FD173D" w:rsidRDefault="00FD173D" w14:paraId="5293F931" w14:textId="0ED4E60D">
      <w:r>
        <w:t>ADECA</w:t>
      </w:r>
      <w:r w:rsidRPr="00EE7B2A">
        <w:t xml:space="preserve"> will further require participants in the Prequalification Phase to certify that </w:t>
      </w:r>
      <w:r w:rsidR="00F25D3E">
        <w:t>they</w:t>
      </w:r>
      <w:r w:rsidRPr="00EE7B2A">
        <w:t xml:space="preserve"> ha</w:t>
      </w:r>
      <w:r w:rsidR="00F25D3E">
        <w:t>ve</w:t>
      </w:r>
      <w:r w:rsidRPr="00EE7B2A">
        <w:t xml:space="preserve">, or will have, processes in place to monitor and support compliance with specific state and federal safety regulations applicable to work on BEAD </w:t>
      </w:r>
      <w:r w:rsidR="00F25D3E">
        <w:t>P</w:t>
      </w:r>
      <w:r w:rsidRPr="00EE7B2A">
        <w:t xml:space="preserve">rogram projects, including federal Occupational </w:t>
      </w:r>
      <w:r w:rsidR="00294B98">
        <w:t xml:space="preserve">Safety and </w:t>
      </w:r>
      <w:r w:rsidRPr="00EE7B2A">
        <w:t xml:space="preserve">Health Act and related state and federal regulations. </w:t>
      </w:r>
    </w:p>
    <w:p w:rsidR="003C5FAB" w:rsidP="00FD173D" w:rsidRDefault="00FD173D" w14:paraId="7D4644AD" w14:textId="77777777">
      <w:r w:rsidRPr="00EE7B2A">
        <w:t xml:space="preserve">As part of this showing, </w:t>
      </w:r>
      <w:r>
        <w:t>ADECA</w:t>
      </w:r>
      <w:r w:rsidRPr="00EE7B2A">
        <w:t xml:space="preserve"> will require participants to provide documentation of the organization’s policies and practices regarding compliance with health and safety laws and regulations. Participants will also be required to provide documentation of communications with workers and </w:t>
      </w:r>
      <w:proofErr w:type="gramStart"/>
      <w:r w:rsidRPr="00EE7B2A">
        <w:t>worker</w:t>
      </w:r>
      <w:proofErr w:type="gramEnd"/>
      <w:r w:rsidRPr="00EE7B2A">
        <w:t xml:space="preserve"> representative organizations regarding the applicable labor laws and fair labor standards, as well as the formation of worker-led health and safety committees</w:t>
      </w:r>
      <w:r w:rsidR="00575E1B">
        <w:t xml:space="preserve"> that management will meet with </w:t>
      </w:r>
      <w:r w:rsidR="006E51F4">
        <w:t>upon reasonable request</w:t>
      </w:r>
      <w:r w:rsidRPr="00EE7B2A">
        <w:t>. Documentation of a participant’s outreach to workers on these topics may include sample emails, copies of posters, worker surveys, worker meetings, phone call and social media scripts, as well as organizing activities by worker-led organizations.</w:t>
      </w:r>
    </w:p>
    <w:p w:rsidRPr="00EE7B2A" w:rsidR="00FD173D" w:rsidP="00FD173D" w:rsidRDefault="003C5FAB" w14:paraId="11CBBD1F" w14:textId="6DF30500">
      <w:r>
        <w:t xml:space="preserve">As an </w:t>
      </w:r>
      <w:r w:rsidR="001742C5">
        <w:t>important</w:t>
      </w:r>
      <w:r>
        <w:t xml:space="preserve"> safeguard,</w:t>
      </w:r>
      <w:r w:rsidR="006D2277">
        <w:t xml:space="preserve"> ADECA will include </w:t>
      </w:r>
      <w:r w:rsidR="001742C5">
        <w:t xml:space="preserve">strong </w:t>
      </w:r>
      <w:r w:rsidR="00CC2846">
        <w:t>subgrantee qualification and compliance provisions</w:t>
      </w:r>
      <w:r w:rsidR="001742C5">
        <w:t xml:space="preserve"> in its BEAD subgrant agreements that are:</w:t>
      </w:r>
      <w:r>
        <w:t xml:space="preserve"> (a) are specific and clearly defined; (b) are measurable in whether or not they are achieved; (c) have a specific timeframe; and (d) note the reviewing party and associated responsibilities. </w:t>
      </w:r>
    </w:p>
    <w:p w:rsidRPr="00EE7B2A" w:rsidR="00FD173D" w:rsidP="008A211A" w:rsidRDefault="00FD173D" w14:paraId="50230C74" w14:textId="70BEB261">
      <w:pPr>
        <w:pStyle w:val="Heading3"/>
        <w:numPr>
          <w:ilvl w:val="2"/>
          <w:numId w:val="22"/>
        </w:numPr>
      </w:pPr>
      <w:bookmarkStart w:name="_Toc146637808" w:id="143"/>
      <w:bookmarkStart w:name="_Toc147151986" w:id="144"/>
      <w:bookmarkStart w:name="_Toc148069338" w:id="145"/>
      <w:bookmarkStart w:name="_Toc150852647" w:id="146"/>
      <w:r w:rsidRPr="00EE7B2A">
        <w:t>O</w:t>
      </w:r>
      <w:r w:rsidR="00FB7A3F">
        <w:t>perational</w:t>
      </w:r>
      <w:r w:rsidRPr="00EE7B2A">
        <w:t xml:space="preserve"> capability</w:t>
      </w:r>
      <w:bookmarkEnd w:id="143"/>
      <w:bookmarkEnd w:id="144"/>
      <w:bookmarkEnd w:id="145"/>
      <w:bookmarkEnd w:id="146"/>
    </w:p>
    <w:p w:rsidRPr="00EE7B2A" w:rsidR="00FD173D" w:rsidP="00345D52" w:rsidRDefault="00FD173D" w14:paraId="6BA18ED6" w14:textId="77CA9B17">
      <w:pPr>
        <w:pStyle w:val="Heading4"/>
      </w:pPr>
      <w:r w:rsidRPr="00EE7B2A">
        <w:t>Experience offering services </w:t>
      </w:r>
    </w:p>
    <w:p w:rsidRPr="00EE7B2A" w:rsidR="00FD173D" w:rsidP="00FD173D" w:rsidRDefault="00FD173D" w14:paraId="629FB949" w14:textId="3D96F786">
      <w:r w:rsidRPr="00EE7B2A">
        <w:t xml:space="preserve">During the Prequalification Phase, </w:t>
      </w:r>
      <w:r>
        <w:t>ADECA</w:t>
      </w:r>
      <w:r w:rsidRPr="00EE7B2A">
        <w:t xml:space="preserve"> will require participants to provide a certification by an officer or director of the organization that it possesses the operational expertise, capabilities, and resources to successfully complete and operate a BEAD</w:t>
      </w:r>
      <w:r w:rsidR="00D50857">
        <w:t>-</w:t>
      </w:r>
      <w:r w:rsidRPr="00EE7B2A">
        <w:t>funded project</w:t>
      </w:r>
      <w:r w:rsidR="007255EA">
        <w:t>, including the cybersecurity and supply chain certifications described in Section 5.3.1</w:t>
      </w:r>
      <w:r w:rsidRPr="00EE7B2A">
        <w:t xml:space="preserve">. </w:t>
      </w:r>
      <w:r w:rsidR="00902A7B">
        <w:t>Subject to exceptions discussed below, t</w:t>
      </w:r>
      <w:r w:rsidRPr="00EE7B2A">
        <w:t xml:space="preserve">he certification must specify that the organization has </w:t>
      </w:r>
      <w:r w:rsidR="009B2BDD">
        <w:t>provided a voice, broadband, and/or electric transmission or distribution service for at least the two consecutive years prior to the date of its application submission</w:t>
      </w:r>
      <w:r w:rsidR="0096534B">
        <w:t>,</w:t>
      </w:r>
      <w:r w:rsidR="009B2BDD">
        <w:t xml:space="preserve"> or that it is a wholly owned subsidiary of such an </w:t>
      </w:r>
      <w:proofErr w:type="gramStart"/>
      <w:r w:rsidR="009B2BDD">
        <w:t xml:space="preserve">entity, </w:t>
      </w:r>
      <w:r w:rsidR="0096534B">
        <w:t>and</w:t>
      </w:r>
      <w:proofErr w:type="gramEnd"/>
      <w:r w:rsidR="0096534B">
        <w:t xml:space="preserve"> specify </w:t>
      </w:r>
      <w:r w:rsidR="009B2BDD">
        <w:t>the number of years the prospective subgrantee or its parent company has been operating</w:t>
      </w:r>
      <w:r w:rsidR="0096534B">
        <w:t>.</w:t>
      </w:r>
      <w:r w:rsidR="0021201F">
        <w:t xml:space="preserve"> </w:t>
      </w:r>
      <w:r w:rsidRPr="00EE7B2A">
        <w:t>If Prequalification Phase participants referenced operations in other states as part of its demonstration o</w:t>
      </w:r>
      <w:r w:rsidR="00393567">
        <w:t>f</w:t>
      </w:r>
      <w:r w:rsidRPr="00EE7B2A">
        <w:t xml:space="preserve"> operational </w:t>
      </w:r>
      <w:r w:rsidR="00242255">
        <w:t>capability</w:t>
      </w:r>
      <w:r w:rsidRPr="00EE7B2A">
        <w:t>, the organization will be required to provide a list or chart describing operations providing voice</w:t>
      </w:r>
      <w:r w:rsidR="007C2976">
        <w:t xml:space="preserve">, broadband, and/or electric transmission </w:t>
      </w:r>
      <w:r w:rsidRPr="00EE7B2A">
        <w:t>in other states. The list must include licensing and certification identifiers, years of operating experience, and descriptions of the services provided in each state either by the organization directly or by its affiliates and parent organization. </w:t>
      </w:r>
    </w:p>
    <w:p w:rsidRPr="00EE7B2A" w:rsidR="00FD173D" w:rsidP="00345D52" w:rsidRDefault="00FD173D" w14:paraId="249412C4" w14:textId="77777777">
      <w:pPr>
        <w:pStyle w:val="Heading4"/>
      </w:pPr>
      <w:r w:rsidRPr="00EE7B2A">
        <w:t>Compliance with FCC regulations </w:t>
      </w:r>
    </w:p>
    <w:p w:rsidRPr="00EE7B2A" w:rsidR="00FD173D" w:rsidP="00FD173D" w:rsidRDefault="00FD173D" w14:paraId="5FA0BC99" w14:textId="0ECCAC03">
      <w:r w:rsidRPr="00EE7B2A">
        <w:t xml:space="preserve">Prequalification </w:t>
      </w:r>
      <w:r w:rsidR="00E213A8">
        <w:t>Phase</w:t>
      </w:r>
      <w:r w:rsidRPr="00EE7B2A">
        <w:t xml:space="preserve"> participants will also be required to provide a separate certification that they </w:t>
      </w:r>
      <w:proofErr w:type="gramStart"/>
      <w:r w:rsidRPr="00EE7B2A">
        <w:t>are in compliance with</w:t>
      </w:r>
      <w:proofErr w:type="gramEnd"/>
      <w:r w:rsidRPr="00EE7B2A">
        <w:t xml:space="preserve"> any applicable federal laws and regulations implemented by the FCC, including </w:t>
      </w:r>
      <w:r w:rsidR="00B83524">
        <w:t xml:space="preserve">timely </w:t>
      </w:r>
      <w:r w:rsidRPr="00EE7B2A">
        <w:t>submission of required reporting under the FCC’s Form 477 regulations for reporting deployment and subscription data. This certification should also include compliance with the Broadband DATA Act (Pub. L. No</w:t>
      </w:r>
      <w:r w:rsidR="00E20D4E">
        <w:t>.</w:t>
      </w:r>
      <w:r w:rsidRPr="00EE7B2A">
        <w:t xml:space="preserve"> 116-130) and implementing regulations including the FCC’s Broadband Data Collection process. </w:t>
      </w:r>
    </w:p>
    <w:p w:rsidRPr="00EE7B2A" w:rsidR="00FD173D" w:rsidP="00FD173D" w:rsidRDefault="00FD173D" w14:paraId="347019CA" w14:textId="0A907BE6">
      <w:r w:rsidRPr="00EE7B2A">
        <w:t xml:space="preserve">If the participant cannot provide the required certification regarding FCC regulations, it will be required to provide a narrative explanation of any pending or completed enforcement action, litigation, or other action regarding violations or noncompliance with applicable FCC regulations, and a description of any efforts by the organization to cure the noncompliance or violations of the applicable regulations. </w:t>
      </w:r>
    </w:p>
    <w:p w:rsidRPr="00EE7B2A" w:rsidR="00FD173D" w:rsidP="00345D52" w:rsidRDefault="00FD173D" w14:paraId="4B9A3CEA" w14:textId="77777777">
      <w:pPr>
        <w:pStyle w:val="Heading4"/>
      </w:pPr>
      <w:r w:rsidRPr="00EE7B2A">
        <w:t>Electric service providers and new entrants </w:t>
      </w:r>
    </w:p>
    <w:p w:rsidRPr="00EE7B2A" w:rsidR="00FD173D" w:rsidP="00FD173D" w:rsidRDefault="00FD173D" w14:paraId="771FB160" w14:textId="0ACB65F9">
      <w:r w:rsidRPr="00EE7B2A">
        <w:t>If the Prequalification Phase participant is a</w:t>
      </w:r>
      <w:r w:rsidR="007B37A7">
        <w:t xml:space="preserve">n operator of </w:t>
      </w:r>
      <w:r w:rsidR="006D7535">
        <w:t>an electric transmission or distribution service</w:t>
      </w:r>
      <w:r w:rsidRPr="00EE7B2A">
        <w:t xml:space="preserve"> without two </w:t>
      </w:r>
      <w:r w:rsidR="00604E24">
        <w:t xml:space="preserve">consecutive </w:t>
      </w:r>
      <w:r w:rsidRPr="00EE7B2A">
        <w:t>years of experience offering communications services</w:t>
      </w:r>
      <w:r>
        <w:t xml:space="preserve"> or is a new entrant to the communications market,</w:t>
      </w:r>
      <w:r w:rsidRPr="00EE7B2A">
        <w:t xml:space="preserve"> the participant will be required to provide additional documentation of its operational capabilities to successfully complete and operate a BEAD</w:t>
      </w:r>
      <w:r w:rsidR="007867A7">
        <w:t>-</w:t>
      </w:r>
      <w:r w:rsidRPr="00EE7B2A">
        <w:t xml:space="preserve">funded project. </w:t>
      </w:r>
    </w:p>
    <w:p w:rsidRPr="00EE7B2A" w:rsidR="00FD173D" w:rsidP="00FD173D" w:rsidRDefault="00FD173D" w14:paraId="15E49DF3" w14:textId="0F18E125">
      <w:r w:rsidRPr="00EE7B2A">
        <w:t xml:space="preserve">Such documentation </w:t>
      </w:r>
      <w:r w:rsidR="001761C3">
        <w:t xml:space="preserve">will </w:t>
      </w:r>
      <w:r w:rsidRPr="00EE7B2A">
        <w:t xml:space="preserve">be considered if it can substantiate the expertise and resources of the organization to deploy and operate a broadband network in compliance with BEAD </w:t>
      </w:r>
      <w:r w:rsidR="007867A7">
        <w:t>P</w:t>
      </w:r>
      <w:r w:rsidRPr="00EE7B2A">
        <w:t xml:space="preserve">rogram requirements. Such documentation could include additional operational or financial reports that the electric </w:t>
      </w:r>
      <w:r w:rsidR="008708A9">
        <w:t>transmission or distribution service</w:t>
      </w:r>
      <w:r w:rsidRPr="00EE7B2A" w:rsidR="008708A9">
        <w:t xml:space="preserve"> </w:t>
      </w:r>
      <w:r w:rsidRPr="00EE7B2A">
        <w:t xml:space="preserve">provider or new entrant may have originally submitted to a financial institution or applicable regulatory agency. These additional reports must be accompanied by a certification from an officer or director of the organization that they are true and correct copies of the reports originally provided to the financial institution or regulatory agency. </w:t>
      </w:r>
    </w:p>
    <w:p w:rsidRPr="00EE7B2A" w:rsidR="00056D01" w:rsidP="00FD173D" w:rsidRDefault="00B173F8" w14:paraId="57EBBC76" w14:textId="12321E24">
      <w:r>
        <w:t>Electric transmission or distribution service</w:t>
      </w:r>
      <w:r w:rsidRPr="00EE7B2A">
        <w:t xml:space="preserve"> </w:t>
      </w:r>
      <w:r>
        <w:t>providers</w:t>
      </w:r>
      <w:r w:rsidRPr="00EE7B2A">
        <w:t xml:space="preserve"> </w:t>
      </w:r>
      <w:r w:rsidRPr="00EE7B2A" w:rsidR="00FD173D">
        <w:t xml:space="preserve">and new entrants will also be required to provide </w:t>
      </w:r>
      <w:r w:rsidR="003E5049">
        <w:t>evidence</w:t>
      </w:r>
      <w:r w:rsidRPr="00EE7B2A" w:rsidR="00FD173D">
        <w:t xml:space="preserve"> of plans to acquire additional resources to increase the organizations’ organizational capabilities, including third</w:t>
      </w:r>
      <w:r w:rsidR="00C9485A">
        <w:t>-</w:t>
      </w:r>
      <w:r w:rsidRPr="00EE7B2A" w:rsidR="00FD173D">
        <w:t>party contractors and partners with relevant operational expertise, to the extent that they cannot demonstrate that they have already acquired those capabilities.</w:t>
      </w:r>
      <w:r w:rsidR="007B62A2">
        <w:rPr>
          <w:rStyle w:val="FootnoteReference"/>
        </w:rPr>
        <w:footnoteReference w:id="57"/>
      </w:r>
      <w:r w:rsidRPr="00EE7B2A" w:rsidR="00FD173D">
        <w:t xml:space="preserve"> </w:t>
      </w:r>
    </w:p>
    <w:p w:rsidRPr="00EE7B2A" w:rsidR="00FD173D" w:rsidP="008A211A" w:rsidRDefault="00FD173D" w14:paraId="60C056E8" w14:textId="77777777">
      <w:pPr>
        <w:pStyle w:val="Heading3"/>
        <w:numPr>
          <w:ilvl w:val="2"/>
          <w:numId w:val="22"/>
        </w:numPr>
      </w:pPr>
      <w:bookmarkStart w:name="_Toc146637809" w:id="147"/>
      <w:bookmarkStart w:name="_Toc147151987" w:id="148"/>
      <w:bookmarkStart w:name="_Toc148069339" w:id="149"/>
      <w:bookmarkStart w:name="_Toc150852648" w:id="150"/>
      <w:r w:rsidRPr="00EE7B2A">
        <w:t>Ownership information</w:t>
      </w:r>
      <w:bookmarkEnd w:id="147"/>
      <w:bookmarkEnd w:id="148"/>
      <w:bookmarkEnd w:id="149"/>
      <w:bookmarkEnd w:id="150"/>
      <w:r w:rsidRPr="00EE7B2A">
        <w:t xml:space="preserve"> </w:t>
      </w:r>
    </w:p>
    <w:p w:rsidRPr="00EE7B2A" w:rsidR="00FD173D" w:rsidP="00FD173D" w:rsidRDefault="00FD173D" w14:paraId="4DD2E4D0" w14:textId="05F547CF">
      <w:pPr>
        <w:rPr>
          <w:sz w:val="18"/>
          <w:szCs w:val="18"/>
        </w:rPr>
      </w:pPr>
      <w:r w:rsidRPr="00EE7B2A">
        <w:t xml:space="preserve">During the Prequalification Phase, </w:t>
      </w:r>
      <w:r>
        <w:t>ADECA</w:t>
      </w:r>
      <w:r w:rsidRPr="00EE7B2A">
        <w:t xml:space="preserve"> will require participants to document their ownership structure and shareholder interests pursuant to federal regulations developed for specific funding and auction programs implemented by the </w:t>
      </w:r>
      <w:r w:rsidR="00993C22">
        <w:t>FCC</w:t>
      </w:r>
      <w:r w:rsidRPr="00EE7B2A">
        <w:t xml:space="preserve"> that can be found at 47 C.F.R. §</w:t>
      </w:r>
      <w:r w:rsidR="00993C22">
        <w:t xml:space="preserve"> </w:t>
      </w:r>
      <w:r w:rsidRPr="00EE7B2A">
        <w:t xml:space="preserve">1.2112(a)(1)-(7). </w:t>
      </w:r>
      <w:r>
        <w:t>ADECA</w:t>
      </w:r>
      <w:r w:rsidRPr="00EE7B2A">
        <w:t xml:space="preserve"> will specifically request applicants to provide a narrative description of their ownership structure and </w:t>
      </w:r>
      <w:r w:rsidR="00231C8E">
        <w:t>entity type</w:t>
      </w:r>
      <w:r w:rsidRPr="00EE7B2A" w:rsidDel="00231C8E">
        <w:t xml:space="preserve"> </w:t>
      </w:r>
      <w:r w:rsidRPr="00EE7B2A">
        <w:t>(e.g., publicly held corporation, limited partnership, limited liability company, general partnership, cooperative</w:t>
      </w:r>
      <w:r w:rsidR="00231C8E">
        <w:t>, public entity</w:t>
      </w:r>
      <w:r w:rsidRPr="00EE7B2A">
        <w:t xml:space="preserve">). The showing should reference and correspond to the organizational charts, identification of executive leadership, and financial statements provided in other elements of the Prequalification Phase. </w:t>
      </w:r>
    </w:p>
    <w:p w:rsidRPr="00EE7B2A" w:rsidR="00FD173D" w:rsidP="00FD173D" w:rsidRDefault="00FD173D" w14:paraId="2EA0D3EF" w14:textId="613CA729">
      <w:pPr>
        <w:rPr>
          <w:sz w:val="18"/>
          <w:szCs w:val="18"/>
        </w:rPr>
      </w:pPr>
      <w:r w:rsidRPr="00EE7B2A">
        <w:t>Participants will be required to submit a list of the required ownership information specific to the type of corporate entity, including the name, address, citizenship</w:t>
      </w:r>
      <w:r w:rsidR="00CA518C">
        <w:t>,</w:t>
      </w:r>
      <w:r w:rsidRPr="00EE7B2A">
        <w:t xml:space="preserve"> and proportion of ownership interest of those owning and controlling the organization, including partners and shareholders with more than a 10 percent ownership interest. </w:t>
      </w:r>
    </w:p>
    <w:p w:rsidRPr="00EE7B2A" w:rsidR="00FD173D" w:rsidP="00FD173D" w:rsidRDefault="00FD173D" w14:paraId="6AEF3F87" w14:textId="6D919AE4">
      <w:pPr>
        <w:rPr>
          <w:sz w:val="18"/>
          <w:szCs w:val="18"/>
        </w:rPr>
      </w:pPr>
      <w:r w:rsidRPr="00EE7B2A">
        <w:t xml:space="preserve">For participants that report </w:t>
      </w:r>
      <w:r w:rsidR="00052F6E">
        <w:t xml:space="preserve">ownership information </w:t>
      </w:r>
      <w:r w:rsidRPr="00EE7B2A">
        <w:t xml:space="preserve">to the FCC, </w:t>
      </w:r>
      <w:r>
        <w:t>ADECA</w:t>
      </w:r>
      <w:r w:rsidRPr="00EE7B2A">
        <w:t xml:space="preserve"> will review the </w:t>
      </w:r>
      <w:r w:rsidR="00DE4AB9">
        <w:t xml:space="preserve">Prequalification Phase submissions </w:t>
      </w:r>
      <w:r w:rsidRPr="00EE7B2A">
        <w:t xml:space="preserve">to determine </w:t>
      </w:r>
      <w:r w:rsidR="00DA0232">
        <w:t>whether</w:t>
      </w:r>
      <w:r w:rsidRPr="00EE7B2A" w:rsidR="00DA0232">
        <w:t xml:space="preserve"> </w:t>
      </w:r>
      <w:r w:rsidR="00DE4AB9">
        <w:t>they</w:t>
      </w:r>
      <w:r w:rsidRPr="00EE7B2A">
        <w:t xml:space="preserve"> match the information submitted by organizations to the FCC in compliance with 47 C.F.R. §</w:t>
      </w:r>
      <w:r w:rsidR="00F86474">
        <w:t xml:space="preserve"> </w:t>
      </w:r>
      <w:r w:rsidRPr="00EE7B2A">
        <w:t>1.2112 and other FCC reporting requirements</w:t>
      </w:r>
      <w:r w:rsidR="00664963">
        <w:t>,</w:t>
      </w:r>
      <w:r w:rsidRPr="00EE7B2A">
        <w:t xml:space="preserve"> including reporting for Eligible Telecommunications Carrier</w:t>
      </w:r>
      <w:r w:rsidR="00342625">
        <w:t>s</w:t>
      </w:r>
      <w:r w:rsidRPr="00EE7B2A">
        <w:t xml:space="preserve">, licensure, and other purposes. Applicants will be expected to identify and explain any discrepancies or inconsistencies in the reported ownership and corporate structure information </w:t>
      </w:r>
      <w:r w:rsidR="00F233EA">
        <w:t xml:space="preserve">provided to the FCC </w:t>
      </w:r>
      <w:r w:rsidR="00386BD7">
        <w:t xml:space="preserve">and provided </w:t>
      </w:r>
      <w:r w:rsidRPr="00EE7B2A">
        <w:t>as part of the Prequalification Phase. </w:t>
      </w:r>
    </w:p>
    <w:p w:rsidRPr="00EE7B2A" w:rsidR="00FD173D" w:rsidP="00FD173D" w:rsidRDefault="00FD173D" w14:paraId="776517B9" w14:textId="1C66525D">
      <w:pPr>
        <w:rPr>
          <w:sz w:val="18"/>
          <w:szCs w:val="18"/>
        </w:rPr>
      </w:pPr>
      <w:r>
        <w:t>ADECA</w:t>
      </w:r>
      <w:r w:rsidRPr="00EE7B2A">
        <w:t xml:space="preserve"> will also check the submitted information against relevant business licensing requirements for the </w:t>
      </w:r>
      <w:r w:rsidR="00B25454">
        <w:t>S</w:t>
      </w:r>
      <w:r w:rsidRPr="00EE7B2A" w:rsidR="00B25454">
        <w:t xml:space="preserve">tate </w:t>
      </w:r>
      <w:r w:rsidRPr="00EE7B2A">
        <w:t xml:space="preserve">of </w:t>
      </w:r>
      <w:r>
        <w:t>Alabama</w:t>
      </w:r>
      <w:r w:rsidRPr="00EE7B2A">
        <w:t xml:space="preserve"> and will require applicants to explain any discrepancies or inconsistencies between the two sets of reported data. </w:t>
      </w:r>
    </w:p>
    <w:p w:rsidRPr="00EE7B2A" w:rsidR="00FD173D" w:rsidP="00FD173D" w:rsidRDefault="00FD173D" w14:paraId="7C4C13CE" w14:textId="3A2CB0AC">
      <w:pPr>
        <w:rPr>
          <w:sz w:val="18"/>
          <w:szCs w:val="18"/>
        </w:rPr>
      </w:pPr>
      <w:r w:rsidRPr="00EE7B2A">
        <w:t xml:space="preserve">This requirement is critical for </w:t>
      </w:r>
      <w:r>
        <w:t>ADECA</w:t>
      </w:r>
      <w:r w:rsidRPr="00EE7B2A">
        <w:t xml:space="preserve">, and NTIA, to uphold their commitments to fairness and transparency under the BEAD </w:t>
      </w:r>
      <w:r w:rsidR="00227DCC">
        <w:t>P</w:t>
      </w:r>
      <w:r w:rsidRPr="00EE7B2A">
        <w:t xml:space="preserve">rogram. Ownership information for each prospective subgrantee will allow </w:t>
      </w:r>
      <w:r>
        <w:t>ADECA</w:t>
      </w:r>
      <w:r w:rsidRPr="00EE7B2A">
        <w:t xml:space="preserve"> to have a full and complete picture of the participants in the program and who is being entrusted with BEAD funding to ensure an efficient and effective use of funds that benefits the largest number of end users. </w:t>
      </w:r>
    </w:p>
    <w:p w:rsidRPr="00EE7B2A" w:rsidR="00FD173D" w:rsidP="008A211A" w:rsidRDefault="00FD173D" w14:paraId="0DA0D2EE" w14:textId="77777777">
      <w:pPr>
        <w:pStyle w:val="Heading3"/>
        <w:numPr>
          <w:ilvl w:val="2"/>
          <w:numId w:val="22"/>
        </w:numPr>
      </w:pPr>
      <w:bookmarkStart w:name="_Toc146637810" w:id="151"/>
      <w:bookmarkStart w:name="_Toc147151988" w:id="152"/>
      <w:bookmarkStart w:name="_Toc148069340" w:id="153"/>
      <w:bookmarkStart w:name="_Toc150852649" w:id="154"/>
      <w:r w:rsidRPr="00EE7B2A">
        <w:t>Information on other public funding</w:t>
      </w:r>
      <w:bookmarkEnd w:id="151"/>
      <w:bookmarkEnd w:id="152"/>
      <w:bookmarkEnd w:id="153"/>
      <w:bookmarkEnd w:id="154"/>
    </w:p>
    <w:p w:rsidRPr="00EE7B2A" w:rsidR="00FD173D" w:rsidP="00FD173D" w:rsidRDefault="00FD173D" w14:paraId="460D71CA" w14:textId="6A16FCC9">
      <w:r w:rsidRPr="00EE7B2A">
        <w:t xml:space="preserve">As part of </w:t>
      </w:r>
      <w:r>
        <w:t>ADECA</w:t>
      </w:r>
      <w:r w:rsidRPr="00EE7B2A">
        <w:t>’s efforts to substantiate an applicant’s overall expertise and competence to successfully complete a BEAD</w:t>
      </w:r>
      <w:r w:rsidR="00210A76">
        <w:t>-</w:t>
      </w:r>
      <w:r w:rsidRPr="00EE7B2A">
        <w:t>funded project</w:t>
      </w:r>
      <w:r w:rsidR="00210A76">
        <w:t xml:space="preserve"> and ensure the efficient </w:t>
      </w:r>
      <w:r w:rsidR="00380950">
        <w:t>use of public funds</w:t>
      </w:r>
      <w:r w:rsidRPr="00EE7B2A">
        <w:t xml:space="preserve">, </w:t>
      </w:r>
      <w:r>
        <w:t>ADECA</w:t>
      </w:r>
      <w:r w:rsidRPr="00EE7B2A">
        <w:t xml:space="preserve"> will require participants </w:t>
      </w:r>
      <w:r w:rsidR="00380950">
        <w:t xml:space="preserve">in the Prequalification Phase </w:t>
      </w:r>
      <w:r w:rsidRPr="00EE7B2A">
        <w:t xml:space="preserve">to submit information about their participation in other </w:t>
      </w:r>
      <w:proofErr w:type="gramStart"/>
      <w:r w:rsidR="0011345C">
        <w:t>publicly</w:t>
      </w:r>
      <w:r w:rsidR="003A16A2">
        <w:t>-</w:t>
      </w:r>
      <w:r w:rsidR="0011345C">
        <w:t>funded</w:t>
      </w:r>
      <w:proofErr w:type="gramEnd"/>
      <w:r w:rsidR="0011345C">
        <w:t xml:space="preserve"> broadband </w:t>
      </w:r>
      <w:r w:rsidR="00230453">
        <w:t>programs</w:t>
      </w:r>
      <w:r w:rsidRPr="00EE7B2A">
        <w:t xml:space="preserve">. </w:t>
      </w:r>
      <w:r>
        <w:t>ADECA</w:t>
      </w:r>
      <w:r w:rsidRPr="00EE7B2A">
        <w:t xml:space="preserve"> will assess this information to better understand the participant’s experience and knowledge regarding </w:t>
      </w:r>
      <w:proofErr w:type="gramStart"/>
      <w:r w:rsidRPr="00EE7B2A">
        <w:t>publicly</w:t>
      </w:r>
      <w:r w:rsidR="005C10D0">
        <w:t>-funded</w:t>
      </w:r>
      <w:proofErr w:type="gramEnd"/>
      <w:r w:rsidR="005C10D0">
        <w:t xml:space="preserve"> broadband </w:t>
      </w:r>
      <w:r w:rsidRPr="00EE7B2A">
        <w:t>programs, the technical capabilities demonstrated by the sophistication of each project, and the resources that the participant has committed over the term</w:t>
      </w:r>
      <w:r w:rsidR="005C10D0">
        <w:t>s</w:t>
      </w:r>
      <w:r w:rsidRPr="00EE7B2A">
        <w:t xml:space="preserve"> of these projects. </w:t>
      </w:r>
    </w:p>
    <w:p w:rsidRPr="00EE7B2A" w:rsidR="00FD173D" w:rsidP="00FD173D" w:rsidRDefault="00FD173D" w14:paraId="0CD336B7" w14:textId="0715B477">
      <w:r w:rsidRPr="00EE7B2A">
        <w:t>Participants will be required to submit information about their participation and commitments for publicly</w:t>
      </w:r>
      <w:r w:rsidR="004C0656">
        <w:t>-</w:t>
      </w:r>
      <w:r w:rsidRPr="00EE7B2A">
        <w:t xml:space="preserve">funded </w:t>
      </w:r>
      <w:r w:rsidR="00FE5764">
        <w:t xml:space="preserve">broadband </w:t>
      </w:r>
      <w:r w:rsidRPr="00EE7B2A">
        <w:t>programs</w:t>
      </w:r>
      <w:r w:rsidR="004C0656">
        <w:t>,</w:t>
      </w:r>
      <w:r w:rsidRPr="00EE7B2A">
        <w:t xml:space="preserve"> including but not limited to the Families First Coronavirus Response Act (Pub</w:t>
      </w:r>
      <w:r w:rsidR="006D0252">
        <w:t>.</w:t>
      </w:r>
      <w:r w:rsidRPr="00EE7B2A">
        <w:t xml:space="preserve"> L</w:t>
      </w:r>
      <w:r w:rsidR="006D0252">
        <w:t>.</w:t>
      </w:r>
      <w:r w:rsidR="006A1F88">
        <w:t xml:space="preserve"> No.</w:t>
      </w:r>
      <w:r w:rsidRPr="00EE7B2A">
        <w:t xml:space="preserve"> 116-127), the CARES Act (Pub</w:t>
      </w:r>
      <w:r w:rsidR="003E5021">
        <w:t>.</w:t>
      </w:r>
      <w:r w:rsidRPr="00EE7B2A">
        <w:t xml:space="preserve"> L</w:t>
      </w:r>
      <w:r w:rsidR="003E5021">
        <w:t>. No.</w:t>
      </w:r>
      <w:r w:rsidRPr="00EE7B2A">
        <w:t xml:space="preserve"> 116-136), the Consolidated Appropriations Act, 2021 (Pub</w:t>
      </w:r>
      <w:r w:rsidR="00DD2DD5">
        <w:t>.</w:t>
      </w:r>
      <w:r w:rsidRPr="00EE7B2A">
        <w:t xml:space="preserve"> L</w:t>
      </w:r>
      <w:r w:rsidR="00DD2DD5">
        <w:t>. No.</w:t>
      </w:r>
      <w:r w:rsidRPr="00EE7B2A">
        <w:t xml:space="preserve"> 116-260), the American Rescue Plan </w:t>
      </w:r>
      <w:r w:rsidR="005730C8">
        <w:t xml:space="preserve">Act </w:t>
      </w:r>
      <w:r w:rsidRPr="00EE7B2A">
        <w:t>of 2021 (Pub</w:t>
      </w:r>
      <w:r w:rsidR="00AB6D33">
        <w:t>.</w:t>
      </w:r>
      <w:r w:rsidRPr="00EE7B2A">
        <w:t xml:space="preserve"> L</w:t>
      </w:r>
      <w:r w:rsidR="00AB6D33">
        <w:t>. No.</w:t>
      </w:r>
      <w:r w:rsidRPr="00EE7B2A">
        <w:t xml:space="preserve"> 117-2), any federal Universal Service Fund high-cost program (</w:t>
      </w:r>
      <w:r w:rsidRPr="00EE7B2A">
        <w:rPr>
          <w:i/>
          <w:iCs/>
        </w:rPr>
        <w:t>e.g.</w:t>
      </w:r>
      <w:r w:rsidRPr="00EE7B2A">
        <w:t xml:space="preserve">, RDOF, CAF), and </w:t>
      </w:r>
      <w:r>
        <w:t>ADECA</w:t>
      </w:r>
      <w:r w:rsidRPr="00EE7B2A">
        <w:t>’s own broadband grant programs as well as any local universal service or broadband deployment funding program. </w:t>
      </w:r>
    </w:p>
    <w:p w:rsidRPr="00EE7B2A" w:rsidR="00FD173D" w:rsidP="00FD173D" w:rsidRDefault="00FD173D" w14:paraId="1DE6C647" w14:textId="547BA8CE">
      <w:r w:rsidRPr="00EE7B2A">
        <w:t xml:space="preserve">As part of the Prequalification Phase, </w:t>
      </w:r>
      <w:r>
        <w:t xml:space="preserve">ADECA will provide a template, hereinafter referred to as the Other Public Funding Template, </w:t>
      </w:r>
      <w:r w:rsidRPr="00EE7B2A">
        <w:t xml:space="preserve">that participants must complete. Participants will be required to use the Other Public Funding Template to provide the requested information for each </w:t>
      </w:r>
      <w:proofErr w:type="gramStart"/>
      <w:r w:rsidRPr="00EE7B2A">
        <w:t>publicly</w:t>
      </w:r>
      <w:r w:rsidR="00A3155C">
        <w:t>-</w:t>
      </w:r>
      <w:r w:rsidRPr="00EE7B2A">
        <w:t>funded</w:t>
      </w:r>
      <w:proofErr w:type="gramEnd"/>
      <w:r w:rsidRPr="00EE7B2A">
        <w:t xml:space="preserve"> broadband deployment project where the participant is planning to submit an application for funding, has an application pending, has been awarded public funding, or has committed to completing a project. Participants will also be required to include information about any </w:t>
      </w:r>
      <w:proofErr w:type="gramStart"/>
      <w:r w:rsidRPr="00EE7B2A">
        <w:t>publicly</w:t>
      </w:r>
      <w:r w:rsidR="000F1B5E">
        <w:t>-</w:t>
      </w:r>
      <w:r w:rsidRPr="00EE7B2A">
        <w:t>funded</w:t>
      </w:r>
      <w:proofErr w:type="gramEnd"/>
      <w:r w:rsidRPr="00EE7B2A">
        <w:t xml:space="preserve"> broadband projects for their affiliates and parent company. </w:t>
      </w:r>
    </w:p>
    <w:p w:rsidRPr="00EE7B2A" w:rsidR="00FD173D" w:rsidP="00FD173D" w:rsidRDefault="00FD173D" w14:paraId="39514352" w14:textId="06C021F9">
      <w:r>
        <w:t>F</w:t>
      </w:r>
      <w:r w:rsidRPr="00EE7B2A">
        <w:t xml:space="preserve">or each </w:t>
      </w:r>
      <w:proofErr w:type="gramStart"/>
      <w:r w:rsidRPr="00EE7B2A">
        <w:t>publicly</w:t>
      </w:r>
      <w:r w:rsidR="001F4C35">
        <w:t>-</w:t>
      </w:r>
      <w:r w:rsidRPr="00EE7B2A">
        <w:t>funded</w:t>
      </w:r>
      <w:proofErr w:type="gramEnd"/>
      <w:r w:rsidRPr="00EE7B2A">
        <w:t xml:space="preserve"> broadband project, </w:t>
      </w:r>
      <w:r>
        <w:t>ADECA</w:t>
      </w:r>
      <w:r w:rsidRPr="00EE7B2A">
        <w:t xml:space="preserve"> will require Prequalification Phase participants to provide: </w:t>
      </w:r>
    </w:p>
    <w:p w:rsidR="00744B05" w:rsidP="00744B05" w:rsidRDefault="00744B05" w14:paraId="0C6F2AE4" w14:textId="77777777">
      <w:pPr>
        <w:pStyle w:val="ListParagraph"/>
        <w:numPr>
          <w:ilvl w:val="0"/>
          <w:numId w:val="89"/>
        </w:numPr>
      </w:pPr>
      <w:r>
        <w:t>T</w:t>
      </w:r>
      <w:r w:rsidR="000646F7">
        <w:t>he speed and latency of the broadband service to be provided (as measured and/or reported under the applicable rules)</w:t>
      </w:r>
    </w:p>
    <w:p w:rsidR="00744B05" w:rsidP="00744B05" w:rsidRDefault="00744B05" w14:paraId="1409867F" w14:textId="77777777">
      <w:pPr>
        <w:pStyle w:val="ListParagraph"/>
        <w:numPr>
          <w:ilvl w:val="0"/>
          <w:numId w:val="89"/>
        </w:numPr>
      </w:pPr>
      <w:r>
        <w:t>T</w:t>
      </w:r>
      <w:r w:rsidR="000646F7">
        <w:t>he geographic area to be</w:t>
      </w:r>
      <w:r>
        <w:t xml:space="preserve"> covered</w:t>
      </w:r>
    </w:p>
    <w:p w:rsidR="00F64756" w:rsidP="00744B05" w:rsidRDefault="00744B05" w14:paraId="69C8162A" w14:textId="76D5E4DE">
      <w:pPr>
        <w:pStyle w:val="ListParagraph"/>
        <w:numPr>
          <w:ilvl w:val="0"/>
          <w:numId w:val="89"/>
        </w:numPr>
      </w:pPr>
      <w:r>
        <w:t xml:space="preserve">The number of unserved and underserved locations </w:t>
      </w:r>
      <w:r w:rsidR="00994586">
        <w:t xml:space="preserve">that the </w:t>
      </w:r>
      <w:r w:rsidR="00DA749E">
        <w:t xml:space="preserve">subgrantee </w:t>
      </w:r>
      <w:r>
        <w:t>committed to serve (or, if the commitment is to serve a percentage of locations within the specified geographic area, the relevant percentage)</w:t>
      </w:r>
    </w:p>
    <w:p w:rsidR="00F64756" w:rsidP="00744B05" w:rsidRDefault="00F64756" w14:paraId="1E4C0321" w14:textId="77777777">
      <w:pPr>
        <w:pStyle w:val="ListParagraph"/>
        <w:numPr>
          <w:ilvl w:val="0"/>
          <w:numId w:val="89"/>
        </w:numPr>
      </w:pPr>
      <w:r>
        <w:t>T</w:t>
      </w:r>
      <w:r w:rsidR="00744B05">
        <w:t>he amount of public funding to be used</w:t>
      </w:r>
    </w:p>
    <w:p w:rsidR="00F64756" w:rsidP="00744B05" w:rsidRDefault="00F64756" w14:paraId="6907B1DE" w14:textId="77777777">
      <w:pPr>
        <w:pStyle w:val="ListParagraph"/>
        <w:numPr>
          <w:ilvl w:val="0"/>
          <w:numId w:val="89"/>
        </w:numPr>
      </w:pPr>
      <w:r>
        <w:t>T</w:t>
      </w:r>
      <w:r w:rsidR="00744B05">
        <w:t>he cost of service to the consumer</w:t>
      </w:r>
    </w:p>
    <w:p w:rsidRPr="004B46FE" w:rsidR="00D420F6" w:rsidP="00BD2B13" w:rsidRDefault="00F64756" w14:paraId="03D116D2" w14:textId="758981D3">
      <w:pPr>
        <w:pStyle w:val="ListParagraph"/>
        <w:numPr>
          <w:ilvl w:val="0"/>
          <w:numId w:val="89"/>
        </w:numPr>
      </w:pPr>
      <w:r>
        <w:t>T</w:t>
      </w:r>
      <w:r w:rsidR="00744B05">
        <w:t xml:space="preserve">he matching commitment, if any, provided by the </w:t>
      </w:r>
      <w:r w:rsidR="00DA749E">
        <w:t>subgrantee</w:t>
      </w:r>
      <w:r w:rsidR="00744B05">
        <w:t xml:space="preserve"> or its affiliates</w:t>
      </w:r>
      <w:r w:rsidR="00D420F6">
        <w:br w:type="page"/>
      </w:r>
    </w:p>
    <w:p w:rsidR="00DC4FE5" w:rsidP="00D824CB" w:rsidRDefault="00DC4FE5" w14:paraId="2C259FFD" w14:textId="32E4850D">
      <w:pPr>
        <w:pStyle w:val="Heading1"/>
      </w:pPr>
      <w:bookmarkStart w:name="_Toc150852650" w:id="155"/>
      <w:r>
        <w:t>Non-deployment subgrantee selection (Requirement 9)</w:t>
      </w:r>
      <w:bookmarkEnd w:id="155"/>
    </w:p>
    <w:p w:rsidR="00DC4FE5" w:rsidP="00CB6BE1" w:rsidRDefault="00DC4FE5" w14:paraId="3A776DF3" w14:textId="50BF522F">
      <w:r>
        <w:t xml:space="preserve">This section </w:t>
      </w:r>
      <w:r w:rsidR="00CB6BE1">
        <w:t>outlines non-deployment eligible activities ADECA may support using BEAD Program funds</w:t>
      </w:r>
      <w:r>
        <w:t xml:space="preserve">. </w:t>
      </w:r>
    </w:p>
    <w:p w:rsidR="00174BA6" w:rsidP="00174BA6" w:rsidRDefault="00174BA6" w14:paraId="313D3660" w14:textId="77777777">
      <w:r>
        <w:t xml:space="preserve">At this time, </w:t>
      </w:r>
      <w:r w:rsidR="0017490F">
        <w:t>ADECA does not anticipate having non-deployment subgrantees</w:t>
      </w:r>
      <w:r>
        <w:t xml:space="preserve"> based on its internal modeling. If, however, ADECA has additional BEAD funds available after provisionally awarding grants for broadband deployment to all unserved/underserved locations and eligible CAIs, it will plan to fund non-deployment activities consistent with the BEAD NOFO.</w:t>
      </w:r>
      <w:r>
        <w:rPr>
          <w:rStyle w:val="FootnoteReference"/>
        </w:rPr>
        <w:footnoteReference w:id="58"/>
      </w:r>
      <w:r>
        <w:t xml:space="preserve"> Specifically, ADECA would consider non-deployment projects as outlined in the Five-Year Action Plan to support workforce development efforts and provide opportunities for Alabamians to achieve digital skills, improve secure online privacy and cybersecurity, gain access to affordable consumer devices and technical support for those devices, and develop and strengthen partnerships with and between entities that support digital opportunity.</w:t>
      </w:r>
      <w:r>
        <w:rPr>
          <w:rStyle w:val="FootnoteReference"/>
        </w:rPr>
        <w:footnoteReference w:id="59"/>
      </w:r>
      <w:r>
        <w:t xml:space="preserve"> However, consistent with the BEAD NOFO, ADECA also will consider supporting additional nondeployment activities related to the following:</w:t>
      </w:r>
    </w:p>
    <w:p w:rsidR="00174BA6" w:rsidP="00174BA6" w:rsidRDefault="00174BA6" w14:paraId="145BBF71" w14:textId="77777777">
      <w:pPr>
        <w:pStyle w:val="ListParagraph"/>
        <w:numPr>
          <w:ilvl w:val="0"/>
          <w:numId w:val="91"/>
        </w:numPr>
        <w:spacing w:after="200"/>
      </w:pPr>
      <w:r>
        <w:t>User training with respect to cybersecurity, privacy, and other digital safety matters</w:t>
      </w:r>
    </w:p>
    <w:p w:rsidR="00174BA6" w:rsidP="00174BA6" w:rsidRDefault="00174BA6" w14:paraId="1ECC1F3B" w14:textId="330E7A80">
      <w:pPr>
        <w:pStyle w:val="ListParagraph"/>
        <w:numPr>
          <w:ilvl w:val="0"/>
          <w:numId w:val="91"/>
        </w:numPr>
        <w:spacing w:after="200"/>
      </w:pPr>
      <w:r>
        <w:t>Remote learning or telehealth services/facilities</w:t>
      </w:r>
    </w:p>
    <w:p w:rsidR="00174BA6" w:rsidP="00174BA6" w:rsidRDefault="00174BA6" w14:paraId="17D6D15C" w14:textId="0C56B548">
      <w:pPr>
        <w:pStyle w:val="ListParagraph"/>
        <w:numPr>
          <w:ilvl w:val="0"/>
          <w:numId w:val="91"/>
        </w:numPr>
        <w:spacing w:after="200"/>
      </w:pPr>
      <w:r>
        <w:t>Digital skills (from beginner level to advanced)</w:t>
      </w:r>
    </w:p>
    <w:p w:rsidR="00174BA6" w:rsidP="00174BA6" w:rsidRDefault="00174BA6" w14:paraId="272A6F5F" w14:textId="047B4232">
      <w:pPr>
        <w:pStyle w:val="ListParagraph"/>
        <w:numPr>
          <w:ilvl w:val="0"/>
          <w:numId w:val="91"/>
        </w:numPr>
        <w:spacing w:after="200"/>
      </w:pPr>
      <w:r>
        <w:t>Computer science, coding, and cybersecurity education programs</w:t>
      </w:r>
    </w:p>
    <w:p w:rsidR="00174BA6" w:rsidP="00174BA6" w:rsidRDefault="00174BA6" w14:paraId="21FF44CA" w14:textId="1E817D94">
      <w:pPr>
        <w:pStyle w:val="ListParagraph"/>
        <w:numPr>
          <w:ilvl w:val="0"/>
          <w:numId w:val="91"/>
        </w:numPr>
        <w:spacing w:after="200"/>
      </w:pPr>
      <w:r>
        <w:t>Implementation of Alabama Statewide Digital Opportunity Plan activities (to supplement, but not to duplicate or supplant, planning grant funds received by ADECA in connection with the Digital Equity Act of 2021)</w:t>
      </w:r>
    </w:p>
    <w:p w:rsidR="00174BA6" w:rsidP="00174BA6" w:rsidRDefault="00174BA6" w14:paraId="58FEB27A" w14:textId="561B2F6E">
      <w:pPr>
        <w:pStyle w:val="ListParagraph"/>
        <w:numPr>
          <w:ilvl w:val="0"/>
          <w:numId w:val="91"/>
        </w:numPr>
        <w:spacing w:after="200"/>
      </w:pPr>
      <w:r>
        <w:t>Broadband sign-up assistance and programs that provide technology support</w:t>
      </w:r>
    </w:p>
    <w:p w:rsidR="00174BA6" w:rsidP="00174BA6" w:rsidRDefault="00174BA6" w14:paraId="3E11DBE5" w14:textId="0DA40A6D">
      <w:pPr>
        <w:pStyle w:val="ListParagraph"/>
        <w:numPr>
          <w:ilvl w:val="0"/>
          <w:numId w:val="91"/>
        </w:numPr>
        <w:spacing w:after="200"/>
      </w:pPr>
      <w:r>
        <w:t>Multi-lingual outreach to support adoption and digital skills</w:t>
      </w:r>
    </w:p>
    <w:p w:rsidR="00174BA6" w:rsidP="00174BA6" w:rsidRDefault="00174BA6" w14:paraId="4E2DB768" w14:textId="255FB259">
      <w:pPr>
        <w:pStyle w:val="ListParagraph"/>
        <w:numPr>
          <w:ilvl w:val="0"/>
          <w:numId w:val="91"/>
        </w:numPr>
        <w:spacing w:after="200"/>
      </w:pPr>
      <w:r>
        <w:t>Prisoner education</w:t>
      </w:r>
      <w:r w:rsidR="002E0751">
        <w:t>, for example</w:t>
      </w:r>
      <w:r>
        <w:t xml:space="preserve"> to promote pre-release digital skills, job skills, </w:t>
      </w:r>
      <w:r w:rsidR="002E0751">
        <w:t xml:space="preserve">and </w:t>
      </w:r>
      <w:r>
        <w:t>online job acquisition skills</w:t>
      </w:r>
    </w:p>
    <w:p w:rsidR="00174BA6" w:rsidP="00174BA6" w:rsidRDefault="00174BA6" w14:paraId="4AE1FB1B" w14:textId="52D4B382">
      <w:pPr>
        <w:pStyle w:val="ListParagraph"/>
        <w:numPr>
          <w:ilvl w:val="0"/>
          <w:numId w:val="91"/>
        </w:numPr>
        <w:spacing w:after="200"/>
      </w:pPr>
      <w:r>
        <w:t>Digital navigators</w:t>
      </w:r>
    </w:p>
    <w:p w:rsidR="00174BA6" w:rsidP="00174BA6" w:rsidRDefault="00174BA6" w14:paraId="5A6B0AFB" w14:textId="71CE5A27">
      <w:pPr>
        <w:pStyle w:val="ListParagraph"/>
        <w:numPr>
          <w:ilvl w:val="0"/>
          <w:numId w:val="91"/>
        </w:numPr>
        <w:spacing w:after="200"/>
      </w:pPr>
      <w:r>
        <w:t>Direct subsidies for use toward broadband subscription, where ADECA shows the subsidies will improve affordability for the end user population (and to supplement, but not to duplicate or supplant, the subsidies provided by the ACP)</w:t>
      </w:r>
    </w:p>
    <w:p w:rsidR="00174BA6" w:rsidP="00174BA6" w:rsidRDefault="00174BA6" w14:paraId="579126A9" w14:textId="64797196">
      <w:pPr>
        <w:pStyle w:val="ListParagraph"/>
        <w:numPr>
          <w:ilvl w:val="0"/>
          <w:numId w:val="91"/>
        </w:numPr>
        <w:spacing w:after="200"/>
      </w:pPr>
      <w:r>
        <w:t>Costs associated with outreach and engagement, including travel, capacity-building, or contract support</w:t>
      </w:r>
    </w:p>
    <w:p w:rsidR="00174BA6" w:rsidP="00174BA6" w:rsidRDefault="00174BA6" w14:paraId="65C3E8AF" w14:textId="162D90DD">
      <w:pPr>
        <w:pStyle w:val="ListParagraph"/>
        <w:numPr>
          <w:ilvl w:val="0"/>
          <w:numId w:val="91"/>
        </w:numPr>
        <w:spacing w:after="200"/>
      </w:pPr>
      <w:r>
        <w:t>Targeted projects to support broadband access for rural businesses in such categories as agriculture and forestry. This use of funds aligns with the goals of the Innovation and Small Business Act, which is Play 3 of</w:t>
      </w:r>
      <w:r w:rsidR="0017490F">
        <w:t xml:space="preserve"> The </w:t>
      </w:r>
      <w:r>
        <w:t>Game Plan legislation signed into law by Alabam</w:t>
      </w:r>
      <w:r w:rsidR="004830B5">
        <w:t>a</w:t>
      </w:r>
      <w:r>
        <w:t xml:space="preserve"> Governor Kay Ivey in April of 2023.</w:t>
      </w:r>
      <w:r>
        <w:rPr>
          <w:rStyle w:val="FootnoteReference"/>
        </w:rPr>
        <w:footnoteReference w:id="60"/>
      </w:r>
    </w:p>
    <w:p w:rsidR="004830B5" w:rsidP="004830B5" w:rsidRDefault="004830B5" w14:paraId="41CE1B64" w14:textId="63108C58">
      <w:pPr>
        <w:pStyle w:val="ListParagraph"/>
        <w:numPr>
          <w:ilvl w:val="0"/>
          <w:numId w:val="91"/>
        </w:numPr>
        <w:spacing w:after="200"/>
      </w:pPr>
      <w:r>
        <w:t>Other allowable costs necessary to carrying out programmatic activities of an award, not to include ineligible costs described in Section V.H.2 of the BEAD NOFO</w:t>
      </w:r>
    </w:p>
    <w:p w:rsidR="0017490F" w:rsidP="0017490F" w:rsidRDefault="00AA59CE" w14:paraId="3F049581" w14:textId="65ABFEE6">
      <w:r>
        <w:t xml:space="preserve">ADECA </w:t>
      </w:r>
      <w:r w:rsidR="0017490F">
        <w:t xml:space="preserve">has a limited window to run the state challenge process and select deployment grants in order to prepare its Final Proposal for public comment and review before submitting it to NTIA. NTIA has provided 365 days to complete this work. Given these time constraints, </w:t>
      </w:r>
      <w:r w:rsidR="00504450">
        <w:t>ADECA</w:t>
      </w:r>
      <w:r w:rsidDel="00504450" w:rsidR="0017490F">
        <w:t xml:space="preserve"> </w:t>
      </w:r>
      <w:r w:rsidR="0017490F">
        <w:t xml:space="preserve">anticipates that it may need to use a faster process to support any workforce or </w:t>
      </w:r>
      <w:r w:rsidR="00330958">
        <w:t>d</w:t>
      </w:r>
      <w:r w:rsidRPr="00CD0FD0" w:rsidR="00CD0FD0">
        <w:t xml:space="preserve">igital </w:t>
      </w:r>
      <w:r w:rsidR="00330958">
        <w:t>o</w:t>
      </w:r>
      <w:r w:rsidRPr="00CD0FD0" w:rsidR="00CD0FD0">
        <w:t>pportunity</w:t>
      </w:r>
      <w:r w:rsidR="0017490F">
        <w:t xml:space="preserve">-related non-deployment activities any remaining funds. This means that </w:t>
      </w:r>
      <w:r w:rsidR="009876D0">
        <w:t>ADECA</w:t>
      </w:r>
      <w:r w:rsidDel="009876D0" w:rsidR="0017490F">
        <w:t xml:space="preserve"> </w:t>
      </w:r>
      <w:r w:rsidR="0017490F">
        <w:t xml:space="preserve">may need to engage in any non-deployment activities directly through </w:t>
      </w:r>
      <w:r>
        <w:t>ADECA</w:t>
      </w:r>
      <w:r w:rsidR="0017490F">
        <w:t xml:space="preserve">, its contractors. or other </w:t>
      </w:r>
      <w:r w:rsidR="004625F1">
        <w:t>s</w:t>
      </w:r>
      <w:r w:rsidR="0017490F">
        <w:t>tate offices.</w:t>
      </w:r>
      <w:r w:rsidR="00F12E30">
        <w:t xml:space="preserve"> </w:t>
      </w:r>
    </w:p>
    <w:p w:rsidRPr="000D059E" w:rsidR="003D1EFA" w:rsidP="0017490F" w:rsidRDefault="0017490F" w14:paraId="23B33008" w14:textId="31AEE217">
      <w:r>
        <w:t xml:space="preserve">As </w:t>
      </w:r>
      <w:r w:rsidR="00AA59CE">
        <w:t>ADECA</w:t>
      </w:r>
      <w:r>
        <w:t xml:space="preserve"> runs its </w:t>
      </w:r>
      <w:r w:rsidR="0055519A">
        <w:t xml:space="preserve">broadband deployment </w:t>
      </w:r>
      <w:r>
        <w:t>subgrant</w:t>
      </w:r>
      <w:r w:rsidR="0055519A">
        <w:t>ee</w:t>
      </w:r>
      <w:r>
        <w:t xml:space="preserve"> selection process, it will monitor the remaining funds closely. If </w:t>
      </w:r>
      <w:r w:rsidR="00AA59CE">
        <w:t xml:space="preserve">ADECA </w:t>
      </w:r>
      <w:r>
        <w:t xml:space="preserve">determines that it may have funds remaining, it will begin planning and preparing a fulsome non-deployment </w:t>
      </w:r>
      <w:r w:rsidRPr="00957EE5" w:rsidR="00957EE5">
        <w:t xml:space="preserve">activity </w:t>
      </w:r>
      <w:r>
        <w:t xml:space="preserve">plan to submit as part of its Final Proposal. </w:t>
      </w:r>
    </w:p>
    <w:p w:rsidR="00A364F2" w:rsidRDefault="00A364F2" w14:paraId="486BBD0C" w14:textId="77777777">
      <w:pPr>
        <w:jc w:val="left"/>
        <w:rPr>
          <w:rFonts w:ascii="Georgia" w:hAnsi="Georgia" w:eastAsiaTheme="majorEastAsia" w:cstheme="majorBidi"/>
          <w:b/>
          <w:bCs/>
          <w:color w:val="242451"/>
          <w:sz w:val="28"/>
          <w:szCs w:val="28"/>
        </w:rPr>
      </w:pPr>
      <w:r>
        <w:br w:type="page"/>
      </w:r>
    </w:p>
    <w:p w:rsidR="003D1EFA" w:rsidP="006F78D2" w:rsidRDefault="003D1EFA" w14:paraId="6CD61163" w14:textId="138C1402">
      <w:pPr>
        <w:pStyle w:val="Heading1"/>
      </w:pPr>
      <w:bookmarkStart w:name="_Toc150852651" w:id="156"/>
      <w:r w:rsidRPr="003D1EFA">
        <w:t xml:space="preserve">Eligible Entity </w:t>
      </w:r>
      <w:r>
        <w:t>i</w:t>
      </w:r>
      <w:r w:rsidRPr="003D1EFA">
        <w:t xml:space="preserve">mplementation </w:t>
      </w:r>
      <w:r>
        <w:t>a</w:t>
      </w:r>
      <w:r w:rsidRPr="003D1EFA">
        <w:t>ctivities (Requirement 10)</w:t>
      </w:r>
      <w:bookmarkEnd w:id="156"/>
    </w:p>
    <w:p w:rsidR="00626259" w:rsidP="00320F99" w:rsidRDefault="003D1EFA" w14:paraId="5AF5702A" w14:textId="7A7A0DBA">
      <w:r>
        <w:t>This section</w:t>
      </w:r>
      <w:r w:rsidR="00320F99">
        <w:t xml:space="preserve"> describes initiatives that ADECA, as the Eligible Entity, proposes to implement as the recipient without making a subgrant.</w:t>
      </w:r>
      <w:r w:rsidR="00A816ED">
        <w:t xml:space="preserve"> As explained above in Section 6</w:t>
      </w:r>
      <w:r w:rsidR="004404DD">
        <w:t>,</w:t>
      </w:r>
      <w:r w:rsidR="007D7EB0">
        <w:t xml:space="preserve"> </w:t>
      </w:r>
      <w:r w:rsidR="004404DD">
        <w:t>ADECA does not anticipate having non-deployment subgrantees based on its internal modeling</w:t>
      </w:r>
      <w:r w:rsidR="007D7EB0">
        <w:t xml:space="preserve"> at this time</w:t>
      </w:r>
      <w:r w:rsidR="004404DD">
        <w:t>.</w:t>
      </w:r>
      <w:r w:rsidR="00F13407">
        <w:t xml:space="preserve"> Instead, ADECA anticipates that </w:t>
      </w:r>
      <w:r w:rsidR="006B0780">
        <w:t xml:space="preserve">its BEAD funding allocation will be </w:t>
      </w:r>
      <w:r w:rsidR="00E97836">
        <w:t>used for</w:t>
      </w:r>
      <w:r w:rsidR="00626259">
        <w:t xml:space="preserve"> grants for broadband deployment to </w:t>
      </w:r>
      <w:r w:rsidRPr="00207007" w:rsidR="00207007">
        <w:t xml:space="preserve">unserved, underserved, and </w:t>
      </w:r>
      <w:r w:rsidR="00626259">
        <w:t xml:space="preserve">eligible </w:t>
      </w:r>
      <w:r w:rsidRPr="00207007" w:rsidR="00207007">
        <w:t>CAI locations</w:t>
      </w:r>
      <w:r w:rsidR="00626259">
        <w:t>.</w:t>
      </w:r>
      <w:r w:rsidR="000F6AF0">
        <w:t xml:space="preserve"> </w:t>
      </w:r>
      <w:r w:rsidR="00235713">
        <w:t xml:space="preserve">ADECA will not </w:t>
      </w:r>
      <w:r w:rsidR="00195850">
        <w:t xml:space="preserve">pursue broadband deployment projects without conducting a competitive subgrant </w:t>
      </w:r>
      <w:r w:rsidR="00912E82">
        <w:t xml:space="preserve">selection </w:t>
      </w:r>
      <w:r w:rsidR="00195850">
        <w:t>process</w:t>
      </w:r>
      <w:r w:rsidR="00912E82">
        <w:t xml:space="preserve"> as proposed in Section 5.</w:t>
      </w:r>
    </w:p>
    <w:p w:rsidR="008C0D7C" w:rsidP="00320F99" w:rsidRDefault="00CE4A72" w14:paraId="041D6472" w14:textId="4F3394CA">
      <w:r>
        <w:t xml:space="preserve">However, if ADECA has funds remaining </w:t>
      </w:r>
      <w:r w:rsidR="003B118F">
        <w:t xml:space="preserve">after </w:t>
      </w:r>
      <w:r w:rsidR="007360B3">
        <w:t xml:space="preserve">awarding grants to serve all </w:t>
      </w:r>
      <w:r w:rsidRPr="00207007" w:rsidR="007360B3">
        <w:t xml:space="preserve">unserved, underserved, and </w:t>
      </w:r>
      <w:r w:rsidR="007360B3">
        <w:t xml:space="preserve">eligible </w:t>
      </w:r>
      <w:r w:rsidRPr="00207007" w:rsidR="007360B3">
        <w:t>CAI locations</w:t>
      </w:r>
      <w:r w:rsidR="00740EE4">
        <w:t>, it</w:t>
      </w:r>
      <w:r w:rsidRPr="00207007" w:rsidR="00207007">
        <w:t xml:space="preserve"> may consider implementing non-deployment priorities </w:t>
      </w:r>
      <w:r w:rsidR="00996292">
        <w:t xml:space="preserve">itself or </w:t>
      </w:r>
      <w:r w:rsidRPr="00207007" w:rsidR="00207007">
        <w:t xml:space="preserve">through existing state programs. </w:t>
      </w:r>
      <w:r w:rsidR="00207007">
        <w:t>ADECA</w:t>
      </w:r>
      <w:r w:rsidRPr="00207007" w:rsidR="00207007">
        <w:t xml:space="preserve"> may work with other agencies to support programs that include workforce development related to </w:t>
      </w:r>
      <w:r w:rsidR="00996292">
        <w:t>broadband deployment</w:t>
      </w:r>
      <w:r w:rsidR="005B649C">
        <w:t>,</w:t>
      </w:r>
      <w:r w:rsidR="00996292">
        <w:t xml:space="preserve"> digital opportunity</w:t>
      </w:r>
      <w:r w:rsidRPr="00207007" w:rsidR="00207007">
        <w:t>, or broadband adoption activities</w:t>
      </w:r>
      <w:r w:rsidR="00F07031">
        <w:t xml:space="preserve">. ADECA also </w:t>
      </w:r>
      <w:r w:rsidR="00BE48E5">
        <w:t xml:space="preserve">may use remaining funds to support </w:t>
      </w:r>
      <w:r w:rsidR="0018263A">
        <w:t xml:space="preserve">its </w:t>
      </w:r>
      <w:r w:rsidR="00BB609B">
        <w:t>ongoing</w:t>
      </w:r>
      <w:r w:rsidR="0018263A">
        <w:t xml:space="preserve"> </w:t>
      </w:r>
      <w:r w:rsidRPr="00207007" w:rsidR="00207007">
        <w:t>mapping or data collection</w:t>
      </w:r>
      <w:r w:rsidR="0018263A">
        <w:t xml:space="preserve"> activities</w:t>
      </w:r>
      <w:r w:rsidRPr="00207007" w:rsidR="00207007">
        <w:t xml:space="preserve">. </w:t>
      </w:r>
      <w:r w:rsidR="008C0D7C">
        <w:t xml:space="preserve">Given the limited time to administer the </w:t>
      </w:r>
      <w:r w:rsidR="004625F1">
        <w:t>s</w:t>
      </w:r>
      <w:r w:rsidR="008C0D7C">
        <w:t xml:space="preserve">tate’s challenge process and manage </w:t>
      </w:r>
      <w:r w:rsidR="001A0173">
        <w:t>the subgrantee selection process</w:t>
      </w:r>
      <w:r w:rsidR="008C0D7C">
        <w:t xml:space="preserve"> to maximize BEAD funding to unserved</w:t>
      </w:r>
      <w:r w:rsidR="00B03891">
        <w:t>/</w:t>
      </w:r>
      <w:r w:rsidR="008C0D7C">
        <w:t>underserved locations</w:t>
      </w:r>
      <w:r w:rsidR="00B03891">
        <w:t xml:space="preserve"> and eligible CAIs</w:t>
      </w:r>
      <w:r w:rsidR="008C0D7C">
        <w:t xml:space="preserve">, </w:t>
      </w:r>
      <w:r w:rsidR="00B03891">
        <w:t>ADECA</w:t>
      </w:r>
      <w:r w:rsidR="008C0D7C">
        <w:t xml:space="preserve"> is not likely to know if there are remaining funds until late in </w:t>
      </w:r>
      <w:r w:rsidR="00ED3D92">
        <w:t>the</w:t>
      </w:r>
      <w:r w:rsidR="008C0D7C">
        <w:t xml:space="preserve"> Final Proposal process. </w:t>
      </w:r>
    </w:p>
    <w:p w:rsidR="003A5814" w:rsidP="003A5814" w:rsidRDefault="008A3AEA" w14:paraId="5C529852" w14:textId="4876AD52">
      <w:r>
        <w:t>As explained above, ADECA</w:t>
      </w:r>
      <w:r w:rsidR="00BC2514">
        <w:t xml:space="preserve"> has </w:t>
      </w:r>
      <w:r>
        <w:t xml:space="preserve">significant </w:t>
      </w:r>
      <w:r w:rsidR="00BC2514">
        <w:t xml:space="preserve">experience with grant management and oversight. </w:t>
      </w:r>
      <w:r>
        <w:t>Consequently,</w:t>
      </w:r>
      <w:r w:rsidR="00BC2514">
        <w:t xml:space="preserve"> ADECA</w:t>
      </w:r>
      <w:r w:rsidR="003A5814">
        <w:t xml:space="preserve"> plans to implement </w:t>
      </w:r>
      <w:r w:rsidR="00D4193A">
        <w:t xml:space="preserve">key </w:t>
      </w:r>
      <w:r w:rsidR="001A1995">
        <w:t>program administrative and implementation</w:t>
      </w:r>
      <w:r w:rsidR="000C4B7E">
        <w:t xml:space="preserve"> activities without issuing a </w:t>
      </w:r>
      <w:r w:rsidR="003A5814">
        <w:t xml:space="preserve">subgrant. These activities include: </w:t>
      </w:r>
    </w:p>
    <w:p w:rsidR="003A5814" w:rsidP="001B4244" w:rsidRDefault="003A5814" w14:paraId="67AA6D3C" w14:textId="2168B786">
      <w:pPr>
        <w:pStyle w:val="ListParagraph"/>
        <w:numPr>
          <w:ilvl w:val="1"/>
          <w:numId w:val="14"/>
        </w:numPr>
        <w:spacing w:after="200"/>
      </w:pPr>
      <w:r>
        <w:t xml:space="preserve">General administration </w:t>
      </w:r>
      <w:r w:rsidR="004F24E6">
        <w:t xml:space="preserve">and management </w:t>
      </w:r>
      <w:r>
        <w:t>of the BEAD award</w:t>
      </w:r>
    </w:p>
    <w:p w:rsidR="003A5814" w:rsidP="001B4244" w:rsidRDefault="003747A5" w14:paraId="102D82C6" w14:textId="66E5CEAE">
      <w:pPr>
        <w:pStyle w:val="ListParagraph"/>
        <w:numPr>
          <w:ilvl w:val="1"/>
          <w:numId w:val="14"/>
        </w:numPr>
        <w:spacing w:after="200"/>
      </w:pPr>
      <w:r>
        <w:t>Implementation of the state’s challenge process</w:t>
      </w:r>
    </w:p>
    <w:p w:rsidR="003747A5" w:rsidP="001B4244" w:rsidRDefault="003747A5" w14:paraId="6D442DFA" w14:textId="525C3F68">
      <w:pPr>
        <w:pStyle w:val="ListParagraph"/>
        <w:numPr>
          <w:ilvl w:val="1"/>
          <w:numId w:val="14"/>
        </w:numPr>
        <w:spacing w:after="200"/>
      </w:pPr>
      <w:r>
        <w:t xml:space="preserve">Implementation of the </w:t>
      </w:r>
      <w:r w:rsidR="00B22F7C">
        <w:t>state’s subgrantee selection process</w:t>
      </w:r>
    </w:p>
    <w:p w:rsidR="00C214E0" w:rsidP="00C214E0" w:rsidRDefault="00C214E0" w14:paraId="0000D116" w14:textId="6775E7BB">
      <w:pPr>
        <w:pStyle w:val="ListParagraph"/>
        <w:numPr>
          <w:ilvl w:val="1"/>
          <w:numId w:val="14"/>
        </w:numPr>
        <w:spacing w:after="200"/>
      </w:pPr>
      <w:r>
        <w:t>Obtaining software to manage the state’s challenge process and subgrantee selection process</w:t>
      </w:r>
    </w:p>
    <w:p w:rsidRPr="005D731D" w:rsidR="00A364F2" w:rsidP="00D22797" w:rsidRDefault="003A5814" w14:paraId="03CF845D" w14:textId="5FD5CE8E">
      <w:pPr>
        <w:pStyle w:val="ListParagraph"/>
        <w:numPr>
          <w:ilvl w:val="1"/>
          <w:numId w:val="14"/>
        </w:numPr>
        <w:spacing w:after="200"/>
      </w:pPr>
      <w:r>
        <w:t>Overseeing subgrantee compliance</w:t>
      </w:r>
      <w:r w:rsidR="00A364F2">
        <w:br w:type="page"/>
      </w:r>
    </w:p>
    <w:p w:rsidR="009F2094" w:rsidP="006F78D2" w:rsidRDefault="009F2094" w14:paraId="54CBDDBD" w14:textId="3B229197">
      <w:pPr>
        <w:pStyle w:val="Heading1"/>
      </w:pPr>
      <w:bookmarkStart w:name="_Toc150852652" w:id="157"/>
      <w:r w:rsidRPr="009F2094">
        <w:t xml:space="preserve">Labor </w:t>
      </w:r>
      <w:r>
        <w:t>s</w:t>
      </w:r>
      <w:r w:rsidRPr="009F2094">
        <w:t xml:space="preserve">tandards and </w:t>
      </w:r>
      <w:r>
        <w:t>p</w:t>
      </w:r>
      <w:r w:rsidRPr="009F2094">
        <w:t>rotection (Requirement 11)</w:t>
      </w:r>
      <w:bookmarkEnd w:id="157"/>
    </w:p>
    <w:p w:rsidRPr="009F2094" w:rsidR="009F2094" w:rsidP="00081715" w:rsidRDefault="00081715" w14:paraId="0E77A571" w14:textId="5A85F4DA">
      <w:r>
        <w:t>This section explains how ADECA will account for and oversee subgrantee adherence to federal labor and employment laws that mandate minimum safety, wage, anti-discrimination, and other workplace standards for all businesses in the United States.</w:t>
      </w:r>
    </w:p>
    <w:p w:rsidRPr="00651261" w:rsidR="00A661CB" w:rsidP="006F78D2" w:rsidRDefault="00A661CB" w14:paraId="4272B756" w14:textId="64A888DB">
      <w:pPr>
        <w:pStyle w:val="Heading2"/>
        <w:numPr>
          <w:ilvl w:val="1"/>
          <w:numId w:val="22"/>
        </w:numPr>
      </w:pPr>
      <w:bookmarkStart w:name="_Toc146542938" w:id="158"/>
      <w:bookmarkStart w:name="_Toc150852653" w:id="159"/>
      <w:r w:rsidRPr="00651261">
        <w:t xml:space="preserve">Specific information that prospective subgrantees will be required to provide in their applications and how </w:t>
      </w:r>
      <w:r w:rsidR="00B10251">
        <w:t>ADECA</w:t>
      </w:r>
      <w:r w:rsidRPr="00651261">
        <w:t xml:space="preserve"> will weigh that information in its competitive subgrantee selection processes</w:t>
      </w:r>
      <w:bookmarkEnd w:id="158"/>
      <w:bookmarkEnd w:id="159"/>
    </w:p>
    <w:p w:rsidRPr="00A661CB" w:rsidR="00A661CB" w:rsidP="00A661CB" w:rsidRDefault="00C67049" w14:paraId="45F02B0B" w14:textId="49A55020">
      <w:r>
        <w:t xml:space="preserve">As part of the </w:t>
      </w:r>
      <w:r w:rsidR="00405E7A">
        <w:t xml:space="preserve">Prequalification Phase and Scoring Phase application </w:t>
      </w:r>
      <w:r w:rsidRPr="00A661CB" w:rsidR="00A661CB">
        <w:t xml:space="preserve">process, </w:t>
      </w:r>
      <w:r w:rsidR="00D117C6">
        <w:t>ADECA</w:t>
      </w:r>
      <w:r w:rsidRPr="00A661CB" w:rsidR="00A661CB">
        <w:t xml:space="preserve"> will require the following from all </w:t>
      </w:r>
      <w:r w:rsidR="00857A42">
        <w:t>applicants</w:t>
      </w:r>
      <w:r w:rsidRPr="00A661CB" w:rsidR="00A661CB">
        <w:t>:</w:t>
      </w:r>
    </w:p>
    <w:p w:rsidRPr="00A661CB" w:rsidR="00A661CB" w:rsidP="001B4244" w:rsidRDefault="00A661CB" w14:paraId="29B025CE" w14:textId="27794380">
      <w:pPr>
        <w:numPr>
          <w:ilvl w:val="0"/>
          <w:numId w:val="77"/>
        </w:numPr>
      </w:pPr>
      <w:r w:rsidRPr="00A661CB">
        <w:t xml:space="preserve">Certification from an </w:t>
      </w:r>
      <w:r w:rsidR="0068505A">
        <w:t>o</w:t>
      </w:r>
      <w:r w:rsidRPr="00A661CB">
        <w:t>fficer</w:t>
      </w:r>
      <w:r w:rsidR="0068505A">
        <w:t xml:space="preserve"> or d</w:t>
      </w:r>
      <w:r w:rsidRPr="00A661CB">
        <w:t xml:space="preserve">irector-level employee, or an equivalent, of consistent past compliance with federal labor and employment laws on broadband deployment projects in the last three years, including: </w:t>
      </w:r>
    </w:p>
    <w:p w:rsidRPr="00A661CB" w:rsidR="00A661CB" w:rsidP="001B4244" w:rsidRDefault="00A661CB" w14:paraId="65A71D62" w14:textId="77777777">
      <w:pPr>
        <w:numPr>
          <w:ilvl w:val="1"/>
          <w:numId w:val="77"/>
        </w:numPr>
      </w:pPr>
      <w:r w:rsidRPr="00A661CB">
        <w:t xml:space="preserve">Certification that the prospective subgrantee, as well as its contractors and subcontractors, have not been found to have violated laws such as the Occupational Safety and Health Act, the Fair Labor Standards Act, or any other applicable labor and employment laws for the preceding three years, or </w:t>
      </w:r>
    </w:p>
    <w:p w:rsidRPr="00A661CB" w:rsidR="00A661CB" w:rsidP="001B4244" w:rsidRDefault="00A661CB" w14:paraId="63D028A3" w14:textId="6AAAD17E">
      <w:pPr>
        <w:numPr>
          <w:ilvl w:val="1"/>
          <w:numId w:val="77"/>
        </w:numPr>
      </w:pPr>
      <w:r w:rsidRPr="00A661CB">
        <w:t>Disclosure of any findings of such violations</w:t>
      </w:r>
    </w:p>
    <w:p w:rsidRPr="00A661CB" w:rsidR="00A661CB" w:rsidP="001B4244" w:rsidRDefault="00A661CB" w14:paraId="43B3D2BA" w14:textId="77777777">
      <w:pPr>
        <w:numPr>
          <w:ilvl w:val="0"/>
          <w:numId w:val="77"/>
        </w:numPr>
      </w:pPr>
      <w:r w:rsidRPr="00A661CB">
        <w:t>Certification that the potential subgrantee, and its proposed contractors and subcontractors, have existing labor and employment practices in place and that the subgrantee will recertify this annually for the duration of the BEAD implementation period, including:</w:t>
      </w:r>
    </w:p>
    <w:p w:rsidRPr="00A661CB" w:rsidR="00A661CB" w:rsidP="001B4244" w:rsidRDefault="00A661CB" w14:paraId="64A7F76B" w14:textId="77777777">
      <w:pPr>
        <w:numPr>
          <w:ilvl w:val="1"/>
          <w:numId w:val="77"/>
        </w:numPr>
      </w:pPr>
      <w:r w:rsidRPr="00A661CB">
        <w:t>Applicable wage scales and wage and overtime payment practices for each class of employees expected to be involved directly in the physical construction of the network</w:t>
      </w:r>
    </w:p>
    <w:p w:rsidRPr="00A661CB" w:rsidR="00A661CB" w:rsidP="001B4244" w:rsidRDefault="00A661CB" w14:paraId="149890D0" w14:textId="0A54695D">
      <w:pPr>
        <w:numPr>
          <w:ilvl w:val="1"/>
          <w:numId w:val="77"/>
        </w:numPr>
      </w:pPr>
      <w:r w:rsidRPr="00A661CB">
        <w:t>Certification that the potential subgrantee will ensure the implementation of workplace safety committees that are authorized to raise health and safety concerns in connection with the delivery of deployment projects</w:t>
      </w:r>
    </w:p>
    <w:p w:rsidRPr="00A661CB" w:rsidR="00A661CB" w:rsidP="001B4244" w:rsidRDefault="00A661CB" w14:paraId="3BF7BB62" w14:textId="34738BA2">
      <w:pPr>
        <w:numPr>
          <w:ilvl w:val="0"/>
          <w:numId w:val="77"/>
        </w:numPr>
      </w:pPr>
      <w:r w:rsidRPr="00A661CB">
        <w:t>Discussion of the potential subgrantee’s workforce plan, including information on training and safety, job quality, local hire and targeted hire</w:t>
      </w:r>
      <w:r w:rsidR="00C1697A">
        <w:t xml:space="preserve"> preferences</w:t>
      </w:r>
      <w:r w:rsidRPr="00A661CB">
        <w:t>, accountability and subcontracting practices, and ongoing operational workforce</w:t>
      </w:r>
      <w:r w:rsidR="00CE6B2E">
        <w:t xml:space="preserve"> capacity</w:t>
      </w:r>
    </w:p>
    <w:p w:rsidRPr="00A661CB" w:rsidR="00A661CB" w:rsidP="001B4244" w:rsidRDefault="00A661CB" w14:paraId="079594CA" w14:textId="12E2BEB6">
      <w:pPr>
        <w:numPr>
          <w:ilvl w:val="0"/>
          <w:numId w:val="77"/>
        </w:numPr>
      </w:pPr>
      <w:r w:rsidRPr="00A661CB">
        <w:t xml:space="preserve">Discussion of current and planned future practices regarding using a </w:t>
      </w:r>
      <w:proofErr w:type="gramStart"/>
      <w:r w:rsidRPr="00A661CB">
        <w:t>directly</w:t>
      </w:r>
      <w:r w:rsidR="00C55078">
        <w:t>-</w:t>
      </w:r>
      <w:r w:rsidRPr="00A661CB">
        <w:t>employed</w:t>
      </w:r>
      <w:proofErr w:type="gramEnd"/>
      <w:r w:rsidRPr="00A661CB">
        <w:t xml:space="preserve"> workforce, robust in-house training, wages and benefits, and a locally based workforce</w:t>
      </w:r>
    </w:p>
    <w:p w:rsidRPr="00A661CB" w:rsidR="00A661CB" w:rsidP="001B4244" w:rsidRDefault="00A661CB" w14:paraId="2B06E1CF" w14:textId="56B39A42">
      <w:pPr>
        <w:numPr>
          <w:ilvl w:val="0"/>
          <w:numId w:val="77"/>
        </w:numPr>
      </w:pPr>
      <w:r w:rsidRPr="00A661CB">
        <w:t>Current and planned future practice</w:t>
      </w:r>
      <w:r w:rsidR="00A84E41">
        <w:t>s</w:t>
      </w:r>
      <w:r w:rsidRPr="00A661CB">
        <w:t xml:space="preserve"> regarding public disclosure of workforce plans and labor commitments on a website or online portal</w:t>
      </w:r>
    </w:p>
    <w:p w:rsidRPr="00A661CB" w:rsidR="00A661CB" w:rsidP="001B4244" w:rsidRDefault="00A661CB" w14:paraId="3609BAEC" w14:textId="0044283E">
      <w:pPr>
        <w:numPr>
          <w:ilvl w:val="0"/>
          <w:numId w:val="77"/>
        </w:numPr>
      </w:pPr>
      <w:r w:rsidRPr="00A661CB">
        <w:t>Discussion of job quality considerations as part of the applicant’s workforce development strategies</w:t>
      </w:r>
    </w:p>
    <w:p w:rsidRPr="00A661CB" w:rsidR="00A661CB" w:rsidP="001B4244" w:rsidRDefault="00A661CB" w14:paraId="0367595E" w14:textId="488F0F56">
      <w:pPr>
        <w:numPr>
          <w:ilvl w:val="0"/>
          <w:numId w:val="77"/>
        </w:numPr>
      </w:pPr>
      <w:r w:rsidRPr="00A661CB">
        <w:t>Discussion of track record and commitment to maintaining high standards of workplace safety practices, training certification or licensure for all relevant workers, and compliance with state and federal workplace protections</w:t>
      </w:r>
    </w:p>
    <w:p w:rsidRPr="00A661CB" w:rsidR="00A661CB" w:rsidP="001B4244" w:rsidRDefault="00A661CB" w14:paraId="4B92E8B0" w14:textId="58B65DFC">
      <w:pPr>
        <w:numPr>
          <w:ilvl w:val="0"/>
          <w:numId w:val="77"/>
        </w:numPr>
      </w:pPr>
      <w:r w:rsidRPr="00A661CB">
        <w:t>Certification of compliance with relevant workplace protections</w:t>
      </w:r>
      <w:r w:rsidR="008E4F7B">
        <w:t>,</w:t>
      </w:r>
      <w:r w:rsidRPr="00A661CB">
        <w:t xml:space="preserve"> including the Occupational Safety and Health Act, the Fair Labor Standards Act, Title VII of the Civil Rights Act of 1964, and </w:t>
      </w:r>
      <w:r w:rsidR="00027F70">
        <w:t>Alabama</w:t>
      </w:r>
      <w:r w:rsidRPr="00A661CB">
        <w:t xml:space="preserve"> </w:t>
      </w:r>
      <w:r w:rsidR="004625F1">
        <w:t>s</w:t>
      </w:r>
      <w:r w:rsidRPr="00A661CB">
        <w:t>tate labor and employment laws</w:t>
      </w:r>
    </w:p>
    <w:p w:rsidRPr="00A661CB" w:rsidR="00A661CB" w:rsidP="001B4244" w:rsidRDefault="00A661CB" w14:paraId="2E8360D6" w14:textId="280D3DCF">
      <w:pPr>
        <w:numPr>
          <w:ilvl w:val="0"/>
          <w:numId w:val="77"/>
        </w:numPr>
      </w:pPr>
      <w:r w:rsidRPr="00A661CB">
        <w:t>Discussion of the anticipated size of the workforce required to carry out the proposed work, a description of plans to maximize use of local or regional workforce, and a description of the expected workplace safety standards and training to ensure the project is completed at a high standard</w:t>
      </w:r>
    </w:p>
    <w:p w:rsidRPr="00A661CB" w:rsidR="00A661CB" w:rsidP="00A661CB" w:rsidRDefault="00A661CB" w14:paraId="0126C704" w14:textId="1DB2CA5A">
      <w:r w:rsidRPr="00A661CB">
        <w:t xml:space="preserve">With respect to all materials and information provided, </w:t>
      </w:r>
      <w:r w:rsidR="004F58BD">
        <w:t>ADECA</w:t>
      </w:r>
      <w:r w:rsidRPr="00A661CB">
        <w:t xml:space="preserve"> will review and evaluate the applicant based on the following:</w:t>
      </w:r>
    </w:p>
    <w:p w:rsidRPr="00A661CB" w:rsidR="00A661CB" w:rsidP="006F78D2" w:rsidRDefault="00A661CB" w14:paraId="47AD8CB1" w14:textId="4F389AF3">
      <w:pPr>
        <w:numPr>
          <w:ilvl w:val="0"/>
          <w:numId w:val="13"/>
        </w:numPr>
      </w:pPr>
      <w:r w:rsidRPr="00A661CB">
        <w:t>Completeness</w:t>
      </w:r>
      <w:r w:rsidR="00BE206A">
        <w:t>:</w:t>
      </w:r>
      <w:r w:rsidRPr="00A661CB">
        <w:t xml:space="preserve"> Are the materials complete and fully responsive to the request?</w:t>
      </w:r>
    </w:p>
    <w:p w:rsidRPr="00A661CB" w:rsidR="00A661CB" w:rsidP="006F78D2" w:rsidRDefault="00A661CB" w14:paraId="67FB2A88" w14:textId="2ED8D295">
      <w:pPr>
        <w:numPr>
          <w:ilvl w:val="0"/>
          <w:numId w:val="13"/>
        </w:numPr>
      </w:pPr>
      <w:r w:rsidRPr="00A661CB">
        <w:t>Sufficiency</w:t>
      </w:r>
      <w:r w:rsidR="00BE206A">
        <w:t>:</w:t>
      </w:r>
      <w:r w:rsidRPr="00A661CB">
        <w:t xml:space="preserve"> Do the materials demonstrate the appropriate level of compliance and adherence to the standards and statutes?</w:t>
      </w:r>
    </w:p>
    <w:p w:rsidRPr="00A661CB" w:rsidR="00A661CB" w:rsidP="006F78D2" w:rsidRDefault="00A661CB" w14:paraId="299B8C9B" w14:textId="3E61C81C">
      <w:pPr>
        <w:numPr>
          <w:ilvl w:val="0"/>
          <w:numId w:val="13"/>
        </w:numPr>
      </w:pPr>
      <w:r w:rsidRPr="00A661CB">
        <w:t>Concerns</w:t>
      </w:r>
      <w:r w:rsidR="00BE206A">
        <w:t>:</w:t>
      </w:r>
      <w:r w:rsidRPr="00A661CB">
        <w:t xml:space="preserve"> Are there any omissions or other indications that raise concerns about the potential subgrantee’</w:t>
      </w:r>
      <w:r w:rsidR="00A51880">
        <w:t>s</w:t>
      </w:r>
      <w:r w:rsidRPr="00A661CB">
        <w:t>, or its contractors’ and subcontractors’, track record and commitment</w:t>
      </w:r>
      <w:r w:rsidR="007D6D2C">
        <w:t>s</w:t>
      </w:r>
      <w:r w:rsidRPr="00A661CB">
        <w:t xml:space="preserve"> to the standards or statutes?</w:t>
      </w:r>
    </w:p>
    <w:p w:rsidRPr="00A661CB" w:rsidR="00A661CB" w:rsidP="00A661CB" w:rsidRDefault="00A661CB" w14:paraId="4F6DF10C" w14:textId="2E3679CE">
      <w:r w:rsidRPr="00A661CB">
        <w:t xml:space="preserve">Based on </w:t>
      </w:r>
      <w:r w:rsidR="00DE7844">
        <w:t>ADECA</w:t>
      </w:r>
      <w:r w:rsidRPr="00A661CB">
        <w:t xml:space="preserve">’s evaluation of these considerations, the applications will be placed into two categories: (1) for those </w:t>
      </w:r>
      <w:r w:rsidR="002D7BA3">
        <w:t>application</w:t>
      </w:r>
      <w:r w:rsidR="00305FE6">
        <w:t>s</w:t>
      </w:r>
      <w:r w:rsidRPr="00A661CB">
        <w:t xml:space="preserve"> that are deemed complete and sufficient and do not raise any concerns, points will be awarded pursuant to the scoring rubric; (2) for those applications that raise concerns based on omissions or other indications, </w:t>
      </w:r>
      <w:r w:rsidR="00651261">
        <w:t>ADECA</w:t>
      </w:r>
      <w:r w:rsidRPr="00A661CB">
        <w:t xml:space="preserve"> will provide clarifying questions to the applicant in writing while affording seven calendar days for the applicant to respond and, upon receipt of the responses, award points pursuant to the scoring rubric. </w:t>
      </w:r>
    </w:p>
    <w:p w:rsidRPr="00A661CB" w:rsidR="00A661CB" w:rsidP="006F78D2" w:rsidRDefault="00A661CB" w14:paraId="47C531ED" w14:textId="6A8998F4">
      <w:pPr>
        <w:pStyle w:val="Heading2"/>
        <w:numPr>
          <w:ilvl w:val="1"/>
          <w:numId w:val="22"/>
        </w:numPr>
      </w:pPr>
      <w:bookmarkStart w:name="_Toc146542939" w:id="160"/>
      <w:bookmarkStart w:name="_Toc150852654" w:id="161"/>
      <w:r w:rsidRPr="00A661CB">
        <w:t xml:space="preserve">Binding legal commitments in subgrants related to labor standards and </w:t>
      </w:r>
      <w:bookmarkEnd w:id="160"/>
      <w:r w:rsidRPr="00A661CB">
        <w:t>protection</w:t>
      </w:r>
      <w:r w:rsidR="0002798A">
        <w:t>s</w:t>
      </w:r>
      <w:bookmarkEnd w:id="161"/>
    </w:p>
    <w:p w:rsidRPr="00EB6F19" w:rsidR="00EB6F19" w:rsidP="00EB6F19" w:rsidRDefault="00EB6F19" w14:paraId="159D16C9" w14:textId="4C2422A9">
      <w:r w:rsidRPr="00EB6F19">
        <w:t xml:space="preserve">Following an award, successful </w:t>
      </w:r>
      <w:r w:rsidR="00B74735">
        <w:t>a</w:t>
      </w:r>
      <w:r w:rsidRPr="00EB6F19">
        <w:t xml:space="preserve">pplicants will be required to submit ongoing workforce reports which shall be incorporated as material conditions of their subgrant </w:t>
      </w:r>
      <w:r w:rsidR="00D87EDA">
        <w:t>agreements with</w:t>
      </w:r>
      <w:r w:rsidRPr="00EB6F19">
        <w:t xml:space="preserve"> </w:t>
      </w:r>
      <w:r>
        <w:t>ADECA</w:t>
      </w:r>
      <w:r w:rsidRPr="00EB6F19">
        <w:t xml:space="preserve">. The </w:t>
      </w:r>
      <w:r w:rsidR="00D87EDA">
        <w:t>a</w:t>
      </w:r>
      <w:r w:rsidRPr="00EB6F19">
        <w:t xml:space="preserve">pplicants’ representations in the </w:t>
      </w:r>
      <w:r w:rsidR="00950A34">
        <w:t>w</w:t>
      </w:r>
      <w:r w:rsidRPr="00EB6F19">
        <w:t xml:space="preserve">orkforce </w:t>
      </w:r>
      <w:r w:rsidR="00950A34">
        <w:t>p</w:t>
      </w:r>
      <w:r w:rsidRPr="00EB6F19">
        <w:t>lan section of their application will become binding commitments upon award of a subgrant, and the subgrantees will be subject to regular reviews to ensure compliance</w:t>
      </w:r>
      <w:r w:rsidR="00D87EDA">
        <w:t xml:space="preserve"> as part of ADECA’s post-award monitoring process</w:t>
      </w:r>
      <w:r w:rsidRPr="00EB6F19">
        <w:t xml:space="preserve">. </w:t>
      </w:r>
    </w:p>
    <w:p w:rsidRPr="00EB6F19" w:rsidR="00EB6F19" w:rsidP="00EB6F19" w:rsidRDefault="00EB6F19" w14:paraId="467FCC86" w14:textId="53F9C481">
      <w:r w:rsidRPr="00EB6F19">
        <w:t xml:space="preserve">In the event that successful applicants fail to meet </w:t>
      </w:r>
      <w:r w:rsidR="00950A34">
        <w:t>p</w:t>
      </w:r>
      <w:r w:rsidRPr="00EB6F19">
        <w:t xml:space="preserve">rogram </w:t>
      </w:r>
      <w:r w:rsidR="00950A34">
        <w:t>r</w:t>
      </w:r>
      <w:r w:rsidRPr="00EB6F19">
        <w:t xml:space="preserve">equirements or </w:t>
      </w:r>
      <w:r w:rsidR="00950A34">
        <w:t>w</w:t>
      </w:r>
      <w:r w:rsidRPr="00EB6F19">
        <w:t xml:space="preserve">orkforce </w:t>
      </w:r>
      <w:r w:rsidR="00950A34">
        <w:t>p</w:t>
      </w:r>
      <w:r w:rsidRPr="00EB6F19">
        <w:t xml:space="preserve">lan </w:t>
      </w:r>
      <w:r w:rsidR="00950A34">
        <w:t>d</w:t>
      </w:r>
      <w:r w:rsidRPr="00EB6F19">
        <w:t xml:space="preserve">ata requirements, or otherwise falsify information regarding such requirements, </w:t>
      </w:r>
      <w:r>
        <w:t>ADECA</w:t>
      </w:r>
      <w:r w:rsidRPr="00EB6F19">
        <w:t xml:space="preserve"> shall investigate the failure and issue an appropriate action </w:t>
      </w:r>
      <w:r w:rsidR="00950A34">
        <w:t>in accordance with applicable</w:t>
      </w:r>
      <w:r w:rsidRPr="00EB6F19">
        <w:t xml:space="preserve"> law.</w:t>
      </w:r>
    </w:p>
    <w:p w:rsidRPr="00EB6F19" w:rsidR="00EB6F19" w:rsidP="00EB6F19" w:rsidRDefault="00EB6F19" w14:paraId="2FD610AA" w14:textId="4B87CBEA">
      <w:r w:rsidRPr="00EB6F19">
        <w:t xml:space="preserve">To encourage public confidence in the program, </w:t>
      </w:r>
      <w:r w:rsidR="00950A34">
        <w:t>a</w:t>
      </w:r>
      <w:r w:rsidRPr="00EB6F19">
        <w:t xml:space="preserve">pplicants’ disclosures responding to the workforce criteria will be publicly available on </w:t>
      </w:r>
      <w:r>
        <w:t>ADECA’s</w:t>
      </w:r>
      <w:r w:rsidRPr="00EB6F19">
        <w:t xml:space="preserve"> website.</w:t>
      </w:r>
    </w:p>
    <w:p w:rsidRPr="00EB6F19" w:rsidR="00EB6F19" w:rsidP="00EB6F19" w:rsidRDefault="00EB6F19" w14:paraId="424A1762" w14:textId="191FF03E">
      <w:r w:rsidRPr="00EB6F19">
        <w:t>Subgrantees shall be required to provide</w:t>
      </w:r>
      <w:r w:rsidR="00F27811">
        <w:t>,</w:t>
      </w:r>
      <w:r w:rsidRPr="00EB6F19">
        <w:t xml:space="preserve"> in regular reports</w:t>
      </w:r>
      <w:r w:rsidR="00F27811">
        <w:t>,</w:t>
      </w:r>
      <w:r w:rsidRPr="00EB6F19">
        <w:t xml:space="preserve"> the information</w:t>
      </w:r>
      <w:r w:rsidR="086FD689">
        <w:t xml:space="preserve"> below</w:t>
      </w:r>
      <w:r>
        <w:t>.</w:t>
      </w:r>
      <w:r w:rsidRPr="00EB6F19">
        <w:t xml:space="preserve"> This information may be anonymized and aggregated to protect individual privacy:</w:t>
      </w:r>
    </w:p>
    <w:p w:rsidRPr="00EB6F19" w:rsidR="00EB6F19" w:rsidP="006F78D2" w:rsidRDefault="00EB6F19" w14:paraId="2F6FEB56" w14:textId="53CE6ABC">
      <w:pPr>
        <w:numPr>
          <w:ilvl w:val="0"/>
          <w:numId w:val="47"/>
        </w:numPr>
      </w:pPr>
      <w:r w:rsidRPr="00EB6F19">
        <w:t xml:space="preserve">Whether the workforce will be directly employed by the </w:t>
      </w:r>
      <w:r w:rsidR="00F04FFE">
        <w:t>sub</w:t>
      </w:r>
      <w:r w:rsidRPr="00EB6F19">
        <w:t>grantee or whether work will be performed by a subcontracted workforce</w:t>
      </w:r>
    </w:p>
    <w:p w:rsidR="004C5BED" w:rsidP="006F78D2" w:rsidRDefault="003D3594" w14:paraId="5A0E8400" w14:textId="19B0055D">
      <w:pPr>
        <w:numPr>
          <w:ilvl w:val="0"/>
          <w:numId w:val="47"/>
        </w:numPr>
      </w:pPr>
      <w:r>
        <w:t xml:space="preserve">Whether the workforce will </w:t>
      </w:r>
      <w:r w:rsidR="00CD2417">
        <w:t>receive</w:t>
      </w:r>
      <w:r>
        <w:t xml:space="preserve"> prevailing wages</w:t>
      </w:r>
      <w:r w:rsidR="00CD2417">
        <w:t xml:space="preserve"> and benefits</w:t>
      </w:r>
      <w:r w:rsidR="004C1590">
        <w:t xml:space="preserve">, including </w:t>
      </w:r>
      <w:r w:rsidR="008F2FF1">
        <w:t xml:space="preserve">whether the subgrantee </w:t>
      </w:r>
      <w:r w:rsidR="00227B96">
        <w:t>intends to</w:t>
      </w:r>
      <w:r w:rsidR="008F2FF1">
        <w:t xml:space="preserve"> comply with </w:t>
      </w:r>
      <w:r w:rsidR="00640C1B">
        <w:t>applicable Davis-Bacon and Service Contract Act requirements</w:t>
      </w:r>
    </w:p>
    <w:p w:rsidR="00E460A2" w:rsidP="006F78D2" w:rsidRDefault="00E460A2" w14:paraId="1583A324" w14:textId="23B9CA7F">
      <w:pPr>
        <w:numPr>
          <w:ilvl w:val="0"/>
          <w:numId w:val="47"/>
        </w:numPr>
      </w:pPr>
      <w:r>
        <w:t>Whether the subgrantee intends to use project labor agreements</w:t>
      </w:r>
      <w:r w:rsidR="002A3D93">
        <w:t>, local hire preferences</w:t>
      </w:r>
      <w:r w:rsidR="00F30289">
        <w:t>, union neutrality commitments</w:t>
      </w:r>
      <w:r w:rsidR="005F4A76">
        <w:t xml:space="preserve">, </w:t>
      </w:r>
      <w:r w:rsidR="00E203CB">
        <w:t>or labor peace agreements</w:t>
      </w:r>
    </w:p>
    <w:p w:rsidRPr="00EB6F19" w:rsidR="00EB6F19" w:rsidP="006F78D2" w:rsidRDefault="00EB6F19" w14:paraId="73A408D2" w14:textId="191F4440">
      <w:pPr>
        <w:numPr>
          <w:ilvl w:val="0"/>
          <w:numId w:val="47"/>
        </w:numPr>
      </w:pPr>
      <w:r w:rsidRPr="00EB6F19">
        <w:t xml:space="preserve">The entities that the </w:t>
      </w:r>
      <w:r w:rsidR="00F04FFE">
        <w:t xml:space="preserve">subgrantee </w:t>
      </w:r>
      <w:r w:rsidRPr="00EB6F19">
        <w:t>plans to subcontract with in carrying out the proposed work, if any</w:t>
      </w:r>
    </w:p>
    <w:p w:rsidRPr="00EB6F19" w:rsidR="00EB6F19" w:rsidP="006F78D2" w:rsidRDefault="00EB6F19" w14:paraId="76F36489" w14:textId="45F18F02">
      <w:pPr>
        <w:numPr>
          <w:ilvl w:val="0"/>
          <w:numId w:val="47"/>
        </w:numPr>
      </w:pPr>
      <w:r w:rsidRPr="00EB6F19">
        <w:t>The job titles and size of the workforce (FTE positions) required to carry out the proposed work over the course of the project</w:t>
      </w:r>
    </w:p>
    <w:p w:rsidRPr="00EB6F19" w:rsidR="00EB6F19" w:rsidP="006F78D2" w:rsidRDefault="00EB6F19" w14:paraId="7264CC89" w14:textId="02D08F04">
      <w:pPr>
        <w:numPr>
          <w:ilvl w:val="0"/>
          <w:numId w:val="47"/>
        </w:numPr>
      </w:pPr>
      <w:r w:rsidRPr="00EB6F19">
        <w:t xml:space="preserve">For each job title required to carry out the proposed work, a description of wages, benefits, applicable wage scales </w:t>
      </w:r>
      <w:r w:rsidR="00CA4220">
        <w:t>(</w:t>
      </w:r>
      <w:r w:rsidRPr="00EB6F19">
        <w:t>including overtime rates</w:t>
      </w:r>
      <w:r w:rsidR="00CA4220">
        <w:t>)</w:t>
      </w:r>
      <w:r w:rsidRPr="00EB6F19">
        <w:t xml:space="preserve"> and a description of how wages are calculated</w:t>
      </w:r>
    </w:p>
    <w:p w:rsidRPr="00A661CB" w:rsidR="00EB6F19" w:rsidP="001B4244" w:rsidRDefault="00EB6F19" w14:paraId="7AD5AEB4" w14:textId="3768A7AA">
      <w:pPr>
        <w:numPr>
          <w:ilvl w:val="0"/>
          <w:numId w:val="47"/>
        </w:numPr>
      </w:pPr>
      <w:r w:rsidRPr="00EB6F19">
        <w:t xml:space="preserve">Any in-house training program, including whether the training program is tied to titles, uniform wage scales, and skill codes recognized in the industry; </w:t>
      </w:r>
      <w:r w:rsidR="004C250E">
        <w:t xml:space="preserve">and </w:t>
      </w:r>
      <w:r w:rsidR="000E28CA">
        <w:t>s</w:t>
      </w:r>
      <w:r w:rsidRPr="00EB6F19">
        <w:t>afety training, certification, and/or licensure requirements, including whether employees are required to have completed OSHA safety training or any training required by law</w:t>
      </w:r>
    </w:p>
    <w:p w:rsidRPr="00A661CB" w:rsidR="00CD2774" w:rsidP="001B4244" w:rsidRDefault="00CD2774" w14:paraId="6DF90AC0" w14:textId="57F9DFA5">
      <w:pPr>
        <w:numPr>
          <w:ilvl w:val="0"/>
          <w:numId w:val="47"/>
        </w:numPr>
      </w:pPr>
      <w:r>
        <w:t>Whether the subgrantee has processes and procedures in place to prevent the misclassification of workers</w:t>
      </w:r>
    </w:p>
    <w:p w:rsidR="00A364F2" w:rsidRDefault="00A364F2" w14:paraId="13BDD505" w14:textId="77777777">
      <w:pPr>
        <w:jc w:val="left"/>
        <w:rPr>
          <w:rFonts w:ascii="Georgia" w:hAnsi="Georgia" w:eastAsiaTheme="majorEastAsia" w:cstheme="majorBidi"/>
          <w:b/>
          <w:bCs/>
          <w:color w:val="242451"/>
          <w:sz w:val="28"/>
          <w:szCs w:val="28"/>
        </w:rPr>
      </w:pPr>
      <w:r>
        <w:br w:type="page"/>
      </w:r>
    </w:p>
    <w:p w:rsidR="00D1227D" w:rsidP="006F78D2" w:rsidRDefault="00D1227D" w14:paraId="5EF07A63" w14:textId="4B1585E1">
      <w:pPr>
        <w:pStyle w:val="Heading1"/>
      </w:pPr>
      <w:bookmarkStart w:name="_Ref148099639" w:id="162"/>
      <w:bookmarkStart w:name="_Toc150852655" w:id="163"/>
      <w:r w:rsidRPr="00D1227D">
        <w:t xml:space="preserve">Workforce </w:t>
      </w:r>
      <w:r>
        <w:t>r</w:t>
      </w:r>
      <w:r w:rsidRPr="00D1227D">
        <w:t>eadiness (Requirement 12)</w:t>
      </w:r>
      <w:bookmarkEnd w:id="162"/>
      <w:bookmarkEnd w:id="163"/>
    </w:p>
    <w:p w:rsidR="00E81CDA" w:rsidP="00E81CDA" w:rsidRDefault="00E81CDA" w14:paraId="5E9D1D79" w14:textId="3D9AD5A3">
      <w:r>
        <w:t xml:space="preserve">Alabama’s success in executing broadband deployments under the </w:t>
      </w:r>
      <w:r w:rsidR="00466DD1">
        <w:t>BEAD Program</w:t>
      </w:r>
      <w:r>
        <w:t xml:space="preserve"> will require unprecedented collaboration across the public, private, and nonprofit sector</w:t>
      </w:r>
      <w:r w:rsidR="00B93E2E">
        <w:t>s</w:t>
      </w:r>
      <w:r>
        <w:t xml:space="preserve">, especially when it comes to fostering a well-trained </w:t>
      </w:r>
      <w:r w:rsidR="00237CB6">
        <w:t>w</w:t>
      </w:r>
      <w:r>
        <w:t xml:space="preserve">orkforce. This section explains how ADECA will ensure an available, diverse, and </w:t>
      </w:r>
      <w:proofErr w:type="gramStart"/>
      <w:r>
        <w:t>highly</w:t>
      </w:r>
      <w:r w:rsidR="00466DD1">
        <w:t>-</w:t>
      </w:r>
      <w:r>
        <w:t>skilled</w:t>
      </w:r>
      <w:proofErr w:type="gramEnd"/>
      <w:r>
        <w:t xml:space="preserve"> workforce</w:t>
      </w:r>
      <w:r w:rsidR="00A906C1">
        <w:t xml:space="preserve"> for project</w:t>
      </w:r>
      <w:r w:rsidR="007642F2">
        <w:t>s</w:t>
      </w:r>
      <w:r w:rsidR="00A906C1">
        <w:t xml:space="preserve"> funded under the BEAD Program</w:t>
      </w:r>
      <w:r>
        <w:t>.</w:t>
      </w:r>
      <w:r w:rsidR="000D0756">
        <w:t xml:space="preserve"> In particular, t</w:t>
      </w:r>
      <w:r>
        <w:t>his section outlines the workforce needs that will be created by the spending on broadband construction under the BEAD Program, outlines the state’s approach to helping foster a robust</w:t>
      </w:r>
      <w:r w:rsidR="00234D27">
        <w:t xml:space="preserve"> and</w:t>
      </w:r>
      <w:r>
        <w:t xml:space="preserve"> diverse workforce, documents how </w:t>
      </w:r>
      <w:r w:rsidR="00826767">
        <w:t>ADECA</w:t>
      </w:r>
      <w:r>
        <w:t xml:space="preserve"> intends to meet the labor and workforce requirements in the BEAD NOFO, and describes how BEAD deployments will benefit and work in concert with the state’s long-term economic development goals. </w:t>
      </w:r>
    </w:p>
    <w:p w:rsidR="00E81CDA" w:rsidP="006F78D2" w:rsidRDefault="00E81CDA" w14:paraId="4C808937" w14:textId="14B71773">
      <w:pPr>
        <w:pStyle w:val="Heading2"/>
        <w:numPr>
          <w:ilvl w:val="1"/>
          <w:numId w:val="23"/>
        </w:numPr>
      </w:pPr>
      <w:bookmarkStart w:name="_Toc150852656" w:id="164"/>
      <w:r>
        <w:t>Establishing a baseline for the broadband construction sector in Alabama</w:t>
      </w:r>
      <w:bookmarkEnd w:id="164"/>
    </w:p>
    <w:p w:rsidR="00E81CDA" w:rsidP="00E81CDA" w:rsidRDefault="00E81CDA" w14:paraId="7A1CF026" w14:textId="0AB86B14">
      <w:r>
        <w:t xml:space="preserve">According to a 2021 Brookings </w:t>
      </w:r>
      <w:r w:rsidR="00582AF2">
        <w:t>Institution</w:t>
      </w:r>
      <w:r>
        <w:t xml:space="preserve"> report</w:t>
      </w:r>
      <w:r w:rsidR="00430F2D">
        <w:t>,</w:t>
      </w:r>
      <w:r w:rsidDel="00826767" w:rsidR="007D161A">
        <w:t xml:space="preserve"> </w:t>
      </w:r>
      <w:r>
        <w:t>the workforce clusters involved in broadband deployment are represented by the following North American Industry Classification System (NAICS) categories:</w:t>
      </w:r>
    </w:p>
    <w:p w:rsidRPr="00BE206A" w:rsidR="00E81CDA" w:rsidP="001B4244" w:rsidRDefault="00E81CDA" w14:paraId="4335D498" w14:textId="77777777">
      <w:pPr>
        <w:numPr>
          <w:ilvl w:val="0"/>
          <w:numId w:val="26"/>
        </w:numPr>
        <w:jc w:val="left"/>
      </w:pPr>
      <w:r w:rsidRPr="00BE206A">
        <w:t xml:space="preserve">Power and Communication Line and Related Structures Construction </w:t>
      </w:r>
    </w:p>
    <w:p w:rsidRPr="00BE206A" w:rsidR="00E81CDA" w:rsidP="001B4244" w:rsidRDefault="00E81CDA" w14:paraId="0329AF8D" w14:textId="77777777">
      <w:pPr>
        <w:numPr>
          <w:ilvl w:val="0"/>
          <w:numId w:val="26"/>
        </w:numPr>
        <w:jc w:val="left"/>
      </w:pPr>
      <w:r w:rsidRPr="00BE206A">
        <w:t>Fiber Optic Cable Manufacturing</w:t>
      </w:r>
    </w:p>
    <w:p w:rsidRPr="00BE206A" w:rsidR="00E81CDA" w:rsidP="001B4244" w:rsidRDefault="00E81CDA" w14:paraId="71407003" w14:textId="77777777">
      <w:pPr>
        <w:numPr>
          <w:ilvl w:val="0"/>
          <w:numId w:val="26"/>
        </w:numPr>
        <w:jc w:val="left"/>
      </w:pPr>
      <w:r w:rsidRPr="00BE206A">
        <w:t>All Other Electrical Equipment and Component Manufacturing</w:t>
      </w:r>
    </w:p>
    <w:p w:rsidRPr="00BE206A" w:rsidR="00E81CDA" w:rsidP="001B4244" w:rsidRDefault="00E81CDA" w14:paraId="50162158" w14:textId="77777777">
      <w:pPr>
        <w:numPr>
          <w:ilvl w:val="0"/>
          <w:numId w:val="26"/>
        </w:numPr>
        <w:jc w:val="left"/>
      </w:pPr>
      <w:r w:rsidRPr="00BE206A">
        <w:t>Cable and Other Subscription Programming</w:t>
      </w:r>
    </w:p>
    <w:p w:rsidRPr="00BE206A" w:rsidR="00E81CDA" w:rsidP="001B4244" w:rsidRDefault="00E81CDA" w14:paraId="7C0A2048" w14:textId="77777777">
      <w:pPr>
        <w:numPr>
          <w:ilvl w:val="0"/>
          <w:numId w:val="26"/>
        </w:numPr>
        <w:jc w:val="left"/>
      </w:pPr>
      <w:r w:rsidRPr="00BE206A">
        <w:t xml:space="preserve">Wired Telecommunications Carriers </w:t>
      </w:r>
    </w:p>
    <w:p w:rsidRPr="00BE206A" w:rsidR="00E81CDA" w:rsidP="006F78D2" w:rsidRDefault="00E81CDA" w14:paraId="2B8558E7" w14:textId="6CBB184D">
      <w:pPr>
        <w:numPr>
          <w:ilvl w:val="0"/>
          <w:numId w:val="26"/>
        </w:numPr>
        <w:jc w:val="left"/>
      </w:pPr>
      <w:r w:rsidRPr="00BE206A">
        <w:t>Wireless Telecommunications Carriers</w:t>
      </w:r>
      <w:r>
        <w:rPr>
          <w:rStyle w:val="FootnoteReference"/>
        </w:rPr>
        <w:footnoteReference w:id="61"/>
      </w:r>
    </w:p>
    <w:p w:rsidR="00E81CDA" w:rsidP="00E81CDA" w:rsidRDefault="00E81CDA" w14:paraId="49AE5A53" w14:textId="12718665">
      <w:proofErr w:type="gramStart"/>
      <w:r>
        <w:t>The following table,</w:t>
      </w:r>
      <w:proofErr w:type="gramEnd"/>
      <w:r>
        <w:t xml:space="preserve"> generated using data from the economic and labor market modeling tool </w:t>
      </w:r>
      <w:proofErr w:type="spellStart"/>
      <w:r>
        <w:t>Lightcast</w:t>
      </w:r>
      <w:proofErr w:type="spellEnd"/>
      <w:r>
        <w:t>,</w:t>
      </w:r>
      <w:r>
        <w:rPr>
          <w:rStyle w:val="FootnoteReference"/>
        </w:rPr>
        <w:footnoteReference w:id="62"/>
      </w:r>
      <w:r>
        <w:t xml:space="preserve"> outlines the performance of these subsectors that are directly employed in telecommunications in Alabama from 2018 to 2022. (Note: the data nomenclature used by the NAICS changed between the publication of the 2021 Brookings </w:t>
      </w:r>
      <w:r w:rsidR="00E174B8">
        <w:t xml:space="preserve">Institution </w:t>
      </w:r>
      <w:r>
        <w:t xml:space="preserve">report and now; the category formerly called </w:t>
      </w:r>
      <w:r>
        <w:rPr>
          <w:i/>
        </w:rPr>
        <w:t xml:space="preserve">Cable and Other Subscription Programming </w:t>
      </w:r>
      <w:r>
        <w:t xml:space="preserve">is now called </w:t>
      </w:r>
      <w:r>
        <w:rPr>
          <w:i/>
        </w:rPr>
        <w:t>Media Streaming Distribution Services, Social Networks, and Other Media Networks and Content Providers.</w:t>
      </w:r>
      <w:r>
        <w:t xml:space="preserve">) </w:t>
      </w:r>
    </w:p>
    <w:p w:rsidR="00E81CDA" w:rsidP="00E81CDA" w:rsidRDefault="00E81CDA" w14:paraId="40CC03EF" w14:textId="1C1FFAB6">
      <w:pPr>
        <w:pStyle w:val="Caption"/>
      </w:pPr>
      <w:bookmarkStart w:name="_Toc150852782" w:id="165"/>
      <w:r>
        <w:t xml:space="preserve">Table </w:t>
      </w:r>
      <w:r w:rsidR="00597437">
        <w:fldChar w:fldCharType="begin"/>
      </w:r>
      <w:r w:rsidR="00597437">
        <w:instrText xml:space="preserve"> SEQ Table \* ARABIC </w:instrText>
      </w:r>
      <w:r w:rsidR="00597437">
        <w:fldChar w:fldCharType="separate"/>
      </w:r>
      <w:r w:rsidR="00444AF1">
        <w:rPr>
          <w:noProof/>
        </w:rPr>
        <w:t>7</w:t>
      </w:r>
      <w:r w:rsidR="00597437">
        <w:rPr>
          <w:noProof/>
        </w:rPr>
        <w:fldChar w:fldCharType="end"/>
      </w:r>
      <w:r>
        <w:t xml:space="preserve">: </w:t>
      </w:r>
      <w:r w:rsidRPr="004761BC">
        <w:t>Performance of Alabama’s broadband deployment sector (2018 – 2022)</w:t>
      </w:r>
      <w:bookmarkEnd w:id="165"/>
    </w:p>
    <w:tbl>
      <w:tblPr>
        <w:tblW w:w="99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895"/>
        <w:gridCol w:w="2880"/>
        <w:gridCol w:w="900"/>
        <w:gridCol w:w="875"/>
        <w:gridCol w:w="1050"/>
        <w:gridCol w:w="1050"/>
        <w:gridCol w:w="1170"/>
        <w:gridCol w:w="1170"/>
      </w:tblGrid>
      <w:tr w:rsidR="00CD256C" w:rsidTr="004C5AEF" w14:paraId="72E29464" w14:textId="77777777">
        <w:trPr>
          <w:trHeight w:val="835"/>
          <w:jc w:val="center"/>
        </w:trPr>
        <w:tc>
          <w:tcPr>
            <w:tcW w:w="895" w:type="dxa"/>
            <w:tcBorders>
              <w:right w:val="single" w:color="FFFFFF" w:themeColor="background1" w:sz="4" w:space="0"/>
            </w:tcBorders>
            <w:shd w:val="clear" w:color="auto" w:fill="0A2458"/>
          </w:tcPr>
          <w:p w:rsidRPr="000324D5" w:rsidR="00E81CDA" w:rsidP="004B46FE" w:rsidRDefault="00E81CDA" w14:paraId="6DBFC33C" w14:textId="77777777">
            <w:pPr>
              <w:keepNext/>
              <w:keepLines/>
              <w:spacing w:after="0" w:line="240" w:lineRule="auto"/>
              <w:ind w:left="-90" w:right="-120"/>
              <w:jc w:val="left"/>
              <w:rPr>
                <w:color w:val="FFFFFF" w:themeColor="background1"/>
                <w:sz w:val="22"/>
                <w:szCs w:val="22"/>
              </w:rPr>
            </w:pPr>
            <w:r w:rsidRPr="000324D5">
              <w:rPr>
                <w:color w:val="FFFFFF" w:themeColor="background1"/>
                <w:sz w:val="22"/>
                <w:szCs w:val="22"/>
              </w:rPr>
              <w:t>NAICS</w:t>
            </w:r>
          </w:p>
        </w:tc>
        <w:tc>
          <w:tcPr>
            <w:tcW w:w="2880" w:type="dxa"/>
            <w:tcBorders>
              <w:left w:val="single" w:color="FFFFFF" w:themeColor="background1" w:sz="4" w:space="0"/>
              <w:right w:val="single" w:color="FFFFFF" w:themeColor="background1" w:sz="4" w:space="0"/>
            </w:tcBorders>
            <w:shd w:val="clear" w:color="auto" w:fill="0A2458"/>
          </w:tcPr>
          <w:p w:rsidRPr="000324D5" w:rsidR="00E81CDA" w:rsidRDefault="00E81CDA" w14:paraId="70B1C5B6" w14:textId="77777777">
            <w:pPr>
              <w:keepNext/>
              <w:keepLines/>
              <w:spacing w:after="0" w:line="240" w:lineRule="auto"/>
              <w:jc w:val="left"/>
              <w:rPr>
                <w:color w:val="FFFFFF" w:themeColor="background1"/>
                <w:sz w:val="22"/>
                <w:szCs w:val="22"/>
              </w:rPr>
            </w:pPr>
            <w:r w:rsidRPr="000324D5">
              <w:rPr>
                <w:color w:val="FFFFFF" w:themeColor="background1"/>
                <w:sz w:val="22"/>
                <w:szCs w:val="22"/>
              </w:rPr>
              <w:t>Industry</w:t>
            </w:r>
          </w:p>
        </w:tc>
        <w:tc>
          <w:tcPr>
            <w:tcW w:w="900" w:type="dxa"/>
            <w:tcBorders>
              <w:left w:val="single" w:color="FFFFFF" w:themeColor="background1" w:sz="4" w:space="0"/>
              <w:right w:val="single" w:color="FFFFFF" w:themeColor="background1" w:sz="4" w:space="0"/>
            </w:tcBorders>
            <w:shd w:val="clear" w:color="auto" w:fill="0A2458"/>
          </w:tcPr>
          <w:p w:rsidRPr="000324D5" w:rsidR="00E81CDA" w:rsidP="004B46FE" w:rsidRDefault="00E81CDA" w14:paraId="6EFACD20" w14:textId="4D3FB37C">
            <w:pPr>
              <w:keepNext/>
              <w:keepLines/>
              <w:spacing w:after="0" w:line="240" w:lineRule="auto"/>
              <w:ind w:left="-90" w:right="-75"/>
              <w:jc w:val="left"/>
              <w:rPr>
                <w:color w:val="FFFFFF" w:themeColor="background1"/>
                <w:sz w:val="22"/>
                <w:szCs w:val="22"/>
              </w:rPr>
            </w:pPr>
            <w:r w:rsidRPr="000324D5">
              <w:rPr>
                <w:color w:val="FFFFFF" w:themeColor="background1"/>
                <w:sz w:val="22"/>
                <w:szCs w:val="22"/>
              </w:rPr>
              <w:t xml:space="preserve">2018 </w:t>
            </w:r>
            <w:r w:rsidRPr="000324D5" w:rsidR="00A237FB">
              <w:rPr>
                <w:color w:val="FFFFFF" w:themeColor="background1"/>
                <w:sz w:val="22"/>
                <w:szCs w:val="22"/>
              </w:rPr>
              <w:t>j</w:t>
            </w:r>
            <w:r w:rsidRPr="000324D5">
              <w:rPr>
                <w:color w:val="FFFFFF" w:themeColor="background1"/>
                <w:sz w:val="22"/>
                <w:szCs w:val="22"/>
              </w:rPr>
              <w:t>obs</w:t>
            </w:r>
          </w:p>
        </w:tc>
        <w:tc>
          <w:tcPr>
            <w:tcW w:w="875" w:type="dxa"/>
            <w:tcBorders>
              <w:left w:val="single" w:color="FFFFFF" w:themeColor="background1" w:sz="4" w:space="0"/>
              <w:right w:val="single" w:color="FFFFFF" w:themeColor="background1" w:sz="4" w:space="0"/>
            </w:tcBorders>
            <w:shd w:val="clear" w:color="auto" w:fill="0A2458"/>
          </w:tcPr>
          <w:p w:rsidRPr="000324D5" w:rsidR="00E81CDA" w:rsidP="004B46FE" w:rsidRDefault="00E81CDA" w14:paraId="269C4820" w14:textId="5E992EC9">
            <w:pPr>
              <w:keepNext/>
              <w:keepLines/>
              <w:spacing w:after="0" w:line="240" w:lineRule="auto"/>
              <w:ind w:left="-90" w:right="-75"/>
              <w:jc w:val="left"/>
              <w:rPr>
                <w:color w:val="FFFFFF" w:themeColor="background1"/>
                <w:sz w:val="22"/>
                <w:szCs w:val="22"/>
              </w:rPr>
            </w:pPr>
            <w:r w:rsidRPr="000324D5">
              <w:rPr>
                <w:color w:val="FFFFFF" w:themeColor="background1"/>
                <w:sz w:val="22"/>
                <w:szCs w:val="22"/>
              </w:rPr>
              <w:t xml:space="preserve">2022 </w:t>
            </w:r>
            <w:r w:rsidRPr="000324D5" w:rsidR="00A237FB">
              <w:rPr>
                <w:color w:val="FFFFFF" w:themeColor="background1"/>
                <w:sz w:val="22"/>
                <w:szCs w:val="22"/>
              </w:rPr>
              <w:t>j</w:t>
            </w:r>
            <w:r w:rsidRPr="000324D5">
              <w:rPr>
                <w:color w:val="FFFFFF" w:themeColor="background1"/>
                <w:sz w:val="22"/>
                <w:szCs w:val="22"/>
              </w:rPr>
              <w:t>obs</w:t>
            </w:r>
          </w:p>
        </w:tc>
        <w:tc>
          <w:tcPr>
            <w:tcW w:w="1050" w:type="dxa"/>
            <w:tcBorders>
              <w:left w:val="single" w:color="FFFFFF" w:themeColor="background1" w:sz="4" w:space="0"/>
              <w:right w:val="single" w:color="FFFFFF" w:themeColor="background1" w:sz="4" w:space="0"/>
            </w:tcBorders>
            <w:shd w:val="clear" w:color="auto" w:fill="0A2458"/>
          </w:tcPr>
          <w:p w:rsidRPr="000324D5" w:rsidR="00E81CDA" w:rsidP="004B46FE" w:rsidRDefault="00E81CDA" w14:paraId="5487C512" w14:textId="0C8CA04D">
            <w:pPr>
              <w:keepNext/>
              <w:keepLines/>
              <w:spacing w:after="0" w:line="240" w:lineRule="auto"/>
              <w:ind w:left="-90" w:right="-120"/>
              <w:jc w:val="left"/>
              <w:rPr>
                <w:color w:val="FFFFFF" w:themeColor="background1"/>
                <w:sz w:val="22"/>
                <w:szCs w:val="22"/>
              </w:rPr>
            </w:pPr>
            <w:r w:rsidRPr="000324D5">
              <w:rPr>
                <w:color w:val="FFFFFF" w:themeColor="background1"/>
                <w:sz w:val="22"/>
                <w:szCs w:val="22"/>
              </w:rPr>
              <w:t xml:space="preserve">2018 - 2022 </w:t>
            </w:r>
            <w:r w:rsidRPr="000324D5" w:rsidR="00A237FB">
              <w:rPr>
                <w:color w:val="FFFFFF" w:themeColor="background1"/>
                <w:sz w:val="22"/>
                <w:szCs w:val="22"/>
              </w:rPr>
              <w:t>c</w:t>
            </w:r>
            <w:r w:rsidRPr="000324D5">
              <w:rPr>
                <w:color w:val="FFFFFF" w:themeColor="background1"/>
                <w:sz w:val="22"/>
                <w:szCs w:val="22"/>
              </w:rPr>
              <w:t>hange</w:t>
            </w:r>
          </w:p>
        </w:tc>
        <w:tc>
          <w:tcPr>
            <w:tcW w:w="1050" w:type="dxa"/>
            <w:tcBorders>
              <w:left w:val="single" w:color="FFFFFF" w:themeColor="background1" w:sz="4" w:space="0"/>
              <w:right w:val="single" w:color="FFFFFF" w:themeColor="background1" w:sz="4" w:space="0"/>
            </w:tcBorders>
            <w:shd w:val="clear" w:color="auto" w:fill="0A2458"/>
          </w:tcPr>
          <w:p w:rsidRPr="000324D5" w:rsidR="00E81CDA" w:rsidP="004B46FE" w:rsidRDefault="00E81CDA" w14:paraId="77A02E62" w14:textId="187856F8">
            <w:pPr>
              <w:keepNext/>
              <w:keepLines/>
              <w:spacing w:after="0" w:line="240" w:lineRule="auto"/>
              <w:ind w:left="-90" w:right="-120"/>
              <w:jc w:val="left"/>
              <w:rPr>
                <w:color w:val="FFFFFF" w:themeColor="background1"/>
                <w:sz w:val="22"/>
                <w:szCs w:val="22"/>
              </w:rPr>
            </w:pPr>
            <w:r w:rsidRPr="000324D5">
              <w:rPr>
                <w:color w:val="FFFFFF" w:themeColor="background1"/>
                <w:sz w:val="22"/>
                <w:szCs w:val="22"/>
              </w:rPr>
              <w:t xml:space="preserve">2018 - 2022 % </w:t>
            </w:r>
            <w:r w:rsidRPr="000324D5" w:rsidR="00A237FB">
              <w:rPr>
                <w:color w:val="FFFFFF" w:themeColor="background1"/>
                <w:sz w:val="22"/>
                <w:szCs w:val="22"/>
              </w:rPr>
              <w:t>c</w:t>
            </w:r>
            <w:r w:rsidRPr="000324D5">
              <w:rPr>
                <w:color w:val="FFFFFF" w:themeColor="background1"/>
                <w:sz w:val="22"/>
                <w:szCs w:val="22"/>
              </w:rPr>
              <w:t>hange</w:t>
            </w:r>
          </w:p>
        </w:tc>
        <w:tc>
          <w:tcPr>
            <w:tcW w:w="1170" w:type="dxa"/>
            <w:tcBorders>
              <w:left w:val="single" w:color="FFFFFF" w:themeColor="background1" w:sz="4" w:space="0"/>
              <w:right w:val="single" w:color="FFFFFF" w:themeColor="background1" w:sz="4" w:space="0"/>
            </w:tcBorders>
            <w:shd w:val="clear" w:color="auto" w:fill="0A2458"/>
          </w:tcPr>
          <w:p w:rsidRPr="000324D5" w:rsidR="00E81CDA" w:rsidP="004B46FE" w:rsidRDefault="00E81CDA" w14:paraId="5720668D" w14:textId="62AE3B63">
            <w:pPr>
              <w:keepNext/>
              <w:keepLines/>
              <w:spacing w:after="0" w:line="240" w:lineRule="auto"/>
              <w:ind w:left="-90" w:right="-90"/>
              <w:jc w:val="left"/>
              <w:rPr>
                <w:color w:val="FFFFFF" w:themeColor="background1"/>
                <w:sz w:val="22"/>
                <w:szCs w:val="22"/>
              </w:rPr>
            </w:pPr>
            <w:r w:rsidRPr="000324D5">
              <w:rPr>
                <w:color w:val="FFFFFF" w:themeColor="background1"/>
                <w:sz w:val="22"/>
                <w:szCs w:val="22"/>
              </w:rPr>
              <w:t>Avg</w:t>
            </w:r>
            <w:r w:rsidRPr="000324D5" w:rsidR="00195440">
              <w:rPr>
                <w:color w:val="FFFFFF" w:themeColor="background1"/>
                <w:sz w:val="22"/>
                <w:szCs w:val="22"/>
              </w:rPr>
              <w:t>.</w:t>
            </w:r>
            <w:r w:rsidRPr="000324D5">
              <w:rPr>
                <w:color w:val="FFFFFF" w:themeColor="background1"/>
                <w:sz w:val="22"/>
                <w:szCs w:val="22"/>
              </w:rPr>
              <w:t xml:space="preserve"> </w:t>
            </w:r>
            <w:r w:rsidRPr="000324D5" w:rsidR="00A237FB">
              <w:rPr>
                <w:color w:val="FFFFFF" w:themeColor="background1"/>
                <w:sz w:val="22"/>
                <w:szCs w:val="22"/>
              </w:rPr>
              <w:t>e</w:t>
            </w:r>
            <w:r w:rsidRPr="000324D5">
              <w:rPr>
                <w:color w:val="FFFFFF" w:themeColor="background1"/>
                <w:sz w:val="22"/>
                <w:szCs w:val="22"/>
              </w:rPr>
              <w:t xml:space="preserve">arnings per </w:t>
            </w:r>
            <w:r w:rsidRPr="000324D5" w:rsidR="00A237FB">
              <w:rPr>
                <w:color w:val="FFFFFF" w:themeColor="background1"/>
                <w:sz w:val="22"/>
                <w:szCs w:val="22"/>
              </w:rPr>
              <w:t>j</w:t>
            </w:r>
            <w:r w:rsidRPr="000324D5">
              <w:rPr>
                <w:color w:val="FFFFFF" w:themeColor="background1"/>
                <w:sz w:val="22"/>
                <w:szCs w:val="22"/>
              </w:rPr>
              <w:t>ob - Alabama</w:t>
            </w:r>
          </w:p>
        </w:tc>
        <w:tc>
          <w:tcPr>
            <w:tcW w:w="1170" w:type="dxa"/>
            <w:tcBorders>
              <w:left w:val="single" w:color="FFFFFF" w:themeColor="background1" w:sz="4" w:space="0"/>
            </w:tcBorders>
            <w:shd w:val="clear" w:color="auto" w:fill="0A2458"/>
            <w:tcMar>
              <w:left w:w="0" w:type="dxa"/>
              <w:right w:w="0" w:type="dxa"/>
            </w:tcMar>
          </w:tcPr>
          <w:p w:rsidRPr="000324D5" w:rsidR="00E81CDA" w:rsidP="004B46FE" w:rsidRDefault="00E81CDA" w14:paraId="110B204B" w14:textId="252DE330">
            <w:pPr>
              <w:spacing w:after="0" w:line="240" w:lineRule="auto"/>
              <w:ind w:right="30"/>
              <w:jc w:val="left"/>
              <w:rPr>
                <w:rFonts w:eastAsia="Arial" w:cs="Arial"/>
                <w:color w:val="FFFFFF" w:themeColor="background1"/>
                <w:sz w:val="22"/>
                <w:szCs w:val="22"/>
              </w:rPr>
            </w:pPr>
            <w:r w:rsidRPr="000324D5">
              <w:rPr>
                <w:color w:val="FFFFFF" w:themeColor="background1"/>
                <w:sz w:val="22"/>
                <w:szCs w:val="22"/>
              </w:rPr>
              <w:t>Avg</w:t>
            </w:r>
            <w:r w:rsidRPr="000324D5" w:rsidR="00195440">
              <w:rPr>
                <w:color w:val="FFFFFF" w:themeColor="background1"/>
                <w:sz w:val="22"/>
                <w:szCs w:val="22"/>
              </w:rPr>
              <w:t>.</w:t>
            </w:r>
            <w:r w:rsidRPr="000324D5">
              <w:rPr>
                <w:color w:val="FFFFFF" w:themeColor="background1"/>
                <w:sz w:val="22"/>
                <w:szCs w:val="22"/>
              </w:rPr>
              <w:t xml:space="preserve"> </w:t>
            </w:r>
            <w:r w:rsidRPr="000324D5" w:rsidR="00A237FB">
              <w:rPr>
                <w:color w:val="FFFFFF" w:themeColor="background1"/>
                <w:sz w:val="22"/>
                <w:szCs w:val="22"/>
              </w:rPr>
              <w:t>e</w:t>
            </w:r>
            <w:r w:rsidRPr="000324D5">
              <w:rPr>
                <w:color w:val="FFFFFF" w:themeColor="background1"/>
                <w:sz w:val="22"/>
                <w:szCs w:val="22"/>
              </w:rPr>
              <w:t xml:space="preserve">arnings per </w:t>
            </w:r>
            <w:r w:rsidRPr="000324D5" w:rsidR="00A237FB">
              <w:rPr>
                <w:color w:val="FFFFFF" w:themeColor="background1"/>
                <w:sz w:val="22"/>
                <w:szCs w:val="22"/>
              </w:rPr>
              <w:t>jo</w:t>
            </w:r>
            <w:r w:rsidRPr="000324D5">
              <w:rPr>
                <w:color w:val="FFFFFF" w:themeColor="background1"/>
                <w:sz w:val="22"/>
                <w:szCs w:val="22"/>
              </w:rPr>
              <w:t xml:space="preserve">b - </w:t>
            </w:r>
            <w:r w:rsidRPr="000324D5" w:rsidR="00A237FB">
              <w:rPr>
                <w:color w:val="FFFFFF" w:themeColor="background1"/>
                <w:sz w:val="22"/>
                <w:szCs w:val="22"/>
              </w:rPr>
              <w:t>n</w:t>
            </w:r>
            <w:r w:rsidRPr="000324D5">
              <w:rPr>
                <w:color w:val="FFFFFF" w:themeColor="background1"/>
                <w:sz w:val="22"/>
                <w:szCs w:val="22"/>
              </w:rPr>
              <w:t>ational</w:t>
            </w:r>
          </w:p>
        </w:tc>
      </w:tr>
      <w:tr w:rsidR="00E81CDA" w:rsidTr="005B6BC3" w14:paraId="25E455A7" w14:textId="77777777">
        <w:trPr>
          <w:trHeight w:val="20"/>
          <w:jc w:val="center"/>
        </w:trPr>
        <w:tc>
          <w:tcPr>
            <w:tcW w:w="895" w:type="dxa"/>
            <w:shd w:val="clear" w:color="auto" w:fill="auto"/>
          </w:tcPr>
          <w:p w:rsidRPr="00FE37C9" w:rsidR="00E81CDA" w:rsidP="00B20311" w:rsidRDefault="00E81CDA" w14:paraId="7963B48A" w14:textId="77777777">
            <w:pPr>
              <w:keepNext/>
              <w:keepLines/>
              <w:spacing w:after="0" w:line="240" w:lineRule="auto"/>
              <w:ind w:left="-90" w:right="-120"/>
              <w:jc w:val="left"/>
              <w:rPr>
                <w:color w:val="000000"/>
                <w:sz w:val="22"/>
                <w:szCs w:val="22"/>
              </w:rPr>
            </w:pPr>
            <w:r w:rsidRPr="00FE37C9">
              <w:rPr>
                <w:color w:val="000000"/>
                <w:sz w:val="22"/>
                <w:szCs w:val="22"/>
              </w:rPr>
              <w:t>237130</w:t>
            </w:r>
          </w:p>
        </w:tc>
        <w:tc>
          <w:tcPr>
            <w:tcW w:w="2880" w:type="dxa"/>
            <w:shd w:val="clear" w:color="auto" w:fill="auto"/>
          </w:tcPr>
          <w:p w:rsidRPr="00FE37C9" w:rsidR="00E81CDA" w:rsidRDefault="00E81CDA" w14:paraId="011207D9" w14:textId="77777777">
            <w:pPr>
              <w:keepNext/>
              <w:keepLines/>
              <w:spacing w:after="0" w:line="240" w:lineRule="auto"/>
              <w:ind w:right="-45"/>
              <w:jc w:val="left"/>
              <w:rPr>
                <w:color w:val="000000"/>
                <w:sz w:val="22"/>
                <w:szCs w:val="22"/>
              </w:rPr>
            </w:pPr>
            <w:r w:rsidRPr="00FE37C9">
              <w:rPr>
                <w:color w:val="000000"/>
                <w:sz w:val="22"/>
                <w:szCs w:val="22"/>
              </w:rPr>
              <w:t>Power and Communication Line and Related Structures Construction</w:t>
            </w:r>
          </w:p>
        </w:tc>
        <w:tc>
          <w:tcPr>
            <w:tcW w:w="900" w:type="dxa"/>
            <w:tcBorders>
              <w:top w:val="single" w:color="000000" w:sz="5" w:space="0"/>
              <w:left w:val="single" w:color="000000" w:sz="5" w:space="0"/>
              <w:bottom w:val="single" w:color="000000" w:sz="5" w:space="0"/>
              <w:right w:val="single" w:color="000000" w:sz="5" w:space="0"/>
            </w:tcBorders>
            <w:tcMar>
              <w:left w:w="0" w:type="dxa"/>
              <w:right w:w="0" w:type="dxa"/>
            </w:tcMar>
          </w:tcPr>
          <w:p w:rsidRPr="00FE37C9" w:rsidR="00E81CDA" w:rsidP="00B20311" w:rsidRDefault="00E81CDA" w14:paraId="2BC3D119" w14:textId="77777777">
            <w:pPr>
              <w:spacing w:after="0" w:line="240" w:lineRule="auto"/>
              <w:ind w:right="75"/>
              <w:jc w:val="left"/>
              <w:rPr>
                <w:color w:val="000000"/>
                <w:sz w:val="22"/>
                <w:szCs w:val="22"/>
              </w:rPr>
            </w:pPr>
            <w:r w:rsidRPr="00FE37C9">
              <w:rPr>
                <w:color w:val="000000"/>
                <w:sz w:val="22"/>
                <w:szCs w:val="22"/>
              </w:rPr>
              <w:t>5,075</w:t>
            </w:r>
          </w:p>
        </w:tc>
        <w:tc>
          <w:tcPr>
            <w:tcW w:w="875" w:type="dxa"/>
            <w:tcBorders>
              <w:top w:val="single" w:color="000000" w:sz="5" w:space="0"/>
              <w:left w:val="single" w:color="CCCCCC" w:sz="5" w:space="0"/>
              <w:bottom w:val="single" w:color="000000" w:sz="5" w:space="0"/>
              <w:right w:val="single" w:color="000000" w:sz="5" w:space="0"/>
            </w:tcBorders>
            <w:tcMar>
              <w:left w:w="0" w:type="dxa"/>
              <w:right w:w="0" w:type="dxa"/>
            </w:tcMar>
          </w:tcPr>
          <w:p w:rsidRPr="00FE37C9" w:rsidR="00E81CDA" w:rsidP="00B20311" w:rsidRDefault="00E81CDA" w14:paraId="12396794" w14:textId="77777777">
            <w:pPr>
              <w:spacing w:after="0" w:line="240" w:lineRule="auto"/>
              <w:ind w:right="75"/>
              <w:jc w:val="left"/>
              <w:rPr>
                <w:color w:val="000000"/>
                <w:sz w:val="22"/>
                <w:szCs w:val="22"/>
              </w:rPr>
            </w:pPr>
            <w:r w:rsidRPr="00FE37C9">
              <w:rPr>
                <w:color w:val="000000"/>
                <w:sz w:val="22"/>
                <w:szCs w:val="22"/>
              </w:rPr>
              <w:t>5,650</w:t>
            </w:r>
          </w:p>
        </w:tc>
        <w:tc>
          <w:tcPr>
            <w:tcW w:w="1050" w:type="dxa"/>
            <w:tcBorders>
              <w:top w:val="single" w:color="000000" w:sz="5" w:space="0"/>
              <w:left w:val="single" w:color="CCCCCC" w:sz="5" w:space="0"/>
              <w:bottom w:val="single" w:color="000000" w:sz="5" w:space="0"/>
              <w:right w:val="single" w:color="000000" w:sz="5" w:space="0"/>
            </w:tcBorders>
            <w:tcMar>
              <w:left w:w="0" w:type="dxa"/>
              <w:right w:w="0" w:type="dxa"/>
            </w:tcMar>
          </w:tcPr>
          <w:p w:rsidRPr="00FE37C9" w:rsidR="00E81CDA" w:rsidP="00B20311" w:rsidRDefault="00E81CDA" w14:paraId="3F476049" w14:textId="77777777">
            <w:pPr>
              <w:spacing w:after="0" w:line="240" w:lineRule="auto"/>
              <w:ind w:right="75"/>
              <w:jc w:val="left"/>
              <w:rPr>
                <w:color w:val="000000"/>
                <w:sz w:val="22"/>
                <w:szCs w:val="22"/>
              </w:rPr>
            </w:pPr>
            <w:r w:rsidRPr="00FE37C9">
              <w:rPr>
                <w:color w:val="000000"/>
                <w:sz w:val="22"/>
                <w:szCs w:val="22"/>
              </w:rPr>
              <w:t>575</w:t>
            </w:r>
          </w:p>
        </w:tc>
        <w:tc>
          <w:tcPr>
            <w:tcW w:w="1050" w:type="dxa"/>
            <w:tcBorders>
              <w:top w:val="single" w:color="000000" w:sz="5" w:space="0"/>
              <w:left w:val="single" w:color="CCCCCC" w:sz="5" w:space="0"/>
              <w:bottom w:val="single" w:color="000000" w:sz="5" w:space="0"/>
              <w:right w:val="single" w:color="000000" w:sz="5" w:space="0"/>
            </w:tcBorders>
            <w:tcMar>
              <w:left w:w="0" w:type="dxa"/>
              <w:right w:w="0" w:type="dxa"/>
            </w:tcMar>
          </w:tcPr>
          <w:p w:rsidRPr="00FE37C9" w:rsidR="00E81CDA" w:rsidP="00B20311" w:rsidRDefault="00E81CDA" w14:paraId="3045A59A" w14:textId="77777777">
            <w:pPr>
              <w:spacing w:after="0" w:line="240" w:lineRule="auto"/>
              <w:ind w:right="75"/>
              <w:jc w:val="left"/>
              <w:rPr>
                <w:color w:val="000000"/>
                <w:sz w:val="22"/>
                <w:szCs w:val="22"/>
              </w:rPr>
            </w:pPr>
            <w:r w:rsidRPr="00FE37C9">
              <w:rPr>
                <w:color w:val="000000"/>
                <w:sz w:val="22"/>
                <w:szCs w:val="22"/>
              </w:rPr>
              <w:t>11%</w:t>
            </w:r>
          </w:p>
        </w:tc>
        <w:tc>
          <w:tcPr>
            <w:tcW w:w="1170" w:type="dxa"/>
            <w:tcBorders>
              <w:top w:val="single" w:color="000000" w:sz="5" w:space="0"/>
              <w:left w:val="single" w:color="CCCCCC" w:sz="5" w:space="0"/>
              <w:bottom w:val="single" w:color="000000" w:sz="5" w:space="0"/>
              <w:right w:val="single" w:color="000000" w:sz="5" w:space="0"/>
            </w:tcBorders>
            <w:tcMar>
              <w:left w:w="0" w:type="dxa"/>
              <w:right w:w="0" w:type="dxa"/>
            </w:tcMar>
          </w:tcPr>
          <w:p w:rsidRPr="00FE37C9" w:rsidR="00E81CDA" w:rsidP="00B20311" w:rsidRDefault="00E81CDA" w14:paraId="7AEED544" w14:textId="77777777">
            <w:pPr>
              <w:spacing w:after="0" w:line="240" w:lineRule="auto"/>
              <w:ind w:right="75"/>
              <w:jc w:val="left"/>
              <w:rPr>
                <w:color w:val="000000"/>
                <w:sz w:val="22"/>
                <w:szCs w:val="22"/>
              </w:rPr>
            </w:pPr>
            <w:r w:rsidRPr="00FE37C9">
              <w:rPr>
                <w:color w:val="000000"/>
                <w:sz w:val="22"/>
                <w:szCs w:val="22"/>
              </w:rPr>
              <w:t>$101,984</w:t>
            </w:r>
          </w:p>
        </w:tc>
        <w:tc>
          <w:tcPr>
            <w:tcW w:w="1170" w:type="dxa"/>
            <w:tcMar>
              <w:left w:w="0" w:type="dxa"/>
              <w:right w:w="0" w:type="dxa"/>
            </w:tcMar>
          </w:tcPr>
          <w:p w:rsidRPr="00FE37C9" w:rsidR="00E81CDA" w:rsidP="00B20311" w:rsidRDefault="00E81CDA" w14:paraId="3778871E" w14:textId="77777777">
            <w:pPr>
              <w:spacing w:after="0" w:line="240" w:lineRule="auto"/>
              <w:ind w:right="75"/>
              <w:jc w:val="left"/>
              <w:rPr>
                <w:color w:val="000000"/>
                <w:sz w:val="22"/>
                <w:szCs w:val="22"/>
              </w:rPr>
            </w:pPr>
            <w:r w:rsidRPr="00FE37C9">
              <w:rPr>
                <w:color w:val="000000"/>
                <w:sz w:val="22"/>
                <w:szCs w:val="22"/>
              </w:rPr>
              <w:t>$108,440</w:t>
            </w:r>
          </w:p>
        </w:tc>
      </w:tr>
      <w:tr w:rsidR="00E81CDA" w:rsidTr="005B6BC3" w14:paraId="205016A9" w14:textId="77777777">
        <w:trPr>
          <w:trHeight w:val="20"/>
          <w:jc w:val="center"/>
        </w:trPr>
        <w:tc>
          <w:tcPr>
            <w:tcW w:w="895" w:type="dxa"/>
            <w:shd w:val="clear" w:color="auto" w:fill="auto"/>
          </w:tcPr>
          <w:p w:rsidRPr="00FE37C9" w:rsidR="00E81CDA" w:rsidP="00B20311" w:rsidRDefault="00E81CDA" w14:paraId="43B6B3A5" w14:textId="77777777">
            <w:pPr>
              <w:keepNext/>
              <w:keepLines/>
              <w:spacing w:after="0" w:line="240" w:lineRule="auto"/>
              <w:ind w:left="-90" w:right="-120"/>
              <w:jc w:val="left"/>
              <w:rPr>
                <w:color w:val="000000"/>
                <w:sz w:val="22"/>
                <w:szCs w:val="22"/>
              </w:rPr>
            </w:pPr>
            <w:r w:rsidRPr="00FE37C9">
              <w:rPr>
                <w:color w:val="000000"/>
                <w:sz w:val="22"/>
                <w:szCs w:val="22"/>
              </w:rPr>
              <w:t>335921</w:t>
            </w:r>
          </w:p>
        </w:tc>
        <w:tc>
          <w:tcPr>
            <w:tcW w:w="2880" w:type="dxa"/>
            <w:shd w:val="clear" w:color="auto" w:fill="auto"/>
          </w:tcPr>
          <w:p w:rsidRPr="00FE37C9" w:rsidR="00E81CDA" w:rsidRDefault="00E81CDA" w14:paraId="5316A1D3" w14:textId="77777777">
            <w:pPr>
              <w:keepNext/>
              <w:keepLines/>
              <w:spacing w:after="0" w:line="240" w:lineRule="auto"/>
              <w:ind w:right="-45"/>
              <w:jc w:val="left"/>
              <w:rPr>
                <w:color w:val="000000"/>
                <w:sz w:val="22"/>
                <w:szCs w:val="22"/>
              </w:rPr>
            </w:pPr>
            <w:r w:rsidRPr="00FE37C9">
              <w:rPr>
                <w:color w:val="000000"/>
                <w:sz w:val="22"/>
                <w:szCs w:val="22"/>
              </w:rPr>
              <w:t>Fiber Optic Cable Manufacturing</w:t>
            </w:r>
          </w:p>
        </w:tc>
        <w:tc>
          <w:tcPr>
            <w:tcW w:w="900" w:type="dxa"/>
            <w:tcBorders>
              <w:top w:val="single" w:color="CCCCCC" w:sz="5" w:space="0"/>
              <w:left w:val="single" w:color="000000" w:sz="5" w:space="0"/>
              <w:bottom w:val="single" w:color="000000" w:sz="5" w:space="0"/>
              <w:right w:val="single" w:color="000000" w:sz="5" w:space="0"/>
            </w:tcBorders>
            <w:tcMar>
              <w:left w:w="0" w:type="dxa"/>
              <w:right w:w="0" w:type="dxa"/>
            </w:tcMar>
          </w:tcPr>
          <w:p w:rsidRPr="00FE37C9" w:rsidR="00E81CDA" w:rsidP="00B20311" w:rsidRDefault="00E81CDA" w14:paraId="264AF02C" w14:textId="77777777">
            <w:pPr>
              <w:spacing w:after="0" w:line="240" w:lineRule="auto"/>
              <w:ind w:right="75"/>
              <w:jc w:val="left"/>
              <w:rPr>
                <w:color w:val="000000"/>
                <w:sz w:val="22"/>
                <w:szCs w:val="22"/>
              </w:rPr>
            </w:pPr>
            <w:r w:rsidRPr="00FE37C9">
              <w:rPr>
                <w:color w:val="000000"/>
                <w:sz w:val="22"/>
                <w:szCs w:val="22"/>
              </w:rPr>
              <w:t>188</w:t>
            </w:r>
          </w:p>
        </w:tc>
        <w:tc>
          <w:tcPr>
            <w:tcW w:w="875" w:type="dxa"/>
            <w:tcBorders>
              <w:top w:val="single" w:color="CCCCCC" w:sz="5" w:space="0"/>
              <w:left w:val="single" w:color="CCCCCC" w:sz="5" w:space="0"/>
              <w:bottom w:val="single" w:color="000000" w:sz="5" w:space="0"/>
              <w:right w:val="single" w:color="000000" w:sz="5" w:space="0"/>
            </w:tcBorders>
            <w:tcMar>
              <w:left w:w="0" w:type="dxa"/>
              <w:right w:w="0" w:type="dxa"/>
            </w:tcMar>
          </w:tcPr>
          <w:p w:rsidRPr="00FE37C9" w:rsidR="00E81CDA" w:rsidP="00B20311" w:rsidRDefault="00E81CDA" w14:paraId="23EC9DA1" w14:textId="77777777">
            <w:pPr>
              <w:spacing w:after="0" w:line="240" w:lineRule="auto"/>
              <w:ind w:right="75"/>
              <w:jc w:val="left"/>
              <w:rPr>
                <w:color w:val="000000"/>
                <w:sz w:val="22"/>
                <w:szCs w:val="22"/>
              </w:rPr>
            </w:pPr>
            <w:r w:rsidRPr="00FE37C9">
              <w:rPr>
                <w:color w:val="000000"/>
                <w:sz w:val="22"/>
                <w:szCs w:val="22"/>
              </w:rPr>
              <w:t>56</w:t>
            </w:r>
          </w:p>
        </w:tc>
        <w:tc>
          <w:tcPr>
            <w:tcW w:w="1050" w:type="dxa"/>
            <w:tcBorders>
              <w:top w:val="single" w:color="CCCCCC" w:sz="5" w:space="0"/>
              <w:left w:val="single" w:color="CCCCCC" w:sz="5" w:space="0"/>
              <w:bottom w:val="single" w:color="000000" w:sz="5" w:space="0"/>
              <w:right w:val="single" w:color="000000" w:sz="5" w:space="0"/>
            </w:tcBorders>
            <w:tcMar>
              <w:left w:w="0" w:type="dxa"/>
              <w:right w:w="0" w:type="dxa"/>
            </w:tcMar>
          </w:tcPr>
          <w:p w:rsidRPr="00FE37C9" w:rsidR="00E81CDA" w:rsidP="00B20311" w:rsidRDefault="00E81CDA" w14:paraId="4767F491" w14:textId="77777777">
            <w:pPr>
              <w:spacing w:after="0" w:line="240" w:lineRule="auto"/>
              <w:ind w:right="75"/>
              <w:jc w:val="left"/>
              <w:rPr>
                <w:color w:val="000000"/>
                <w:sz w:val="22"/>
                <w:szCs w:val="22"/>
              </w:rPr>
            </w:pPr>
            <w:r w:rsidRPr="00FE37C9">
              <w:rPr>
                <w:color w:val="000000"/>
                <w:sz w:val="22"/>
                <w:szCs w:val="22"/>
              </w:rPr>
              <w:t>-132</w:t>
            </w:r>
          </w:p>
        </w:tc>
        <w:tc>
          <w:tcPr>
            <w:tcW w:w="1050" w:type="dxa"/>
            <w:tcBorders>
              <w:top w:val="single" w:color="CCCCCC" w:sz="5" w:space="0"/>
              <w:left w:val="single" w:color="CCCCCC" w:sz="5" w:space="0"/>
              <w:bottom w:val="single" w:color="000000" w:sz="5" w:space="0"/>
              <w:right w:val="single" w:color="000000" w:sz="5" w:space="0"/>
            </w:tcBorders>
            <w:tcMar>
              <w:left w:w="0" w:type="dxa"/>
              <w:right w:w="0" w:type="dxa"/>
            </w:tcMar>
          </w:tcPr>
          <w:p w:rsidRPr="00FE37C9" w:rsidR="00E81CDA" w:rsidP="00B20311" w:rsidRDefault="00E81CDA" w14:paraId="7A1E38A9" w14:textId="77777777">
            <w:pPr>
              <w:spacing w:after="0" w:line="240" w:lineRule="auto"/>
              <w:ind w:right="75"/>
              <w:jc w:val="left"/>
              <w:rPr>
                <w:color w:val="000000"/>
                <w:sz w:val="22"/>
                <w:szCs w:val="22"/>
              </w:rPr>
            </w:pPr>
            <w:r w:rsidRPr="00FE37C9">
              <w:rPr>
                <w:color w:val="000000"/>
                <w:sz w:val="22"/>
                <w:szCs w:val="22"/>
              </w:rPr>
              <w:t>-70%</w:t>
            </w:r>
          </w:p>
        </w:tc>
        <w:tc>
          <w:tcPr>
            <w:tcW w:w="1170" w:type="dxa"/>
            <w:tcBorders>
              <w:top w:val="single" w:color="CCCCCC" w:sz="5" w:space="0"/>
              <w:left w:val="single" w:color="CCCCCC" w:sz="5" w:space="0"/>
              <w:bottom w:val="single" w:color="000000" w:sz="5" w:space="0"/>
              <w:right w:val="single" w:color="000000" w:sz="5" w:space="0"/>
            </w:tcBorders>
            <w:tcMar>
              <w:left w:w="0" w:type="dxa"/>
              <w:right w:w="0" w:type="dxa"/>
            </w:tcMar>
          </w:tcPr>
          <w:p w:rsidRPr="00FE37C9" w:rsidR="00E81CDA" w:rsidP="00B20311" w:rsidRDefault="00E81CDA" w14:paraId="7470B15D" w14:textId="77777777">
            <w:pPr>
              <w:spacing w:after="0" w:line="240" w:lineRule="auto"/>
              <w:ind w:right="75"/>
              <w:jc w:val="left"/>
              <w:rPr>
                <w:color w:val="000000"/>
                <w:sz w:val="22"/>
                <w:szCs w:val="22"/>
              </w:rPr>
            </w:pPr>
            <w:r w:rsidRPr="00FE37C9">
              <w:rPr>
                <w:color w:val="000000"/>
                <w:sz w:val="22"/>
                <w:szCs w:val="22"/>
              </w:rPr>
              <w:t>$117,338</w:t>
            </w:r>
          </w:p>
        </w:tc>
        <w:tc>
          <w:tcPr>
            <w:tcW w:w="1170" w:type="dxa"/>
            <w:tcMar>
              <w:left w:w="0" w:type="dxa"/>
              <w:right w:w="0" w:type="dxa"/>
            </w:tcMar>
          </w:tcPr>
          <w:p w:rsidRPr="00FE37C9" w:rsidR="00E81CDA" w:rsidP="00B20311" w:rsidRDefault="00E81CDA" w14:paraId="2251344C" w14:textId="77777777">
            <w:pPr>
              <w:spacing w:after="0" w:line="240" w:lineRule="auto"/>
              <w:ind w:right="75"/>
              <w:jc w:val="left"/>
              <w:rPr>
                <w:color w:val="000000"/>
                <w:sz w:val="22"/>
                <w:szCs w:val="22"/>
              </w:rPr>
            </w:pPr>
            <w:r w:rsidRPr="00FE37C9">
              <w:rPr>
                <w:color w:val="000000"/>
                <w:sz w:val="22"/>
                <w:szCs w:val="22"/>
              </w:rPr>
              <w:t>$109,335</w:t>
            </w:r>
          </w:p>
        </w:tc>
      </w:tr>
      <w:tr w:rsidR="00E81CDA" w:rsidTr="005B6BC3" w14:paraId="7EA8ED5E" w14:textId="77777777">
        <w:trPr>
          <w:trHeight w:val="20"/>
          <w:jc w:val="center"/>
        </w:trPr>
        <w:tc>
          <w:tcPr>
            <w:tcW w:w="895" w:type="dxa"/>
            <w:shd w:val="clear" w:color="auto" w:fill="auto"/>
          </w:tcPr>
          <w:p w:rsidRPr="00FE37C9" w:rsidR="00E81CDA" w:rsidP="00B20311" w:rsidRDefault="00E81CDA" w14:paraId="3B821D13" w14:textId="77777777">
            <w:pPr>
              <w:keepNext/>
              <w:keepLines/>
              <w:spacing w:after="0" w:line="240" w:lineRule="auto"/>
              <w:ind w:left="-90" w:right="-120"/>
              <w:jc w:val="left"/>
              <w:rPr>
                <w:color w:val="000000"/>
                <w:sz w:val="22"/>
                <w:szCs w:val="22"/>
              </w:rPr>
            </w:pPr>
            <w:r w:rsidRPr="00FE37C9">
              <w:rPr>
                <w:color w:val="000000"/>
                <w:sz w:val="22"/>
                <w:szCs w:val="22"/>
              </w:rPr>
              <w:t>335999</w:t>
            </w:r>
          </w:p>
        </w:tc>
        <w:tc>
          <w:tcPr>
            <w:tcW w:w="2880" w:type="dxa"/>
            <w:shd w:val="clear" w:color="auto" w:fill="auto"/>
          </w:tcPr>
          <w:p w:rsidRPr="00FE37C9" w:rsidR="00E81CDA" w:rsidRDefault="00E81CDA" w14:paraId="09A226EA" w14:textId="77777777">
            <w:pPr>
              <w:keepNext/>
              <w:keepLines/>
              <w:spacing w:after="0" w:line="240" w:lineRule="auto"/>
              <w:ind w:right="-45"/>
              <w:jc w:val="left"/>
              <w:rPr>
                <w:color w:val="000000"/>
                <w:sz w:val="22"/>
                <w:szCs w:val="22"/>
              </w:rPr>
            </w:pPr>
            <w:r w:rsidRPr="00FE37C9">
              <w:rPr>
                <w:color w:val="000000"/>
                <w:sz w:val="22"/>
                <w:szCs w:val="22"/>
              </w:rPr>
              <w:t>All Other Electrical Equipment and Component Manufacturing</w:t>
            </w:r>
          </w:p>
        </w:tc>
        <w:tc>
          <w:tcPr>
            <w:tcW w:w="900" w:type="dxa"/>
            <w:tcBorders>
              <w:top w:val="single" w:color="CCCCCC" w:sz="5" w:space="0"/>
              <w:left w:val="single" w:color="000000" w:sz="5" w:space="0"/>
              <w:bottom w:val="single" w:color="000000" w:sz="5" w:space="0"/>
              <w:right w:val="single" w:color="000000" w:sz="5" w:space="0"/>
            </w:tcBorders>
            <w:tcMar>
              <w:left w:w="0" w:type="dxa"/>
              <w:right w:w="0" w:type="dxa"/>
            </w:tcMar>
          </w:tcPr>
          <w:p w:rsidRPr="00FE37C9" w:rsidR="00E81CDA" w:rsidP="00B20311" w:rsidRDefault="00E81CDA" w14:paraId="2CBB9DA6" w14:textId="77777777">
            <w:pPr>
              <w:spacing w:after="0" w:line="240" w:lineRule="auto"/>
              <w:ind w:right="75"/>
              <w:jc w:val="left"/>
              <w:rPr>
                <w:color w:val="000000"/>
                <w:sz w:val="22"/>
                <w:szCs w:val="22"/>
              </w:rPr>
            </w:pPr>
            <w:r w:rsidRPr="00FE37C9">
              <w:rPr>
                <w:color w:val="000000"/>
                <w:sz w:val="22"/>
                <w:szCs w:val="22"/>
              </w:rPr>
              <w:t>115</w:t>
            </w:r>
          </w:p>
        </w:tc>
        <w:tc>
          <w:tcPr>
            <w:tcW w:w="875" w:type="dxa"/>
            <w:tcBorders>
              <w:top w:val="single" w:color="CCCCCC" w:sz="5" w:space="0"/>
              <w:left w:val="single" w:color="CCCCCC" w:sz="5" w:space="0"/>
              <w:bottom w:val="single" w:color="000000" w:sz="5" w:space="0"/>
              <w:right w:val="single" w:color="000000" w:sz="5" w:space="0"/>
            </w:tcBorders>
            <w:tcMar>
              <w:left w:w="0" w:type="dxa"/>
              <w:right w:w="0" w:type="dxa"/>
            </w:tcMar>
          </w:tcPr>
          <w:p w:rsidRPr="00FE37C9" w:rsidR="00E81CDA" w:rsidP="00B20311" w:rsidRDefault="00E81CDA" w14:paraId="349BBD73" w14:textId="77777777">
            <w:pPr>
              <w:spacing w:after="0" w:line="240" w:lineRule="auto"/>
              <w:ind w:right="75"/>
              <w:jc w:val="left"/>
              <w:rPr>
                <w:color w:val="000000"/>
                <w:sz w:val="22"/>
                <w:szCs w:val="22"/>
              </w:rPr>
            </w:pPr>
            <w:r w:rsidRPr="00FE37C9">
              <w:rPr>
                <w:color w:val="000000"/>
                <w:sz w:val="22"/>
                <w:szCs w:val="22"/>
              </w:rPr>
              <w:t>67</w:t>
            </w:r>
          </w:p>
        </w:tc>
        <w:tc>
          <w:tcPr>
            <w:tcW w:w="1050" w:type="dxa"/>
            <w:tcBorders>
              <w:top w:val="single" w:color="CCCCCC" w:sz="5" w:space="0"/>
              <w:left w:val="single" w:color="CCCCCC" w:sz="5" w:space="0"/>
              <w:bottom w:val="single" w:color="000000" w:sz="5" w:space="0"/>
              <w:right w:val="single" w:color="000000" w:sz="5" w:space="0"/>
            </w:tcBorders>
            <w:tcMar>
              <w:left w:w="0" w:type="dxa"/>
              <w:right w:w="0" w:type="dxa"/>
            </w:tcMar>
          </w:tcPr>
          <w:p w:rsidRPr="00FE37C9" w:rsidR="00E81CDA" w:rsidP="00B20311" w:rsidRDefault="00E81CDA" w14:paraId="55BFBDF1" w14:textId="77777777">
            <w:pPr>
              <w:spacing w:after="0" w:line="240" w:lineRule="auto"/>
              <w:ind w:right="75"/>
              <w:jc w:val="left"/>
              <w:rPr>
                <w:color w:val="000000"/>
                <w:sz w:val="22"/>
                <w:szCs w:val="22"/>
              </w:rPr>
            </w:pPr>
            <w:r w:rsidRPr="00FE37C9">
              <w:rPr>
                <w:color w:val="000000"/>
                <w:sz w:val="22"/>
                <w:szCs w:val="22"/>
              </w:rPr>
              <w:t>-48</w:t>
            </w:r>
          </w:p>
        </w:tc>
        <w:tc>
          <w:tcPr>
            <w:tcW w:w="1050" w:type="dxa"/>
            <w:tcBorders>
              <w:top w:val="single" w:color="CCCCCC" w:sz="5" w:space="0"/>
              <w:left w:val="single" w:color="CCCCCC" w:sz="5" w:space="0"/>
              <w:bottom w:val="single" w:color="000000" w:sz="5" w:space="0"/>
              <w:right w:val="single" w:color="000000" w:sz="5" w:space="0"/>
            </w:tcBorders>
            <w:tcMar>
              <w:left w:w="0" w:type="dxa"/>
              <w:right w:w="0" w:type="dxa"/>
            </w:tcMar>
          </w:tcPr>
          <w:p w:rsidRPr="00FE37C9" w:rsidR="00E81CDA" w:rsidP="00B20311" w:rsidRDefault="00E81CDA" w14:paraId="37E6A63C" w14:textId="77777777">
            <w:pPr>
              <w:spacing w:after="0" w:line="240" w:lineRule="auto"/>
              <w:ind w:right="75"/>
              <w:jc w:val="left"/>
              <w:rPr>
                <w:color w:val="000000"/>
                <w:sz w:val="22"/>
                <w:szCs w:val="22"/>
              </w:rPr>
            </w:pPr>
            <w:r w:rsidRPr="00FE37C9">
              <w:rPr>
                <w:color w:val="000000"/>
                <w:sz w:val="22"/>
                <w:szCs w:val="22"/>
              </w:rPr>
              <w:t>-42%</w:t>
            </w:r>
          </w:p>
        </w:tc>
        <w:tc>
          <w:tcPr>
            <w:tcW w:w="1170" w:type="dxa"/>
            <w:tcBorders>
              <w:top w:val="single" w:color="CCCCCC" w:sz="5" w:space="0"/>
              <w:left w:val="single" w:color="CCCCCC" w:sz="5" w:space="0"/>
              <w:bottom w:val="single" w:color="000000" w:sz="5" w:space="0"/>
              <w:right w:val="single" w:color="000000" w:sz="5" w:space="0"/>
            </w:tcBorders>
            <w:tcMar>
              <w:left w:w="0" w:type="dxa"/>
              <w:right w:w="0" w:type="dxa"/>
            </w:tcMar>
          </w:tcPr>
          <w:p w:rsidRPr="00FE37C9" w:rsidR="00E81CDA" w:rsidP="00B20311" w:rsidRDefault="00E81CDA" w14:paraId="268423EA" w14:textId="77777777">
            <w:pPr>
              <w:spacing w:after="0" w:line="240" w:lineRule="auto"/>
              <w:ind w:right="75"/>
              <w:jc w:val="left"/>
              <w:rPr>
                <w:color w:val="000000"/>
                <w:sz w:val="22"/>
                <w:szCs w:val="22"/>
              </w:rPr>
            </w:pPr>
            <w:r w:rsidRPr="00FE37C9">
              <w:rPr>
                <w:color w:val="000000"/>
                <w:sz w:val="22"/>
                <w:szCs w:val="22"/>
              </w:rPr>
              <w:t>$119,263</w:t>
            </w:r>
          </w:p>
        </w:tc>
        <w:tc>
          <w:tcPr>
            <w:tcW w:w="1170" w:type="dxa"/>
            <w:tcMar>
              <w:left w:w="0" w:type="dxa"/>
              <w:right w:w="0" w:type="dxa"/>
            </w:tcMar>
          </w:tcPr>
          <w:p w:rsidRPr="00FE37C9" w:rsidR="00E81CDA" w:rsidP="00B20311" w:rsidRDefault="00E81CDA" w14:paraId="366292DD" w14:textId="77777777">
            <w:pPr>
              <w:spacing w:after="0" w:line="240" w:lineRule="auto"/>
              <w:ind w:right="75"/>
              <w:jc w:val="left"/>
              <w:rPr>
                <w:color w:val="000000"/>
                <w:sz w:val="22"/>
                <w:szCs w:val="22"/>
              </w:rPr>
            </w:pPr>
            <w:r w:rsidRPr="00FE37C9">
              <w:rPr>
                <w:color w:val="000000"/>
                <w:sz w:val="22"/>
                <w:szCs w:val="22"/>
              </w:rPr>
              <w:t>$122,081</w:t>
            </w:r>
          </w:p>
        </w:tc>
      </w:tr>
      <w:tr w:rsidR="00E81CDA" w:rsidTr="005B6BC3" w14:paraId="1BC9356E" w14:textId="77777777">
        <w:trPr>
          <w:trHeight w:val="20"/>
          <w:jc w:val="center"/>
        </w:trPr>
        <w:tc>
          <w:tcPr>
            <w:tcW w:w="895" w:type="dxa"/>
            <w:shd w:val="clear" w:color="auto" w:fill="auto"/>
          </w:tcPr>
          <w:p w:rsidRPr="00FE37C9" w:rsidR="00E81CDA" w:rsidP="00B20311" w:rsidRDefault="00E81CDA" w14:paraId="31A71B1F" w14:textId="77777777">
            <w:pPr>
              <w:keepNext/>
              <w:keepLines/>
              <w:spacing w:after="0" w:line="240" w:lineRule="auto"/>
              <w:ind w:left="-90" w:right="-120"/>
              <w:jc w:val="left"/>
              <w:rPr>
                <w:color w:val="000000"/>
                <w:sz w:val="22"/>
                <w:szCs w:val="22"/>
              </w:rPr>
            </w:pPr>
            <w:r w:rsidRPr="00FE37C9">
              <w:rPr>
                <w:color w:val="000000"/>
                <w:sz w:val="22"/>
                <w:szCs w:val="22"/>
              </w:rPr>
              <w:t>516210</w:t>
            </w:r>
          </w:p>
        </w:tc>
        <w:tc>
          <w:tcPr>
            <w:tcW w:w="2880" w:type="dxa"/>
            <w:shd w:val="clear" w:color="auto" w:fill="auto"/>
          </w:tcPr>
          <w:p w:rsidRPr="00FE37C9" w:rsidR="00E81CDA" w:rsidRDefault="00E81CDA" w14:paraId="72C8445B" w14:textId="77777777">
            <w:pPr>
              <w:keepNext/>
              <w:keepLines/>
              <w:spacing w:after="0" w:line="240" w:lineRule="auto"/>
              <w:ind w:right="-45"/>
              <w:jc w:val="left"/>
              <w:rPr>
                <w:color w:val="000000"/>
                <w:sz w:val="22"/>
                <w:szCs w:val="22"/>
              </w:rPr>
            </w:pPr>
            <w:r w:rsidRPr="00FE37C9">
              <w:rPr>
                <w:color w:val="000000"/>
                <w:sz w:val="22"/>
                <w:szCs w:val="22"/>
              </w:rPr>
              <w:t>Media Streaming Distribution Services, Social Networks, and Other Media Networks and Content Providers</w:t>
            </w:r>
          </w:p>
        </w:tc>
        <w:tc>
          <w:tcPr>
            <w:tcW w:w="900" w:type="dxa"/>
            <w:tcBorders>
              <w:top w:val="single" w:color="CCCCCC" w:sz="5" w:space="0"/>
              <w:left w:val="single" w:color="000000" w:sz="5" w:space="0"/>
              <w:bottom w:val="single" w:color="000000" w:sz="5" w:space="0"/>
              <w:right w:val="single" w:color="000000" w:sz="5" w:space="0"/>
            </w:tcBorders>
            <w:tcMar>
              <w:left w:w="0" w:type="dxa"/>
              <w:right w:w="0" w:type="dxa"/>
            </w:tcMar>
          </w:tcPr>
          <w:p w:rsidRPr="00FE37C9" w:rsidR="00E81CDA" w:rsidP="00B20311" w:rsidRDefault="00E81CDA" w14:paraId="07F35DEF" w14:textId="77777777">
            <w:pPr>
              <w:spacing w:after="0" w:line="240" w:lineRule="auto"/>
              <w:ind w:right="75"/>
              <w:jc w:val="left"/>
              <w:rPr>
                <w:color w:val="000000"/>
                <w:sz w:val="22"/>
                <w:szCs w:val="22"/>
              </w:rPr>
            </w:pPr>
            <w:r w:rsidRPr="00FE37C9">
              <w:rPr>
                <w:color w:val="000000"/>
                <w:sz w:val="22"/>
                <w:szCs w:val="22"/>
              </w:rPr>
              <w:t>424</w:t>
            </w:r>
          </w:p>
        </w:tc>
        <w:tc>
          <w:tcPr>
            <w:tcW w:w="875" w:type="dxa"/>
            <w:tcBorders>
              <w:top w:val="single" w:color="CCCCCC" w:sz="5" w:space="0"/>
              <w:left w:val="single" w:color="CCCCCC" w:sz="5" w:space="0"/>
              <w:bottom w:val="single" w:color="000000" w:sz="5" w:space="0"/>
              <w:right w:val="single" w:color="000000" w:sz="5" w:space="0"/>
            </w:tcBorders>
            <w:tcMar>
              <w:left w:w="0" w:type="dxa"/>
              <w:right w:w="0" w:type="dxa"/>
            </w:tcMar>
          </w:tcPr>
          <w:p w:rsidRPr="00FE37C9" w:rsidR="00E81CDA" w:rsidP="00B20311" w:rsidRDefault="00E81CDA" w14:paraId="1E674B81" w14:textId="77777777">
            <w:pPr>
              <w:spacing w:after="0" w:line="240" w:lineRule="auto"/>
              <w:ind w:right="75"/>
              <w:jc w:val="left"/>
              <w:rPr>
                <w:color w:val="000000"/>
                <w:sz w:val="22"/>
                <w:szCs w:val="22"/>
              </w:rPr>
            </w:pPr>
            <w:r w:rsidRPr="00FE37C9">
              <w:rPr>
                <w:color w:val="000000"/>
                <w:sz w:val="22"/>
                <w:szCs w:val="22"/>
              </w:rPr>
              <w:t>331</w:t>
            </w:r>
          </w:p>
        </w:tc>
        <w:tc>
          <w:tcPr>
            <w:tcW w:w="1050" w:type="dxa"/>
            <w:tcBorders>
              <w:top w:val="single" w:color="CCCCCC" w:sz="5" w:space="0"/>
              <w:left w:val="single" w:color="CCCCCC" w:sz="5" w:space="0"/>
              <w:bottom w:val="single" w:color="000000" w:sz="5" w:space="0"/>
              <w:right w:val="single" w:color="000000" w:sz="5" w:space="0"/>
            </w:tcBorders>
            <w:tcMar>
              <w:left w:w="0" w:type="dxa"/>
              <w:right w:w="0" w:type="dxa"/>
            </w:tcMar>
          </w:tcPr>
          <w:p w:rsidRPr="00FE37C9" w:rsidR="00E81CDA" w:rsidP="00B20311" w:rsidRDefault="00E81CDA" w14:paraId="7BC857BF" w14:textId="77777777">
            <w:pPr>
              <w:spacing w:after="0" w:line="240" w:lineRule="auto"/>
              <w:ind w:right="75"/>
              <w:jc w:val="left"/>
              <w:rPr>
                <w:color w:val="000000"/>
                <w:sz w:val="22"/>
                <w:szCs w:val="22"/>
              </w:rPr>
            </w:pPr>
            <w:r w:rsidRPr="00FE37C9">
              <w:rPr>
                <w:color w:val="000000"/>
                <w:sz w:val="22"/>
                <w:szCs w:val="22"/>
              </w:rPr>
              <w:t>-93</w:t>
            </w:r>
          </w:p>
        </w:tc>
        <w:tc>
          <w:tcPr>
            <w:tcW w:w="1050" w:type="dxa"/>
            <w:tcBorders>
              <w:top w:val="single" w:color="CCCCCC" w:sz="5" w:space="0"/>
              <w:left w:val="single" w:color="CCCCCC" w:sz="5" w:space="0"/>
              <w:bottom w:val="single" w:color="000000" w:sz="5" w:space="0"/>
              <w:right w:val="single" w:color="000000" w:sz="5" w:space="0"/>
            </w:tcBorders>
            <w:tcMar>
              <w:left w:w="0" w:type="dxa"/>
              <w:right w:w="0" w:type="dxa"/>
            </w:tcMar>
          </w:tcPr>
          <w:p w:rsidRPr="00FE37C9" w:rsidR="00E81CDA" w:rsidP="00B20311" w:rsidRDefault="00E81CDA" w14:paraId="4FDB29F4" w14:textId="77777777">
            <w:pPr>
              <w:spacing w:after="0" w:line="240" w:lineRule="auto"/>
              <w:ind w:right="75"/>
              <w:jc w:val="left"/>
              <w:rPr>
                <w:color w:val="000000"/>
                <w:sz w:val="22"/>
                <w:szCs w:val="22"/>
              </w:rPr>
            </w:pPr>
            <w:r w:rsidRPr="00FE37C9">
              <w:rPr>
                <w:color w:val="000000"/>
                <w:sz w:val="22"/>
                <w:szCs w:val="22"/>
              </w:rPr>
              <w:t>-22%</w:t>
            </w:r>
          </w:p>
        </w:tc>
        <w:tc>
          <w:tcPr>
            <w:tcW w:w="1170" w:type="dxa"/>
            <w:tcBorders>
              <w:top w:val="single" w:color="CCCCCC" w:sz="5" w:space="0"/>
              <w:left w:val="single" w:color="CCCCCC" w:sz="5" w:space="0"/>
              <w:bottom w:val="single" w:color="000000" w:sz="5" w:space="0"/>
              <w:right w:val="single" w:color="000000" w:sz="5" w:space="0"/>
            </w:tcBorders>
            <w:tcMar>
              <w:left w:w="0" w:type="dxa"/>
              <w:right w:w="0" w:type="dxa"/>
            </w:tcMar>
          </w:tcPr>
          <w:p w:rsidRPr="00FE37C9" w:rsidR="00E81CDA" w:rsidP="00B20311" w:rsidRDefault="00E81CDA" w14:paraId="25E56151" w14:textId="77777777">
            <w:pPr>
              <w:spacing w:after="0" w:line="240" w:lineRule="auto"/>
              <w:ind w:right="75"/>
              <w:jc w:val="left"/>
              <w:rPr>
                <w:color w:val="000000"/>
                <w:sz w:val="22"/>
                <w:szCs w:val="22"/>
              </w:rPr>
            </w:pPr>
            <w:r w:rsidRPr="00FE37C9">
              <w:rPr>
                <w:color w:val="000000"/>
                <w:sz w:val="22"/>
                <w:szCs w:val="22"/>
              </w:rPr>
              <w:t>$85,543</w:t>
            </w:r>
          </w:p>
        </w:tc>
        <w:tc>
          <w:tcPr>
            <w:tcW w:w="1170" w:type="dxa"/>
            <w:tcMar>
              <w:left w:w="0" w:type="dxa"/>
              <w:right w:w="0" w:type="dxa"/>
            </w:tcMar>
          </w:tcPr>
          <w:p w:rsidRPr="00FE37C9" w:rsidR="00E81CDA" w:rsidP="00B20311" w:rsidRDefault="00E81CDA" w14:paraId="6BD31493" w14:textId="77777777">
            <w:pPr>
              <w:spacing w:after="0" w:line="240" w:lineRule="auto"/>
              <w:ind w:right="75"/>
              <w:jc w:val="left"/>
              <w:rPr>
                <w:color w:val="000000"/>
                <w:sz w:val="22"/>
                <w:szCs w:val="22"/>
              </w:rPr>
            </w:pPr>
            <w:r w:rsidRPr="00FE37C9">
              <w:rPr>
                <w:color w:val="000000"/>
                <w:sz w:val="22"/>
                <w:szCs w:val="22"/>
              </w:rPr>
              <w:t>$239,987</w:t>
            </w:r>
          </w:p>
        </w:tc>
      </w:tr>
      <w:tr w:rsidR="00E81CDA" w:rsidTr="005B6BC3" w14:paraId="4F007A87" w14:textId="77777777">
        <w:trPr>
          <w:trHeight w:val="20"/>
          <w:jc w:val="center"/>
        </w:trPr>
        <w:tc>
          <w:tcPr>
            <w:tcW w:w="895" w:type="dxa"/>
            <w:shd w:val="clear" w:color="auto" w:fill="auto"/>
          </w:tcPr>
          <w:p w:rsidRPr="00FE37C9" w:rsidR="00E81CDA" w:rsidP="00B20311" w:rsidRDefault="00E81CDA" w14:paraId="11137157" w14:textId="77777777">
            <w:pPr>
              <w:keepNext/>
              <w:keepLines/>
              <w:spacing w:after="0" w:line="240" w:lineRule="auto"/>
              <w:ind w:left="-90" w:right="-120"/>
              <w:jc w:val="left"/>
              <w:rPr>
                <w:color w:val="000000"/>
                <w:sz w:val="22"/>
                <w:szCs w:val="22"/>
              </w:rPr>
            </w:pPr>
            <w:r w:rsidRPr="00FE37C9">
              <w:rPr>
                <w:color w:val="000000"/>
                <w:sz w:val="22"/>
                <w:szCs w:val="22"/>
              </w:rPr>
              <w:t>517111</w:t>
            </w:r>
          </w:p>
        </w:tc>
        <w:tc>
          <w:tcPr>
            <w:tcW w:w="2880" w:type="dxa"/>
            <w:shd w:val="clear" w:color="auto" w:fill="auto"/>
          </w:tcPr>
          <w:p w:rsidRPr="00FE37C9" w:rsidR="00E81CDA" w:rsidRDefault="00E81CDA" w14:paraId="31EFC8CF" w14:textId="77777777">
            <w:pPr>
              <w:keepNext/>
              <w:keepLines/>
              <w:spacing w:after="0" w:line="240" w:lineRule="auto"/>
              <w:ind w:right="-45"/>
              <w:jc w:val="left"/>
              <w:rPr>
                <w:color w:val="000000"/>
                <w:sz w:val="22"/>
                <w:szCs w:val="22"/>
              </w:rPr>
            </w:pPr>
            <w:r w:rsidRPr="00FE37C9">
              <w:rPr>
                <w:color w:val="000000"/>
                <w:sz w:val="22"/>
                <w:szCs w:val="22"/>
              </w:rPr>
              <w:t>Wired Telecommunications Carriers</w:t>
            </w:r>
          </w:p>
        </w:tc>
        <w:tc>
          <w:tcPr>
            <w:tcW w:w="900" w:type="dxa"/>
            <w:tcBorders>
              <w:top w:val="single" w:color="CCCCCC" w:sz="5" w:space="0"/>
              <w:left w:val="single" w:color="000000" w:sz="5" w:space="0"/>
              <w:bottom w:val="single" w:color="000000" w:sz="5" w:space="0"/>
              <w:right w:val="single" w:color="000000" w:sz="5" w:space="0"/>
            </w:tcBorders>
            <w:tcMar>
              <w:left w:w="0" w:type="dxa"/>
              <w:right w:w="0" w:type="dxa"/>
            </w:tcMar>
          </w:tcPr>
          <w:p w:rsidRPr="00FE37C9" w:rsidR="00E81CDA" w:rsidP="00B20311" w:rsidRDefault="00E81CDA" w14:paraId="56F77B80" w14:textId="77777777">
            <w:pPr>
              <w:spacing w:after="0" w:line="240" w:lineRule="auto"/>
              <w:ind w:right="75"/>
              <w:jc w:val="left"/>
              <w:rPr>
                <w:color w:val="000000"/>
                <w:sz w:val="22"/>
                <w:szCs w:val="22"/>
              </w:rPr>
            </w:pPr>
            <w:r w:rsidRPr="00FE37C9">
              <w:rPr>
                <w:color w:val="000000"/>
                <w:sz w:val="22"/>
                <w:szCs w:val="22"/>
              </w:rPr>
              <w:t>6,528</w:t>
            </w:r>
          </w:p>
        </w:tc>
        <w:tc>
          <w:tcPr>
            <w:tcW w:w="875" w:type="dxa"/>
            <w:tcBorders>
              <w:top w:val="single" w:color="CCCCCC" w:sz="5" w:space="0"/>
              <w:left w:val="single" w:color="CCCCCC" w:sz="5" w:space="0"/>
              <w:bottom w:val="single" w:color="000000" w:sz="5" w:space="0"/>
              <w:right w:val="single" w:color="000000" w:sz="5" w:space="0"/>
            </w:tcBorders>
            <w:tcMar>
              <w:left w:w="0" w:type="dxa"/>
              <w:right w:w="0" w:type="dxa"/>
            </w:tcMar>
          </w:tcPr>
          <w:p w:rsidRPr="00FE37C9" w:rsidR="00E81CDA" w:rsidP="00B20311" w:rsidRDefault="00E81CDA" w14:paraId="6F49B038" w14:textId="77777777">
            <w:pPr>
              <w:spacing w:after="0" w:line="240" w:lineRule="auto"/>
              <w:ind w:right="75"/>
              <w:jc w:val="left"/>
              <w:rPr>
                <w:color w:val="000000"/>
                <w:sz w:val="22"/>
                <w:szCs w:val="22"/>
              </w:rPr>
            </w:pPr>
            <w:r w:rsidRPr="00FE37C9">
              <w:rPr>
                <w:color w:val="000000"/>
                <w:sz w:val="22"/>
                <w:szCs w:val="22"/>
              </w:rPr>
              <w:t>5,331</w:t>
            </w:r>
          </w:p>
        </w:tc>
        <w:tc>
          <w:tcPr>
            <w:tcW w:w="1050" w:type="dxa"/>
            <w:tcBorders>
              <w:top w:val="single" w:color="CCCCCC" w:sz="5" w:space="0"/>
              <w:left w:val="single" w:color="CCCCCC" w:sz="5" w:space="0"/>
              <w:bottom w:val="single" w:color="000000" w:sz="5" w:space="0"/>
              <w:right w:val="single" w:color="000000" w:sz="5" w:space="0"/>
            </w:tcBorders>
            <w:tcMar>
              <w:left w:w="0" w:type="dxa"/>
              <w:right w:w="0" w:type="dxa"/>
            </w:tcMar>
          </w:tcPr>
          <w:p w:rsidRPr="00FE37C9" w:rsidR="00E81CDA" w:rsidP="00B20311" w:rsidRDefault="00E81CDA" w14:paraId="78FA428F" w14:textId="77777777">
            <w:pPr>
              <w:spacing w:after="0" w:line="240" w:lineRule="auto"/>
              <w:ind w:right="75"/>
              <w:jc w:val="left"/>
              <w:rPr>
                <w:color w:val="000000"/>
                <w:sz w:val="22"/>
                <w:szCs w:val="22"/>
              </w:rPr>
            </w:pPr>
            <w:r w:rsidRPr="00FE37C9">
              <w:rPr>
                <w:color w:val="000000"/>
                <w:sz w:val="22"/>
                <w:szCs w:val="22"/>
              </w:rPr>
              <w:t>-1,197</w:t>
            </w:r>
          </w:p>
        </w:tc>
        <w:tc>
          <w:tcPr>
            <w:tcW w:w="1050" w:type="dxa"/>
            <w:tcBorders>
              <w:top w:val="single" w:color="CCCCCC" w:sz="5" w:space="0"/>
              <w:left w:val="single" w:color="CCCCCC" w:sz="5" w:space="0"/>
              <w:bottom w:val="single" w:color="000000" w:sz="5" w:space="0"/>
              <w:right w:val="single" w:color="000000" w:sz="5" w:space="0"/>
            </w:tcBorders>
            <w:tcMar>
              <w:left w:w="0" w:type="dxa"/>
              <w:right w:w="0" w:type="dxa"/>
            </w:tcMar>
          </w:tcPr>
          <w:p w:rsidRPr="00FE37C9" w:rsidR="00E81CDA" w:rsidP="00B20311" w:rsidRDefault="00E81CDA" w14:paraId="33D86FA5" w14:textId="77777777">
            <w:pPr>
              <w:spacing w:after="0" w:line="240" w:lineRule="auto"/>
              <w:ind w:right="75"/>
              <w:jc w:val="left"/>
              <w:rPr>
                <w:color w:val="000000"/>
                <w:sz w:val="22"/>
                <w:szCs w:val="22"/>
              </w:rPr>
            </w:pPr>
            <w:r w:rsidRPr="00FE37C9">
              <w:rPr>
                <w:color w:val="000000"/>
                <w:sz w:val="22"/>
                <w:szCs w:val="22"/>
              </w:rPr>
              <w:t>-18%</w:t>
            </w:r>
          </w:p>
        </w:tc>
        <w:tc>
          <w:tcPr>
            <w:tcW w:w="1170" w:type="dxa"/>
            <w:tcBorders>
              <w:top w:val="single" w:color="CCCCCC" w:sz="5" w:space="0"/>
              <w:left w:val="single" w:color="CCCCCC" w:sz="5" w:space="0"/>
              <w:bottom w:val="single" w:color="000000" w:sz="5" w:space="0"/>
              <w:right w:val="single" w:color="000000" w:sz="5" w:space="0"/>
            </w:tcBorders>
            <w:tcMar>
              <w:left w:w="0" w:type="dxa"/>
              <w:right w:w="0" w:type="dxa"/>
            </w:tcMar>
          </w:tcPr>
          <w:p w:rsidRPr="00FE37C9" w:rsidR="00E81CDA" w:rsidP="00B20311" w:rsidRDefault="00E81CDA" w14:paraId="113FE4FC" w14:textId="77777777">
            <w:pPr>
              <w:spacing w:after="0" w:line="240" w:lineRule="auto"/>
              <w:ind w:right="75"/>
              <w:jc w:val="left"/>
              <w:rPr>
                <w:color w:val="000000"/>
                <w:sz w:val="22"/>
                <w:szCs w:val="22"/>
              </w:rPr>
            </w:pPr>
            <w:r w:rsidRPr="00FE37C9">
              <w:rPr>
                <w:color w:val="000000"/>
                <w:sz w:val="22"/>
                <w:szCs w:val="22"/>
              </w:rPr>
              <w:t>$103,738</w:t>
            </w:r>
          </w:p>
        </w:tc>
        <w:tc>
          <w:tcPr>
            <w:tcW w:w="1170" w:type="dxa"/>
            <w:tcMar>
              <w:left w:w="0" w:type="dxa"/>
              <w:right w:w="0" w:type="dxa"/>
            </w:tcMar>
          </w:tcPr>
          <w:p w:rsidRPr="00FE37C9" w:rsidR="00E81CDA" w:rsidP="00B20311" w:rsidRDefault="00E81CDA" w14:paraId="5B405B6E" w14:textId="77777777">
            <w:pPr>
              <w:spacing w:after="0" w:line="240" w:lineRule="auto"/>
              <w:ind w:right="75"/>
              <w:jc w:val="left"/>
              <w:rPr>
                <w:color w:val="000000"/>
                <w:sz w:val="22"/>
                <w:szCs w:val="22"/>
              </w:rPr>
            </w:pPr>
            <w:r w:rsidRPr="00FE37C9">
              <w:rPr>
                <w:color w:val="000000"/>
                <w:sz w:val="22"/>
                <w:szCs w:val="22"/>
              </w:rPr>
              <w:t>$126,979</w:t>
            </w:r>
          </w:p>
        </w:tc>
      </w:tr>
      <w:tr w:rsidR="00E81CDA" w:rsidTr="005B6BC3" w14:paraId="6E26E313" w14:textId="77777777">
        <w:trPr>
          <w:trHeight w:val="20"/>
          <w:jc w:val="center"/>
        </w:trPr>
        <w:tc>
          <w:tcPr>
            <w:tcW w:w="895" w:type="dxa"/>
            <w:shd w:val="clear" w:color="auto" w:fill="auto"/>
          </w:tcPr>
          <w:p w:rsidRPr="00FE37C9" w:rsidR="00E81CDA" w:rsidP="00B20311" w:rsidRDefault="00E81CDA" w14:paraId="606978A3" w14:textId="77777777">
            <w:pPr>
              <w:keepNext/>
              <w:keepLines/>
              <w:spacing w:after="0" w:line="240" w:lineRule="auto"/>
              <w:ind w:left="-90" w:right="-120"/>
              <w:jc w:val="left"/>
              <w:rPr>
                <w:color w:val="000000"/>
                <w:sz w:val="22"/>
                <w:szCs w:val="22"/>
              </w:rPr>
            </w:pPr>
            <w:r w:rsidRPr="00FE37C9">
              <w:rPr>
                <w:color w:val="000000"/>
                <w:sz w:val="22"/>
                <w:szCs w:val="22"/>
              </w:rPr>
              <w:t>517112</w:t>
            </w:r>
          </w:p>
        </w:tc>
        <w:tc>
          <w:tcPr>
            <w:tcW w:w="2880" w:type="dxa"/>
            <w:shd w:val="clear" w:color="auto" w:fill="auto"/>
          </w:tcPr>
          <w:p w:rsidRPr="00FE37C9" w:rsidR="00E81CDA" w:rsidRDefault="00E81CDA" w14:paraId="4945FF1F" w14:textId="77777777">
            <w:pPr>
              <w:keepNext/>
              <w:keepLines/>
              <w:spacing w:after="0" w:line="240" w:lineRule="auto"/>
              <w:ind w:right="-45"/>
              <w:jc w:val="left"/>
              <w:rPr>
                <w:color w:val="000000"/>
                <w:sz w:val="22"/>
                <w:szCs w:val="22"/>
              </w:rPr>
            </w:pPr>
            <w:r w:rsidRPr="00FE37C9">
              <w:rPr>
                <w:color w:val="000000"/>
                <w:sz w:val="22"/>
                <w:szCs w:val="22"/>
              </w:rPr>
              <w:t>Wireless Telecommunications Carriers (except Satellite)</w:t>
            </w:r>
          </w:p>
        </w:tc>
        <w:tc>
          <w:tcPr>
            <w:tcW w:w="900" w:type="dxa"/>
            <w:tcBorders>
              <w:top w:val="single" w:color="CCCCCC" w:sz="5" w:space="0"/>
              <w:left w:val="single" w:color="000000" w:sz="5" w:space="0"/>
              <w:bottom w:val="single" w:color="000000" w:sz="5" w:space="0"/>
              <w:right w:val="single" w:color="000000" w:sz="5" w:space="0"/>
            </w:tcBorders>
            <w:tcMar>
              <w:left w:w="0" w:type="dxa"/>
              <w:right w:w="0" w:type="dxa"/>
            </w:tcMar>
          </w:tcPr>
          <w:p w:rsidRPr="00FE37C9" w:rsidR="00E81CDA" w:rsidP="00B20311" w:rsidRDefault="00E81CDA" w14:paraId="1D593669" w14:textId="77777777">
            <w:pPr>
              <w:spacing w:after="0" w:line="240" w:lineRule="auto"/>
              <w:ind w:right="75"/>
              <w:jc w:val="left"/>
              <w:rPr>
                <w:color w:val="000000"/>
                <w:sz w:val="22"/>
                <w:szCs w:val="22"/>
              </w:rPr>
            </w:pPr>
            <w:r w:rsidRPr="00FE37C9">
              <w:rPr>
                <w:color w:val="000000"/>
                <w:sz w:val="22"/>
                <w:szCs w:val="22"/>
              </w:rPr>
              <w:t>1,093</w:t>
            </w:r>
          </w:p>
        </w:tc>
        <w:tc>
          <w:tcPr>
            <w:tcW w:w="875" w:type="dxa"/>
            <w:tcBorders>
              <w:top w:val="single" w:color="CCCCCC" w:sz="5" w:space="0"/>
              <w:left w:val="single" w:color="CCCCCC" w:sz="5" w:space="0"/>
              <w:bottom w:val="single" w:color="000000" w:sz="5" w:space="0"/>
              <w:right w:val="single" w:color="000000" w:sz="5" w:space="0"/>
            </w:tcBorders>
            <w:tcMar>
              <w:left w:w="0" w:type="dxa"/>
              <w:right w:w="0" w:type="dxa"/>
            </w:tcMar>
          </w:tcPr>
          <w:p w:rsidRPr="00FE37C9" w:rsidR="00E81CDA" w:rsidP="00B20311" w:rsidRDefault="00E81CDA" w14:paraId="02890E13" w14:textId="77777777">
            <w:pPr>
              <w:spacing w:after="0" w:line="240" w:lineRule="auto"/>
              <w:ind w:right="75"/>
              <w:jc w:val="left"/>
              <w:rPr>
                <w:color w:val="000000"/>
                <w:sz w:val="22"/>
                <w:szCs w:val="22"/>
              </w:rPr>
            </w:pPr>
            <w:r w:rsidRPr="00FE37C9">
              <w:rPr>
                <w:color w:val="000000"/>
                <w:sz w:val="22"/>
                <w:szCs w:val="22"/>
              </w:rPr>
              <w:t>1,432</w:t>
            </w:r>
          </w:p>
        </w:tc>
        <w:tc>
          <w:tcPr>
            <w:tcW w:w="1050" w:type="dxa"/>
            <w:tcBorders>
              <w:top w:val="single" w:color="CCCCCC" w:sz="5" w:space="0"/>
              <w:left w:val="single" w:color="CCCCCC" w:sz="5" w:space="0"/>
              <w:bottom w:val="single" w:color="000000" w:sz="5" w:space="0"/>
              <w:right w:val="single" w:color="000000" w:sz="5" w:space="0"/>
            </w:tcBorders>
            <w:tcMar>
              <w:left w:w="0" w:type="dxa"/>
              <w:right w:w="0" w:type="dxa"/>
            </w:tcMar>
          </w:tcPr>
          <w:p w:rsidRPr="00FE37C9" w:rsidR="00E81CDA" w:rsidP="00B20311" w:rsidRDefault="00E81CDA" w14:paraId="5EED9DA8" w14:textId="77777777">
            <w:pPr>
              <w:spacing w:after="0" w:line="240" w:lineRule="auto"/>
              <w:ind w:right="75"/>
              <w:jc w:val="left"/>
              <w:rPr>
                <w:color w:val="000000"/>
                <w:sz w:val="22"/>
                <w:szCs w:val="22"/>
              </w:rPr>
            </w:pPr>
            <w:r w:rsidRPr="00FE37C9">
              <w:rPr>
                <w:color w:val="000000"/>
                <w:sz w:val="22"/>
                <w:szCs w:val="22"/>
              </w:rPr>
              <w:t>339</w:t>
            </w:r>
          </w:p>
        </w:tc>
        <w:tc>
          <w:tcPr>
            <w:tcW w:w="1050" w:type="dxa"/>
            <w:tcBorders>
              <w:top w:val="single" w:color="CCCCCC" w:sz="5" w:space="0"/>
              <w:left w:val="single" w:color="CCCCCC" w:sz="5" w:space="0"/>
              <w:bottom w:val="single" w:color="000000" w:sz="5" w:space="0"/>
              <w:right w:val="single" w:color="000000" w:sz="5" w:space="0"/>
            </w:tcBorders>
            <w:tcMar>
              <w:left w:w="0" w:type="dxa"/>
              <w:right w:w="0" w:type="dxa"/>
            </w:tcMar>
          </w:tcPr>
          <w:p w:rsidRPr="00FE37C9" w:rsidR="00E81CDA" w:rsidP="00B20311" w:rsidRDefault="00E81CDA" w14:paraId="5CC61D0F" w14:textId="77777777">
            <w:pPr>
              <w:spacing w:after="0" w:line="240" w:lineRule="auto"/>
              <w:ind w:right="75"/>
              <w:jc w:val="left"/>
              <w:rPr>
                <w:color w:val="000000"/>
                <w:sz w:val="22"/>
                <w:szCs w:val="22"/>
              </w:rPr>
            </w:pPr>
            <w:r w:rsidRPr="00FE37C9">
              <w:rPr>
                <w:color w:val="000000"/>
                <w:sz w:val="22"/>
                <w:szCs w:val="22"/>
              </w:rPr>
              <w:t>31%</w:t>
            </w:r>
          </w:p>
        </w:tc>
        <w:tc>
          <w:tcPr>
            <w:tcW w:w="1170" w:type="dxa"/>
            <w:tcBorders>
              <w:top w:val="single" w:color="CCCCCC" w:sz="5" w:space="0"/>
              <w:left w:val="single" w:color="CCCCCC" w:sz="5" w:space="0"/>
              <w:bottom w:val="single" w:color="000000" w:sz="5" w:space="0"/>
              <w:right w:val="single" w:color="000000" w:sz="5" w:space="0"/>
            </w:tcBorders>
            <w:tcMar>
              <w:left w:w="0" w:type="dxa"/>
              <w:right w:w="0" w:type="dxa"/>
            </w:tcMar>
          </w:tcPr>
          <w:p w:rsidRPr="00FE37C9" w:rsidR="00E81CDA" w:rsidP="00B20311" w:rsidRDefault="00E81CDA" w14:paraId="3755AFED" w14:textId="77777777">
            <w:pPr>
              <w:spacing w:after="0" w:line="240" w:lineRule="auto"/>
              <w:ind w:right="75"/>
              <w:jc w:val="left"/>
              <w:rPr>
                <w:color w:val="000000"/>
                <w:sz w:val="22"/>
                <w:szCs w:val="22"/>
              </w:rPr>
            </w:pPr>
            <w:r w:rsidRPr="00FE37C9">
              <w:rPr>
                <w:color w:val="000000"/>
                <w:sz w:val="22"/>
                <w:szCs w:val="22"/>
              </w:rPr>
              <w:t>$93,413</w:t>
            </w:r>
          </w:p>
        </w:tc>
        <w:tc>
          <w:tcPr>
            <w:tcW w:w="1170" w:type="dxa"/>
            <w:tcMar>
              <w:left w:w="0" w:type="dxa"/>
              <w:right w:w="0" w:type="dxa"/>
            </w:tcMar>
          </w:tcPr>
          <w:p w:rsidRPr="00FE37C9" w:rsidR="00E81CDA" w:rsidP="00B20311" w:rsidRDefault="00E81CDA" w14:paraId="6D4AEB04" w14:textId="77777777">
            <w:pPr>
              <w:spacing w:after="0" w:line="240" w:lineRule="auto"/>
              <w:ind w:right="75"/>
              <w:jc w:val="left"/>
              <w:rPr>
                <w:color w:val="000000"/>
                <w:sz w:val="22"/>
                <w:szCs w:val="22"/>
              </w:rPr>
            </w:pPr>
            <w:r w:rsidRPr="00FE37C9">
              <w:rPr>
                <w:color w:val="000000"/>
                <w:sz w:val="22"/>
                <w:szCs w:val="22"/>
              </w:rPr>
              <w:t>$126,584</w:t>
            </w:r>
          </w:p>
        </w:tc>
      </w:tr>
      <w:tr w:rsidR="00E81CDA" w:rsidTr="005B6BC3" w14:paraId="42CBBFC0" w14:textId="77777777">
        <w:trPr>
          <w:trHeight w:val="20"/>
          <w:jc w:val="center"/>
        </w:trPr>
        <w:tc>
          <w:tcPr>
            <w:tcW w:w="895" w:type="dxa"/>
            <w:shd w:val="clear" w:color="auto" w:fill="auto"/>
          </w:tcPr>
          <w:p w:rsidRPr="00FE37C9" w:rsidR="00E81CDA" w:rsidP="00B20311" w:rsidRDefault="00E81CDA" w14:paraId="64E23C06" w14:textId="77777777">
            <w:pPr>
              <w:keepNext/>
              <w:keepLines/>
              <w:spacing w:after="0" w:line="240" w:lineRule="auto"/>
              <w:ind w:left="-90" w:right="-120"/>
              <w:jc w:val="left"/>
              <w:rPr>
                <w:b/>
                <w:color w:val="000000"/>
                <w:sz w:val="22"/>
                <w:szCs w:val="22"/>
              </w:rPr>
            </w:pPr>
            <w:r w:rsidRPr="00FE37C9">
              <w:rPr>
                <w:b/>
                <w:color w:val="000000"/>
                <w:sz w:val="22"/>
                <w:szCs w:val="22"/>
              </w:rPr>
              <w:t> </w:t>
            </w:r>
          </w:p>
        </w:tc>
        <w:tc>
          <w:tcPr>
            <w:tcW w:w="2880" w:type="dxa"/>
            <w:shd w:val="clear" w:color="auto" w:fill="auto"/>
          </w:tcPr>
          <w:p w:rsidRPr="00FE37C9" w:rsidR="00E81CDA" w:rsidRDefault="00E81CDA" w14:paraId="56259037" w14:textId="4D62514A">
            <w:pPr>
              <w:keepNext/>
              <w:keepLines/>
              <w:spacing w:after="0" w:line="240" w:lineRule="auto"/>
              <w:ind w:right="-45"/>
              <w:jc w:val="left"/>
              <w:rPr>
                <w:b/>
                <w:sz w:val="22"/>
                <w:szCs w:val="22"/>
              </w:rPr>
            </w:pPr>
            <w:r w:rsidRPr="00FE37C9">
              <w:rPr>
                <w:b/>
                <w:sz w:val="22"/>
                <w:szCs w:val="22"/>
              </w:rPr>
              <w:t xml:space="preserve">Total </w:t>
            </w:r>
            <w:r w:rsidRPr="00FE37C9" w:rsidR="005E5002">
              <w:rPr>
                <w:rStyle w:val="FootnoteReference"/>
                <w:sz w:val="22"/>
                <w:szCs w:val="22"/>
              </w:rPr>
              <w:footnoteReference w:id="63"/>
            </w:r>
          </w:p>
        </w:tc>
        <w:tc>
          <w:tcPr>
            <w:tcW w:w="900" w:type="dxa"/>
            <w:tcBorders>
              <w:top w:val="single" w:color="CCCCCC" w:sz="5" w:space="0"/>
              <w:left w:val="single" w:color="000000" w:sz="5" w:space="0"/>
              <w:bottom w:val="single" w:color="000000" w:sz="5" w:space="0"/>
              <w:right w:val="single" w:color="000000" w:sz="5" w:space="0"/>
            </w:tcBorders>
            <w:tcMar>
              <w:left w:w="0" w:type="dxa"/>
              <w:right w:w="0" w:type="dxa"/>
            </w:tcMar>
          </w:tcPr>
          <w:p w:rsidRPr="00FE37C9" w:rsidR="00E81CDA" w:rsidP="00B20311" w:rsidRDefault="00E81CDA" w14:paraId="7A1A663E" w14:textId="77777777">
            <w:pPr>
              <w:spacing w:after="0" w:line="240" w:lineRule="auto"/>
              <w:ind w:right="75"/>
              <w:jc w:val="left"/>
              <w:rPr>
                <w:color w:val="000000"/>
                <w:sz w:val="22"/>
                <w:szCs w:val="22"/>
              </w:rPr>
            </w:pPr>
            <w:r w:rsidRPr="00FE37C9">
              <w:rPr>
                <w:b/>
                <w:sz w:val="22"/>
                <w:szCs w:val="22"/>
              </w:rPr>
              <w:t>13,424</w:t>
            </w:r>
          </w:p>
        </w:tc>
        <w:tc>
          <w:tcPr>
            <w:tcW w:w="875" w:type="dxa"/>
            <w:tcBorders>
              <w:top w:val="single" w:color="CCCCCC" w:sz="5" w:space="0"/>
              <w:left w:val="single" w:color="CCCCCC" w:sz="5" w:space="0"/>
              <w:bottom w:val="single" w:color="000000" w:sz="5" w:space="0"/>
              <w:right w:val="single" w:color="000000" w:sz="5" w:space="0"/>
            </w:tcBorders>
            <w:tcMar>
              <w:left w:w="0" w:type="dxa"/>
              <w:right w:w="0" w:type="dxa"/>
            </w:tcMar>
          </w:tcPr>
          <w:p w:rsidRPr="00FE37C9" w:rsidR="00E81CDA" w:rsidP="00B20311" w:rsidRDefault="00E81CDA" w14:paraId="61D157AD" w14:textId="32A3CC31">
            <w:pPr>
              <w:spacing w:after="0" w:line="240" w:lineRule="auto"/>
              <w:ind w:right="75"/>
              <w:jc w:val="left"/>
              <w:rPr>
                <w:color w:val="000000"/>
                <w:sz w:val="22"/>
                <w:szCs w:val="22"/>
              </w:rPr>
            </w:pPr>
            <w:r w:rsidRPr="00FE37C9">
              <w:rPr>
                <w:b/>
                <w:sz w:val="22"/>
                <w:szCs w:val="22"/>
              </w:rPr>
              <w:t>12,868</w:t>
            </w:r>
          </w:p>
        </w:tc>
        <w:tc>
          <w:tcPr>
            <w:tcW w:w="1050" w:type="dxa"/>
            <w:tcBorders>
              <w:top w:val="single" w:color="CCCCCC" w:sz="5" w:space="0"/>
              <w:left w:val="single" w:color="CCCCCC" w:sz="5" w:space="0"/>
              <w:bottom w:val="single" w:color="000000" w:sz="5" w:space="0"/>
              <w:right w:val="single" w:color="000000" w:sz="5" w:space="0"/>
            </w:tcBorders>
            <w:tcMar>
              <w:left w:w="0" w:type="dxa"/>
              <w:right w:w="0" w:type="dxa"/>
            </w:tcMar>
          </w:tcPr>
          <w:p w:rsidRPr="00FE37C9" w:rsidR="00E81CDA" w:rsidP="00B20311" w:rsidRDefault="00E81CDA" w14:paraId="371D6B21" w14:textId="77777777">
            <w:pPr>
              <w:spacing w:after="0" w:line="240" w:lineRule="auto"/>
              <w:ind w:right="75"/>
              <w:jc w:val="left"/>
              <w:rPr>
                <w:color w:val="000000"/>
                <w:sz w:val="22"/>
                <w:szCs w:val="22"/>
              </w:rPr>
            </w:pPr>
            <w:r w:rsidRPr="00FE37C9">
              <w:rPr>
                <w:b/>
                <w:sz w:val="22"/>
                <w:szCs w:val="22"/>
              </w:rPr>
              <w:t>-556</w:t>
            </w:r>
          </w:p>
        </w:tc>
        <w:tc>
          <w:tcPr>
            <w:tcW w:w="1050" w:type="dxa"/>
            <w:tcBorders>
              <w:top w:val="single" w:color="CCCCCC" w:sz="5" w:space="0"/>
              <w:left w:val="single" w:color="CCCCCC" w:sz="5" w:space="0"/>
              <w:bottom w:val="single" w:color="000000" w:sz="5" w:space="0"/>
              <w:right w:val="single" w:color="000000" w:sz="5" w:space="0"/>
            </w:tcBorders>
            <w:tcMar>
              <w:left w:w="0" w:type="dxa"/>
              <w:right w:w="0" w:type="dxa"/>
            </w:tcMar>
          </w:tcPr>
          <w:p w:rsidRPr="00FE37C9" w:rsidR="00E81CDA" w:rsidP="00B20311" w:rsidRDefault="00E81CDA" w14:paraId="7EA39E50" w14:textId="77777777">
            <w:pPr>
              <w:spacing w:after="0" w:line="240" w:lineRule="auto"/>
              <w:ind w:right="75"/>
              <w:jc w:val="left"/>
              <w:rPr>
                <w:color w:val="000000"/>
                <w:sz w:val="22"/>
                <w:szCs w:val="22"/>
              </w:rPr>
            </w:pPr>
            <w:r w:rsidRPr="00FE37C9">
              <w:rPr>
                <w:b/>
                <w:sz w:val="22"/>
                <w:szCs w:val="22"/>
              </w:rPr>
              <w:t>-4%</w:t>
            </w:r>
          </w:p>
        </w:tc>
        <w:tc>
          <w:tcPr>
            <w:tcW w:w="1170" w:type="dxa"/>
            <w:tcBorders>
              <w:top w:val="single" w:color="CCCCCC" w:sz="5" w:space="0"/>
              <w:left w:val="single" w:color="CCCCCC" w:sz="5" w:space="0"/>
              <w:bottom w:val="single" w:color="000000" w:sz="5" w:space="0"/>
              <w:right w:val="single" w:color="000000" w:sz="5" w:space="0"/>
            </w:tcBorders>
            <w:tcMar>
              <w:left w:w="0" w:type="dxa"/>
              <w:right w:w="0" w:type="dxa"/>
            </w:tcMar>
          </w:tcPr>
          <w:p w:rsidRPr="00FE37C9" w:rsidR="00E81CDA" w:rsidP="00B20311" w:rsidRDefault="00E81CDA" w14:paraId="65FD4E48" w14:textId="77777777">
            <w:pPr>
              <w:spacing w:after="0" w:line="240" w:lineRule="auto"/>
              <w:ind w:right="75"/>
              <w:jc w:val="left"/>
              <w:rPr>
                <w:color w:val="000000"/>
                <w:sz w:val="22"/>
                <w:szCs w:val="22"/>
              </w:rPr>
            </w:pPr>
            <w:r w:rsidRPr="00FE37C9">
              <w:rPr>
                <w:b/>
                <w:sz w:val="22"/>
                <w:szCs w:val="22"/>
              </w:rPr>
              <w:t>$101,490</w:t>
            </w:r>
          </w:p>
        </w:tc>
        <w:tc>
          <w:tcPr>
            <w:tcW w:w="1170" w:type="dxa"/>
            <w:tcMar>
              <w:left w:w="0" w:type="dxa"/>
              <w:right w:w="0" w:type="dxa"/>
            </w:tcMar>
          </w:tcPr>
          <w:p w:rsidRPr="00FE37C9" w:rsidR="00E81CDA" w:rsidP="00B20311" w:rsidRDefault="00E81CDA" w14:paraId="41B11DA9" w14:textId="302381DA">
            <w:pPr>
              <w:spacing w:after="0" w:line="240" w:lineRule="auto"/>
              <w:ind w:right="75"/>
              <w:jc w:val="left"/>
              <w:rPr>
                <w:sz w:val="22"/>
                <w:szCs w:val="22"/>
              </w:rPr>
            </w:pPr>
            <w:r w:rsidRPr="00FE37C9">
              <w:rPr>
                <w:b/>
                <w:sz w:val="22"/>
                <w:szCs w:val="22"/>
              </w:rPr>
              <w:t>$147,794</w:t>
            </w:r>
          </w:p>
        </w:tc>
      </w:tr>
    </w:tbl>
    <w:p w:rsidR="00E81CDA" w:rsidP="00FE37C9" w:rsidRDefault="00E81CDA" w14:paraId="1D87FD0C" w14:textId="77777777">
      <w:pPr>
        <w:widowControl w:val="0"/>
        <w:rPr>
          <w:i/>
          <w:sz w:val="20"/>
          <w:szCs w:val="20"/>
        </w:rPr>
      </w:pPr>
      <w:r>
        <w:rPr>
          <w:i/>
          <w:sz w:val="20"/>
          <w:szCs w:val="20"/>
        </w:rPr>
        <w:t xml:space="preserve">Source: </w:t>
      </w:r>
      <w:proofErr w:type="spellStart"/>
      <w:r>
        <w:rPr>
          <w:i/>
          <w:sz w:val="20"/>
          <w:szCs w:val="20"/>
        </w:rPr>
        <w:t>Lightcast</w:t>
      </w:r>
      <w:proofErr w:type="spellEnd"/>
      <w:r>
        <w:rPr>
          <w:i/>
          <w:sz w:val="20"/>
          <w:szCs w:val="20"/>
        </w:rPr>
        <w:t xml:space="preserve"> </w:t>
      </w:r>
      <w:proofErr w:type="spellStart"/>
      <w:r>
        <w:rPr>
          <w:i/>
          <w:sz w:val="20"/>
          <w:szCs w:val="20"/>
        </w:rPr>
        <w:t>Datarun</w:t>
      </w:r>
      <w:proofErr w:type="spellEnd"/>
      <w:r>
        <w:rPr>
          <w:i/>
          <w:sz w:val="20"/>
          <w:szCs w:val="20"/>
        </w:rPr>
        <w:t xml:space="preserve"> 2023.3</w:t>
      </w:r>
    </w:p>
    <w:p w:rsidR="00E81CDA" w:rsidP="00E81CDA" w:rsidRDefault="00E81CDA" w14:paraId="70D67485" w14:textId="77777777">
      <w:r>
        <w:t>There has been significant dynamism within Alabama’s broadband deployment sector in the past five years, and the data suggest a few notable trends:</w:t>
      </w:r>
    </w:p>
    <w:p w:rsidR="00E81CDA" w:rsidP="006F78D2" w:rsidRDefault="00E81CDA" w14:paraId="6E41118B" w14:textId="77777777">
      <w:pPr>
        <w:numPr>
          <w:ilvl w:val="0"/>
          <w:numId w:val="32"/>
        </w:numPr>
      </w:pPr>
      <w:r>
        <w:t xml:space="preserve">The growth in </w:t>
      </w:r>
      <w:r>
        <w:rPr>
          <w:i/>
        </w:rPr>
        <w:t xml:space="preserve">Power and Communication Line and Related Structures Construction </w:t>
      </w:r>
      <w:r>
        <w:t>roles suggests ongoing active construction or utility repair in the state, and functioning mechanisms for training and hiring new workers in the field.</w:t>
      </w:r>
    </w:p>
    <w:p w:rsidR="00E81CDA" w:rsidP="006F78D2" w:rsidRDefault="00E81CDA" w14:paraId="514AEBD2" w14:textId="6D254BDA">
      <w:pPr>
        <w:numPr>
          <w:ilvl w:val="0"/>
          <w:numId w:val="32"/>
        </w:numPr>
      </w:pPr>
      <w:r>
        <w:t xml:space="preserve">The decline in </w:t>
      </w:r>
      <w:r>
        <w:rPr>
          <w:i/>
        </w:rPr>
        <w:t>Wired Telecommunications Carriers</w:t>
      </w:r>
      <w:r>
        <w:t xml:space="preserve"> is in alignment with a general contraction in the industry over the past few years. Contributing factors include an increased use of technology in ISP operations</w:t>
      </w:r>
      <w:r w:rsidR="00502591">
        <w:t>,</w:t>
      </w:r>
      <w:r>
        <w:t xml:space="preserve"> resulting in less reliance on people, and an increase in retirements in the industry. </w:t>
      </w:r>
    </w:p>
    <w:p w:rsidR="00E81CDA" w:rsidP="006F78D2" w:rsidRDefault="00E81CDA" w14:paraId="4245A78A" w14:textId="636E16AC">
      <w:pPr>
        <w:numPr>
          <w:ilvl w:val="0"/>
          <w:numId w:val="32"/>
        </w:numPr>
      </w:pPr>
      <w:r>
        <w:t xml:space="preserve">The increase in </w:t>
      </w:r>
      <w:r>
        <w:rPr>
          <w:i/>
        </w:rPr>
        <w:t>Wireless Telecommunications Carriers</w:t>
      </w:r>
      <w:r>
        <w:t xml:space="preserve"> may indicate increased deployment of mobile broadband infrastructure (e.g., 5G) and a push by certain carriers like T-Mobile to deploy and market </w:t>
      </w:r>
      <w:r w:rsidR="00800FB2">
        <w:t xml:space="preserve">fixed wireless access </w:t>
      </w:r>
      <w:r>
        <w:t>technology for home internet service.</w:t>
      </w:r>
    </w:p>
    <w:p w:rsidR="00E81CDA" w:rsidP="006F78D2" w:rsidRDefault="00E81CDA" w14:paraId="05392138" w14:textId="65AC0C61">
      <w:pPr>
        <w:numPr>
          <w:ilvl w:val="0"/>
          <w:numId w:val="32"/>
        </w:numPr>
      </w:pPr>
      <w:r>
        <w:t xml:space="preserve">The decline in manufacturing roles for </w:t>
      </w:r>
      <w:r>
        <w:rPr>
          <w:i/>
        </w:rPr>
        <w:t>Fiber Optic Cable</w:t>
      </w:r>
      <w:r>
        <w:t xml:space="preserve"> and </w:t>
      </w:r>
      <w:r>
        <w:rPr>
          <w:i/>
        </w:rPr>
        <w:t>Electrical Equipment</w:t>
      </w:r>
      <w:r>
        <w:t xml:space="preserve"> suggests that manufacturing facilities may have recently contracted</w:t>
      </w:r>
      <w:r w:rsidR="00F826AD">
        <w:t xml:space="preserve"> </w:t>
      </w:r>
      <w:r>
        <w:t xml:space="preserve">or invested in automation. </w:t>
      </w:r>
    </w:p>
    <w:p w:rsidR="00E81CDA" w:rsidP="00E81CDA" w:rsidRDefault="00E81CDA" w14:paraId="7BBC0AC7" w14:textId="6DF6F4CE">
      <w:r>
        <w:t xml:space="preserve">Overall, the state saw a reduction of over 500 jobs in industries related to broadband deployment during this timeframe, which was aligned with national trends; Alabama saw a 4 percent reduction in the broadband deployment workforce and the same sector shrank by 4 percent nationally over the same timeframe. </w:t>
      </w:r>
    </w:p>
    <w:p w:rsidR="00E81CDA" w:rsidP="00E81CDA" w:rsidRDefault="00E81CDA" w14:paraId="77F65F4A" w14:textId="2DF8B021">
      <w:r>
        <w:t xml:space="preserve">The state lags behind the nation </w:t>
      </w:r>
      <w:r w:rsidR="006D77C5">
        <w:t>regarding</w:t>
      </w:r>
      <w:r>
        <w:t xml:space="preserve"> earnings in a few important categories, suggesting that in some roles, there is a risk that some workers may be enticed out of state. However, salaries for important growth categories—such as construction—are only slightly behind national averages, suggesting that employers should be able to stay competitive without significant impediments to their business models moving forward.</w:t>
      </w:r>
      <w:r>
        <w:rPr>
          <w:rStyle w:val="FootnoteReference"/>
        </w:rPr>
        <w:footnoteReference w:id="64"/>
      </w:r>
    </w:p>
    <w:p w:rsidR="00E81CDA" w:rsidP="006F78D2" w:rsidRDefault="00E81CDA" w14:paraId="41B28268" w14:textId="77777777">
      <w:pPr>
        <w:pStyle w:val="Heading2"/>
        <w:numPr>
          <w:ilvl w:val="1"/>
          <w:numId w:val="23"/>
        </w:numPr>
      </w:pPr>
      <w:bookmarkStart w:name="_heading=h.3znysh7" w:colFirst="0" w:colLast="0" w:id="166"/>
      <w:bookmarkStart w:name="_Toc150852657" w:id="167"/>
      <w:bookmarkEnd w:id="166"/>
      <w:r>
        <w:t>Estimating the impact of BEAD on broadband construction jobs</w:t>
      </w:r>
      <w:bookmarkEnd w:id="167"/>
    </w:p>
    <w:p w:rsidR="00E81CDA" w:rsidP="00E81CDA" w:rsidRDefault="00E81CDA" w14:paraId="7841B89A" w14:textId="277CB3B3">
      <w:r>
        <w:t>This analysis estimates that the construction spending due to the BEAD Program will be approximately $1.68 billion, reflective of the entire BEAD allocation for Alabama plus 20 percent.</w:t>
      </w:r>
      <w:r w:rsidR="00FD702C">
        <w:rPr>
          <w:rStyle w:val="FootnoteReference"/>
        </w:rPr>
        <w:footnoteReference w:id="65"/>
      </w:r>
      <w:r>
        <w:t xml:space="preserve"> Because the </w:t>
      </w:r>
      <w:r w:rsidR="00D46931">
        <w:t xml:space="preserve">BEAD </w:t>
      </w:r>
      <w:r>
        <w:t xml:space="preserve">construction </w:t>
      </w:r>
      <w:r w:rsidR="00E23982">
        <w:t>will</w:t>
      </w:r>
      <w:r>
        <w:t xml:space="preserve"> happe</w:t>
      </w:r>
      <w:r w:rsidR="002466ED">
        <w:t>n</w:t>
      </w:r>
      <w:r>
        <w:t xml:space="preserve"> with significant overlap</w:t>
      </w:r>
      <w:r w:rsidR="00E23982">
        <w:t xml:space="preserve"> with constr</w:t>
      </w:r>
      <w:r w:rsidR="002466ED">
        <w:t xml:space="preserve">uction </w:t>
      </w:r>
      <w:r w:rsidR="00054A35">
        <w:t>supported by the Capital Projects Fund (CPF)</w:t>
      </w:r>
      <w:r>
        <w:t>, this analysis also adds in anticipated spending in the state from CPF dollars directed to broadband—projected to be about $228 million including match. Taken together, the BEAD and CPF investment is expected to be approximately $1.9 billion.</w:t>
      </w:r>
    </w:p>
    <w:p w:rsidR="00E81CDA" w:rsidP="00E81CDA" w:rsidRDefault="00E81CDA" w14:paraId="0C53F092" w14:textId="77777777">
      <w:r>
        <w:t xml:space="preserve">The ultimate amount spent on construction may be higher or lower depending on how much match can be catalyzed for each deployment, with some projects including 25 percent match or more, and some high-cost areas potentially necessitating much lower match. In addition, factors such as the extent to which inflation in the industry continues to occur, and whether BEAD grants are ultimately taxed as income, will also impact the amount spent. Given all of these unknowns, $1.9 billion in construction spending is proportionally accurate for the analysis at this time. </w:t>
      </w:r>
    </w:p>
    <w:p w:rsidR="00E81CDA" w:rsidP="00E81CDA" w:rsidRDefault="00E81CDA" w14:paraId="0B40D800" w14:textId="71058380">
      <w:r>
        <w:t xml:space="preserve">Based on the </w:t>
      </w:r>
      <w:r w:rsidR="00EB4862">
        <w:t>2021 Brookings Institution Report</w:t>
      </w:r>
      <w:r>
        <w:t xml:space="preserve"> research cited above, broadband construction activities are expected to be allocated in the following proportions across the following relevant industry sectors.</w:t>
      </w:r>
      <w:r>
        <w:rPr>
          <w:rStyle w:val="FootnoteReference"/>
        </w:rPr>
        <w:footnoteReference w:id="66"/>
      </w:r>
    </w:p>
    <w:p w:rsidR="00E81CDA" w:rsidP="00E81CDA" w:rsidRDefault="00E81CDA" w14:paraId="51AB2C00" w14:textId="5FD22E78">
      <w:pPr>
        <w:pStyle w:val="Caption"/>
      </w:pPr>
      <w:bookmarkStart w:name="_Toc150852783" w:id="168"/>
      <w:r>
        <w:t xml:space="preserve">Table </w:t>
      </w:r>
      <w:r w:rsidR="00597437">
        <w:fldChar w:fldCharType="begin"/>
      </w:r>
      <w:r w:rsidR="00597437">
        <w:instrText xml:space="preserve"> SEQ Table \* ARABIC </w:instrText>
      </w:r>
      <w:r w:rsidR="00597437">
        <w:fldChar w:fldCharType="separate"/>
      </w:r>
      <w:r w:rsidR="00A35884">
        <w:rPr>
          <w:noProof/>
        </w:rPr>
        <w:t>8</w:t>
      </w:r>
      <w:r w:rsidR="00597437">
        <w:rPr>
          <w:noProof/>
        </w:rPr>
        <w:fldChar w:fldCharType="end"/>
      </w:r>
      <w:r>
        <w:t xml:space="preserve">: </w:t>
      </w:r>
      <w:r w:rsidRPr="000C3093">
        <w:t>Anticipated distribution of broadband investment across sectors</w:t>
      </w:r>
      <w:bookmarkEnd w:id="168"/>
    </w:p>
    <w:tbl>
      <w:tblPr>
        <w:tblW w:w="955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20"/>
        <w:gridCol w:w="7380"/>
        <w:gridCol w:w="1152"/>
      </w:tblGrid>
      <w:tr w:rsidR="00E81CDA" w:rsidTr="00FE37C9" w14:paraId="7636C6E1" w14:textId="77777777">
        <w:trPr>
          <w:trHeight w:val="431"/>
          <w:jc w:val="center"/>
        </w:trPr>
        <w:tc>
          <w:tcPr>
            <w:tcW w:w="1020" w:type="dxa"/>
            <w:tcBorders>
              <w:top w:val="single" w:color="000000" w:sz="4" w:space="0"/>
              <w:left w:val="single" w:color="000000" w:sz="4" w:space="0"/>
              <w:bottom w:val="single" w:color="000000" w:sz="4" w:space="0"/>
              <w:right w:val="single" w:color="FFFFFF" w:themeColor="background1" w:sz="4" w:space="0"/>
            </w:tcBorders>
            <w:shd w:val="clear" w:color="auto" w:fill="0A2458"/>
          </w:tcPr>
          <w:p w:rsidRPr="007F4213" w:rsidR="00E81CDA" w:rsidP="004B46FE" w:rsidRDefault="00E81CDA" w14:paraId="2EC3D817" w14:textId="77777777">
            <w:pPr>
              <w:keepNext/>
              <w:spacing w:after="0" w:line="240" w:lineRule="auto"/>
              <w:jc w:val="left"/>
            </w:pPr>
            <w:r w:rsidRPr="007F4213">
              <w:t>NAICS</w:t>
            </w:r>
          </w:p>
        </w:tc>
        <w:tc>
          <w:tcPr>
            <w:tcW w:w="7380" w:type="dxa"/>
            <w:tcBorders>
              <w:top w:val="single" w:color="000000" w:sz="4" w:space="0"/>
              <w:left w:val="single" w:color="FFFFFF" w:themeColor="background1" w:sz="4" w:space="0"/>
              <w:bottom w:val="single" w:color="000000" w:sz="4" w:space="0"/>
              <w:right w:val="single" w:color="FFFFFF" w:themeColor="background1" w:sz="4" w:space="0"/>
            </w:tcBorders>
            <w:shd w:val="clear" w:color="auto" w:fill="0A2458"/>
          </w:tcPr>
          <w:p w:rsidRPr="007F4213" w:rsidR="00E81CDA" w:rsidRDefault="00E81CDA" w14:paraId="2A45A6E6" w14:textId="77777777">
            <w:pPr>
              <w:keepNext/>
              <w:spacing w:after="0" w:line="240" w:lineRule="auto"/>
              <w:jc w:val="left"/>
            </w:pPr>
            <w:r w:rsidRPr="007F4213">
              <w:t>Industry</w:t>
            </w:r>
          </w:p>
        </w:tc>
        <w:tc>
          <w:tcPr>
            <w:tcW w:w="1152" w:type="dxa"/>
            <w:tcBorders>
              <w:top w:val="single" w:color="000000" w:sz="4" w:space="0"/>
              <w:left w:val="single" w:color="FFFFFF" w:themeColor="background1" w:sz="4" w:space="0"/>
              <w:bottom w:val="single" w:color="000000" w:sz="4" w:space="0"/>
              <w:right w:val="single" w:color="000000" w:sz="4" w:space="0"/>
            </w:tcBorders>
            <w:shd w:val="clear" w:color="auto" w:fill="0A2458"/>
          </w:tcPr>
          <w:p w:rsidRPr="007F4213" w:rsidR="00E81CDA" w:rsidP="004B46FE" w:rsidRDefault="00E81CDA" w14:paraId="4D209667" w14:textId="77777777">
            <w:pPr>
              <w:keepNext/>
              <w:spacing w:after="0" w:line="240" w:lineRule="auto"/>
              <w:jc w:val="left"/>
            </w:pPr>
            <w:r w:rsidRPr="007F4213">
              <w:t>Weight</w:t>
            </w:r>
          </w:p>
        </w:tc>
      </w:tr>
      <w:tr w:rsidR="00E81CDA" w:rsidTr="005B6BC3" w14:paraId="339ABEA1" w14:textId="77777777">
        <w:trPr>
          <w:trHeight w:val="20"/>
          <w:jc w:val="center"/>
        </w:trPr>
        <w:tc>
          <w:tcPr>
            <w:tcW w:w="1020" w:type="dxa"/>
            <w:tcBorders>
              <w:top w:val="nil"/>
              <w:left w:val="single" w:color="000000" w:sz="4" w:space="0"/>
              <w:bottom w:val="single" w:color="000000" w:sz="4" w:space="0"/>
              <w:right w:val="single" w:color="000000" w:sz="4" w:space="0"/>
            </w:tcBorders>
            <w:shd w:val="clear" w:color="auto" w:fill="auto"/>
          </w:tcPr>
          <w:p w:rsidR="00E81CDA" w:rsidP="007F4213" w:rsidRDefault="00E81CDA" w14:paraId="2E78A14C" w14:textId="77777777">
            <w:pPr>
              <w:keepNext/>
              <w:spacing w:after="0" w:line="240" w:lineRule="auto"/>
              <w:jc w:val="left"/>
            </w:pPr>
            <w:r>
              <w:t>237130</w:t>
            </w:r>
          </w:p>
        </w:tc>
        <w:tc>
          <w:tcPr>
            <w:tcW w:w="7380" w:type="dxa"/>
            <w:tcBorders>
              <w:top w:val="nil"/>
              <w:left w:val="nil"/>
              <w:bottom w:val="single" w:color="000000" w:sz="4" w:space="0"/>
              <w:right w:val="single" w:color="000000" w:sz="4" w:space="0"/>
            </w:tcBorders>
            <w:shd w:val="clear" w:color="auto" w:fill="auto"/>
          </w:tcPr>
          <w:p w:rsidR="00E81CDA" w:rsidRDefault="00E81CDA" w14:paraId="64D0A850" w14:textId="77777777">
            <w:pPr>
              <w:keepNext/>
              <w:spacing w:after="0" w:line="240" w:lineRule="auto"/>
              <w:jc w:val="left"/>
            </w:pPr>
            <w:r>
              <w:t>Power and Communication Line and Related Structures Construction</w:t>
            </w:r>
          </w:p>
        </w:tc>
        <w:tc>
          <w:tcPr>
            <w:tcW w:w="1152" w:type="dxa"/>
            <w:tcBorders>
              <w:top w:val="nil"/>
              <w:left w:val="nil"/>
              <w:bottom w:val="single" w:color="000000" w:sz="4" w:space="0"/>
              <w:right w:val="single" w:color="000000" w:sz="4" w:space="0"/>
            </w:tcBorders>
            <w:shd w:val="clear" w:color="auto" w:fill="auto"/>
          </w:tcPr>
          <w:p w:rsidR="00E81CDA" w:rsidP="007F4213" w:rsidRDefault="00E81CDA" w14:paraId="33D5FEBF" w14:textId="77777777">
            <w:pPr>
              <w:keepNext/>
              <w:spacing w:after="0" w:line="240" w:lineRule="auto"/>
              <w:jc w:val="left"/>
            </w:pPr>
            <w:r>
              <w:t>25%</w:t>
            </w:r>
          </w:p>
        </w:tc>
      </w:tr>
      <w:tr w:rsidR="00E81CDA" w:rsidTr="005B6BC3" w14:paraId="43D40819" w14:textId="77777777">
        <w:trPr>
          <w:trHeight w:val="20"/>
          <w:jc w:val="center"/>
        </w:trPr>
        <w:tc>
          <w:tcPr>
            <w:tcW w:w="1020" w:type="dxa"/>
            <w:tcBorders>
              <w:top w:val="nil"/>
              <w:left w:val="single" w:color="000000" w:sz="4" w:space="0"/>
              <w:bottom w:val="single" w:color="000000" w:sz="4" w:space="0"/>
              <w:right w:val="single" w:color="000000" w:sz="4" w:space="0"/>
            </w:tcBorders>
            <w:shd w:val="clear" w:color="auto" w:fill="auto"/>
          </w:tcPr>
          <w:p w:rsidR="00E81CDA" w:rsidP="007F4213" w:rsidRDefault="00E81CDA" w14:paraId="528FE6C7" w14:textId="77777777">
            <w:pPr>
              <w:keepNext/>
              <w:spacing w:after="0" w:line="240" w:lineRule="auto"/>
              <w:jc w:val="left"/>
            </w:pPr>
            <w:r>
              <w:t>335921</w:t>
            </w:r>
          </w:p>
        </w:tc>
        <w:tc>
          <w:tcPr>
            <w:tcW w:w="7380" w:type="dxa"/>
            <w:tcBorders>
              <w:top w:val="nil"/>
              <w:left w:val="nil"/>
              <w:bottom w:val="single" w:color="000000" w:sz="4" w:space="0"/>
              <w:right w:val="single" w:color="000000" w:sz="4" w:space="0"/>
            </w:tcBorders>
            <w:shd w:val="clear" w:color="auto" w:fill="auto"/>
          </w:tcPr>
          <w:p w:rsidR="00E81CDA" w:rsidRDefault="00E81CDA" w14:paraId="75953449" w14:textId="77777777">
            <w:pPr>
              <w:keepNext/>
              <w:spacing w:after="0" w:line="240" w:lineRule="auto"/>
              <w:jc w:val="left"/>
            </w:pPr>
            <w:r>
              <w:t>Fiber Optic Cable Manufacturing</w:t>
            </w:r>
          </w:p>
        </w:tc>
        <w:tc>
          <w:tcPr>
            <w:tcW w:w="1152" w:type="dxa"/>
            <w:tcBorders>
              <w:top w:val="nil"/>
              <w:left w:val="nil"/>
              <w:bottom w:val="single" w:color="000000" w:sz="4" w:space="0"/>
              <w:right w:val="single" w:color="000000" w:sz="4" w:space="0"/>
            </w:tcBorders>
            <w:shd w:val="clear" w:color="auto" w:fill="auto"/>
          </w:tcPr>
          <w:p w:rsidR="00E81CDA" w:rsidP="007F4213" w:rsidRDefault="00E81CDA" w14:paraId="7803C61C" w14:textId="77777777">
            <w:pPr>
              <w:keepNext/>
              <w:spacing w:after="0" w:line="240" w:lineRule="auto"/>
              <w:jc w:val="left"/>
            </w:pPr>
            <w:r>
              <w:t>10%</w:t>
            </w:r>
          </w:p>
        </w:tc>
      </w:tr>
      <w:tr w:rsidR="00E81CDA" w:rsidTr="005B6BC3" w14:paraId="354519B9" w14:textId="77777777">
        <w:trPr>
          <w:trHeight w:val="20"/>
          <w:jc w:val="center"/>
        </w:trPr>
        <w:tc>
          <w:tcPr>
            <w:tcW w:w="1020" w:type="dxa"/>
            <w:tcBorders>
              <w:top w:val="nil"/>
              <w:left w:val="single" w:color="000000" w:sz="4" w:space="0"/>
              <w:bottom w:val="single" w:color="000000" w:sz="4" w:space="0"/>
              <w:right w:val="single" w:color="000000" w:sz="4" w:space="0"/>
            </w:tcBorders>
            <w:shd w:val="clear" w:color="auto" w:fill="auto"/>
          </w:tcPr>
          <w:p w:rsidR="00E81CDA" w:rsidP="007F4213" w:rsidRDefault="00E81CDA" w14:paraId="38477E86" w14:textId="77777777">
            <w:pPr>
              <w:keepNext/>
              <w:spacing w:after="0" w:line="240" w:lineRule="auto"/>
              <w:jc w:val="left"/>
            </w:pPr>
            <w:r>
              <w:t>335999</w:t>
            </w:r>
          </w:p>
        </w:tc>
        <w:tc>
          <w:tcPr>
            <w:tcW w:w="7380" w:type="dxa"/>
            <w:tcBorders>
              <w:top w:val="nil"/>
              <w:left w:val="nil"/>
              <w:bottom w:val="single" w:color="000000" w:sz="4" w:space="0"/>
              <w:right w:val="single" w:color="000000" w:sz="4" w:space="0"/>
            </w:tcBorders>
            <w:shd w:val="clear" w:color="auto" w:fill="auto"/>
          </w:tcPr>
          <w:p w:rsidR="00E81CDA" w:rsidRDefault="00E81CDA" w14:paraId="29CDB38C" w14:textId="77777777">
            <w:pPr>
              <w:keepNext/>
              <w:spacing w:after="0" w:line="240" w:lineRule="auto"/>
              <w:jc w:val="left"/>
            </w:pPr>
            <w:r>
              <w:t>All Other Electrical Equipment and Component Manufacturing</w:t>
            </w:r>
          </w:p>
        </w:tc>
        <w:tc>
          <w:tcPr>
            <w:tcW w:w="1152" w:type="dxa"/>
            <w:tcBorders>
              <w:top w:val="nil"/>
              <w:left w:val="nil"/>
              <w:bottom w:val="single" w:color="000000" w:sz="4" w:space="0"/>
              <w:right w:val="single" w:color="000000" w:sz="4" w:space="0"/>
            </w:tcBorders>
            <w:shd w:val="clear" w:color="auto" w:fill="auto"/>
          </w:tcPr>
          <w:p w:rsidR="00E81CDA" w:rsidP="007F4213" w:rsidRDefault="00E81CDA" w14:paraId="536DC5AB" w14:textId="77777777">
            <w:pPr>
              <w:keepNext/>
              <w:spacing w:after="0" w:line="240" w:lineRule="auto"/>
              <w:jc w:val="left"/>
            </w:pPr>
            <w:r>
              <w:t>15%</w:t>
            </w:r>
          </w:p>
        </w:tc>
      </w:tr>
      <w:tr w:rsidR="00E81CDA" w:rsidTr="005B6BC3" w14:paraId="68A0F74C" w14:textId="77777777">
        <w:trPr>
          <w:trHeight w:val="20"/>
          <w:jc w:val="center"/>
        </w:trPr>
        <w:tc>
          <w:tcPr>
            <w:tcW w:w="1020" w:type="dxa"/>
            <w:tcBorders>
              <w:top w:val="nil"/>
              <w:left w:val="single" w:color="000000" w:sz="4" w:space="0"/>
              <w:bottom w:val="single" w:color="000000" w:sz="4" w:space="0"/>
              <w:right w:val="single" w:color="000000" w:sz="4" w:space="0"/>
            </w:tcBorders>
            <w:shd w:val="clear" w:color="auto" w:fill="auto"/>
          </w:tcPr>
          <w:p w:rsidR="00E81CDA" w:rsidP="007F4213" w:rsidRDefault="00E81CDA" w14:paraId="36F89790" w14:textId="77777777">
            <w:pPr>
              <w:keepNext/>
              <w:spacing w:after="0" w:line="240" w:lineRule="auto"/>
              <w:jc w:val="left"/>
            </w:pPr>
            <w:r>
              <w:t>516210</w:t>
            </w:r>
          </w:p>
        </w:tc>
        <w:tc>
          <w:tcPr>
            <w:tcW w:w="7380" w:type="dxa"/>
            <w:tcBorders>
              <w:top w:val="nil"/>
              <w:left w:val="nil"/>
              <w:bottom w:val="single" w:color="000000" w:sz="4" w:space="0"/>
              <w:right w:val="single" w:color="000000" w:sz="4" w:space="0"/>
            </w:tcBorders>
            <w:shd w:val="clear" w:color="auto" w:fill="auto"/>
          </w:tcPr>
          <w:p w:rsidR="00E81CDA" w:rsidRDefault="00E81CDA" w14:paraId="79DB427B" w14:textId="77777777">
            <w:pPr>
              <w:keepNext/>
              <w:spacing w:after="0" w:line="240" w:lineRule="auto"/>
              <w:jc w:val="left"/>
            </w:pPr>
            <w:r>
              <w:t>Media Streaming Distribution Services, Social Networks, and Other Media Networks and Content Providers</w:t>
            </w:r>
          </w:p>
        </w:tc>
        <w:tc>
          <w:tcPr>
            <w:tcW w:w="1152" w:type="dxa"/>
            <w:tcBorders>
              <w:top w:val="nil"/>
              <w:left w:val="nil"/>
              <w:bottom w:val="single" w:color="000000" w:sz="4" w:space="0"/>
              <w:right w:val="single" w:color="000000" w:sz="4" w:space="0"/>
            </w:tcBorders>
            <w:shd w:val="clear" w:color="auto" w:fill="auto"/>
          </w:tcPr>
          <w:p w:rsidR="00E81CDA" w:rsidP="007F4213" w:rsidRDefault="00E81CDA" w14:paraId="6B925A59" w14:textId="77777777">
            <w:pPr>
              <w:keepNext/>
              <w:spacing w:after="0" w:line="240" w:lineRule="auto"/>
              <w:jc w:val="left"/>
            </w:pPr>
            <w:r>
              <w:t>10%</w:t>
            </w:r>
          </w:p>
        </w:tc>
      </w:tr>
      <w:tr w:rsidR="00E81CDA" w:rsidTr="005B6BC3" w14:paraId="12A64DE3" w14:textId="77777777">
        <w:trPr>
          <w:trHeight w:val="20"/>
          <w:jc w:val="center"/>
        </w:trPr>
        <w:tc>
          <w:tcPr>
            <w:tcW w:w="1020" w:type="dxa"/>
            <w:tcBorders>
              <w:top w:val="nil"/>
              <w:left w:val="single" w:color="000000" w:sz="4" w:space="0"/>
              <w:bottom w:val="single" w:color="000000" w:sz="4" w:space="0"/>
              <w:right w:val="single" w:color="000000" w:sz="4" w:space="0"/>
            </w:tcBorders>
            <w:shd w:val="clear" w:color="auto" w:fill="auto"/>
          </w:tcPr>
          <w:p w:rsidR="00E81CDA" w:rsidP="007F4213" w:rsidRDefault="00E81CDA" w14:paraId="023C1F44" w14:textId="77777777">
            <w:pPr>
              <w:keepNext/>
              <w:spacing w:after="0" w:line="240" w:lineRule="auto"/>
              <w:jc w:val="left"/>
            </w:pPr>
            <w:r>
              <w:t>517111</w:t>
            </w:r>
          </w:p>
        </w:tc>
        <w:tc>
          <w:tcPr>
            <w:tcW w:w="7380" w:type="dxa"/>
            <w:tcBorders>
              <w:top w:val="nil"/>
              <w:left w:val="nil"/>
              <w:bottom w:val="single" w:color="000000" w:sz="4" w:space="0"/>
              <w:right w:val="single" w:color="000000" w:sz="4" w:space="0"/>
            </w:tcBorders>
            <w:shd w:val="clear" w:color="auto" w:fill="auto"/>
          </w:tcPr>
          <w:p w:rsidR="00E81CDA" w:rsidRDefault="00E81CDA" w14:paraId="57882275" w14:textId="77777777">
            <w:pPr>
              <w:keepNext/>
              <w:spacing w:after="0" w:line="240" w:lineRule="auto"/>
              <w:jc w:val="left"/>
            </w:pPr>
            <w:r>
              <w:t>Wired Telecommunications Carriers</w:t>
            </w:r>
          </w:p>
        </w:tc>
        <w:tc>
          <w:tcPr>
            <w:tcW w:w="1152" w:type="dxa"/>
            <w:tcBorders>
              <w:top w:val="nil"/>
              <w:left w:val="nil"/>
              <w:bottom w:val="single" w:color="000000" w:sz="4" w:space="0"/>
              <w:right w:val="single" w:color="000000" w:sz="4" w:space="0"/>
            </w:tcBorders>
            <w:shd w:val="clear" w:color="auto" w:fill="auto"/>
          </w:tcPr>
          <w:p w:rsidR="00E81CDA" w:rsidP="007F4213" w:rsidRDefault="00E81CDA" w14:paraId="1C9EC989" w14:textId="77777777">
            <w:pPr>
              <w:keepNext/>
              <w:spacing w:after="0" w:line="240" w:lineRule="auto"/>
              <w:jc w:val="left"/>
            </w:pPr>
            <w:r>
              <w:t>20%</w:t>
            </w:r>
          </w:p>
        </w:tc>
      </w:tr>
      <w:tr w:rsidR="00E81CDA" w:rsidTr="005B6BC3" w14:paraId="03A1384B" w14:textId="77777777">
        <w:trPr>
          <w:trHeight w:val="20"/>
          <w:jc w:val="center"/>
        </w:trPr>
        <w:tc>
          <w:tcPr>
            <w:tcW w:w="1020" w:type="dxa"/>
            <w:tcBorders>
              <w:top w:val="nil"/>
              <w:left w:val="single" w:color="000000" w:sz="4" w:space="0"/>
              <w:bottom w:val="single" w:color="000000" w:sz="4" w:space="0"/>
              <w:right w:val="single" w:color="000000" w:sz="4" w:space="0"/>
            </w:tcBorders>
            <w:shd w:val="clear" w:color="auto" w:fill="auto"/>
          </w:tcPr>
          <w:p w:rsidR="00E81CDA" w:rsidP="007F4213" w:rsidRDefault="00E81CDA" w14:paraId="1106AB06" w14:textId="77777777">
            <w:pPr>
              <w:keepNext/>
              <w:spacing w:after="0" w:line="240" w:lineRule="auto"/>
              <w:jc w:val="left"/>
            </w:pPr>
            <w:r>
              <w:t>517112</w:t>
            </w:r>
          </w:p>
        </w:tc>
        <w:tc>
          <w:tcPr>
            <w:tcW w:w="7380" w:type="dxa"/>
            <w:tcBorders>
              <w:top w:val="nil"/>
              <w:left w:val="nil"/>
              <w:bottom w:val="single" w:color="000000" w:sz="4" w:space="0"/>
              <w:right w:val="single" w:color="000000" w:sz="4" w:space="0"/>
            </w:tcBorders>
            <w:shd w:val="clear" w:color="auto" w:fill="auto"/>
          </w:tcPr>
          <w:p w:rsidR="00E81CDA" w:rsidRDefault="00E81CDA" w14:paraId="47DBC970" w14:textId="77777777">
            <w:pPr>
              <w:keepNext/>
              <w:spacing w:after="0" w:line="240" w:lineRule="auto"/>
              <w:jc w:val="left"/>
            </w:pPr>
            <w:r>
              <w:t>Wireless Telecommunications Carriers (Except Satellite)</w:t>
            </w:r>
          </w:p>
        </w:tc>
        <w:tc>
          <w:tcPr>
            <w:tcW w:w="1152" w:type="dxa"/>
            <w:tcBorders>
              <w:top w:val="nil"/>
              <w:left w:val="nil"/>
              <w:bottom w:val="single" w:color="000000" w:sz="4" w:space="0"/>
              <w:right w:val="single" w:color="000000" w:sz="4" w:space="0"/>
            </w:tcBorders>
            <w:shd w:val="clear" w:color="auto" w:fill="auto"/>
          </w:tcPr>
          <w:p w:rsidR="00E81CDA" w:rsidP="007F4213" w:rsidRDefault="00E81CDA" w14:paraId="55CBB9BC" w14:textId="77777777">
            <w:pPr>
              <w:keepNext/>
              <w:spacing w:after="0" w:line="240" w:lineRule="auto"/>
              <w:jc w:val="left"/>
            </w:pPr>
            <w:r>
              <w:t>20%</w:t>
            </w:r>
          </w:p>
        </w:tc>
      </w:tr>
    </w:tbl>
    <w:p w:rsidR="00E81CDA" w:rsidP="00544A76" w:rsidRDefault="00E81CDA" w14:paraId="27BE1A83" w14:textId="77777777">
      <w:pPr>
        <w:spacing w:before="200"/>
      </w:pPr>
      <w:r>
        <w:t xml:space="preserve">Using the anticipated impact across sectors, an input-output methodology with the modeling tool </w:t>
      </w:r>
      <w:proofErr w:type="spellStart"/>
      <w:r>
        <w:t>Lightcast</w:t>
      </w:r>
      <w:proofErr w:type="spellEnd"/>
      <w:r>
        <w:t xml:space="preserve"> was used to understand and analyze the workforce needs based on anticipated broadband spending. </w:t>
      </w:r>
    </w:p>
    <w:p w:rsidR="00E81CDA" w:rsidP="006F78D2" w:rsidRDefault="00E81CDA" w14:paraId="430BD394" w14:textId="7C13A7FA">
      <w:pPr>
        <w:pStyle w:val="Heading3"/>
        <w:numPr>
          <w:ilvl w:val="2"/>
          <w:numId w:val="23"/>
        </w:numPr>
      </w:pPr>
      <w:bookmarkStart w:name="_heading=h.a0lyqy7ru18x" w:colFirst="0" w:colLast="0" w:id="169"/>
      <w:bookmarkStart w:name="_Toc150852658" w:id="170"/>
      <w:bookmarkEnd w:id="169"/>
      <w:r>
        <w:t>Broadband construction spending will require Alabama to grow the broadband construction workforce by over 1,700 jobs</w:t>
      </w:r>
      <w:bookmarkEnd w:id="170"/>
    </w:p>
    <w:p w:rsidR="00E81CDA" w:rsidP="00E81CDA" w:rsidRDefault="00E81CDA" w14:paraId="37C0B340" w14:textId="5E7B2063">
      <w:bookmarkStart w:name="_heading=h.lsltby5u1nut" w:colFirst="0" w:colLast="0" w:id="171"/>
      <w:bookmarkEnd w:id="171"/>
      <w:r>
        <w:t xml:space="preserve">Though many occupation categories may be involved in broadband deployment in some form or another, this analysis focuses on 12 occupational categories required to deploy broadband, identified by the </w:t>
      </w:r>
      <w:r w:rsidR="006A65A0">
        <w:t>2021 Brookings Institution Report</w:t>
      </w:r>
      <w:r>
        <w:t xml:space="preserve"> cited above. The following table estimates the numbers of workers needed in those categories to execute on a $1.68 billion and a $1.9 billion investment in broadband construction, and the proportional increase in workforce needed for each occupation. </w:t>
      </w:r>
    </w:p>
    <w:p w:rsidR="00E81CDA" w:rsidP="00E81CDA" w:rsidRDefault="00E81CDA" w14:paraId="76A979F6" w14:textId="4F55A9CE">
      <w:pPr>
        <w:pStyle w:val="Caption"/>
      </w:pPr>
      <w:bookmarkStart w:name="_heading=h.2s8eyo1" w:colFirst="0" w:colLast="0" w:id="172"/>
      <w:bookmarkStart w:name="_Toc150852784" w:id="173"/>
      <w:bookmarkEnd w:id="172"/>
      <w:r>
        <w:t xml:space="preserve">Table </w:t>
      </w:r>
      <w:r w:rsidR="00597437">
        <w:fldChar w:fldCharType="begin"/>
      </w:r>
      <w:r w:rsidR="00597437">
        <w:instrText xml:space="preserve"> SEQ Table \* ARABIC </w:instrText>
      </w:r>
      <w:r w:rsidR="00597437">
        <w:fldChar w:fldCharType="separate"/>
      </w:r>
      <w:r w:rsidR="00444AF1">
        <w:rPr>
          <w:noProof/>
        </w:rPr>
        <w:t>9</w:t>
      </w:r>
      <w:r w:rsidR="00597437">
        <w:rPr>
          <w:noProof/>
        </w:rPr>
        <w:fldChar w:fldCharType="end"/>
      </w:r>
      <w:r>
        <w:t xml:space="preserve">: </w:t>
      </w:r>
      <w:r w:rsidRPr="008E7DA8">
        <w:t>Estimated workforce requirements for broadband deployment occupations</w:t>
      </w:r>
      <w:bookmarkEnd w:id="173"/>
    </w:p>
    <w:tbl>
      <w:tblPr>
        <w:tblW w:w="951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600" w:firstRow="0" w:lastRow="0" w:firstColumn="0" w:lastColumn="0" w:noHBand="1" w:noVBand="1"/>
      </w:tblPr>
      <w:tblGrid>
        <w:gridCol w:w="4410"/>
        <w:gridCol w:w="1035"/>
        <w:gridCol w:w="1035"/>
        <w:gridCol w:w="1020"/>
        <w:gridCol w:w="1005"/>
        <w:gridCol w:w="1005"/>
      </w:tblGrid>
      <w:tr w:rsidR="00E81CDA" w:rsidTr="00AA6551" w14:paraId="38619EFA" w14:textId="77777777">
        <w:trPr>
          <w:trHeight w:val="331"/>
          <w:tblHeader/>
          <w:jc w:val="center"/>
        </w:trPr>
        <w:tc>
          <w:tcPr>
            <w:tcW w:w="4410" w:type="dxa"/>
            <w:vMerge w:val="restart"/>
            <w:tcBorders>
              <w:top w:val="single" w:color="000000" w:themeColor="text1" w:sz="6" w:space="0"/>
              <w:left w:val="single" w:color="000000" w:themeColor="text1" w:sz="6" w:space="0"/>
              <w:bottom w:val="single" w:color="FFFFFF" w:themeColor="background1" w:sz="6" w:space="0"/>
              <w:right w:val="single" w:color="FFFFFF" w:themeColor="background1" w:sz="6" w:space="0"/>
            </w:tcBorders>
            <w:shd w:val="clear" w:color="auto" w:fill="0A2458"/>
            <w:tcMar>
              <w:top w:w="0" w:type="dxa"/>
              <w:left w:w="40" w:type="dxa"/>
              <w:bottom w:w="0" w:type="dxa"/>
              <w:right w:w="40" w:type="dxa"/>
            </w:tcMar>
          </w:tcPr>
          <w:p w:rsidRPr="00A65C85" w:rsidR="00E81CDA" w:rsidRDefault="00E81CDA" w14:paraId="5EB8B8CB" w14:textId="77777777">
            <w:pPr>
              <w:keepNext/>
              <w:keepLines/>
              <w:pBdr>
                <w:top w:val="nil"/>
                <w:left w:val="nil"/>
                <w:bottom w:val="nil"/>
                <w:right w:val="nil"/>
                <w:between w:val="nil"/>
              </w:pBdr>
              <w:spacing w:after="0" w:line="240" w:lineRule="auto"/>
              <w:ind w:left="90" w:right="60"/>
              <w:jc w:val="left"/>
            </w:pPr>
            <w:r w:rsidRPr="00A65C85">
              <w:t>Occupation</w:t>
            </w:r>
          </w:p>
        </w:tc>
        <w:tc>
          <w:tcPr>
            <w:tcW w:w="1035" w:type="dxa"/>
            <w:vMerge w:val="restart"/>
            <w:tcBorders>
              <w:top w:val="single" w:color="000000" w:themeColor="text1" w:sz="6" w:space="0"/>
              <w:left w:val="single" w:color="FFFFFF" w:themeColor="background1" w:sz="6" w:space="0"/>
              <w:bottom w:val="single" w:color="FFFFFF" w:themeColor="background1" w:sz="6" w:space="0"/>
              <w:right w:val="single" w:color="FFFFFF" w:themeColor="background1" w:sz="6" w:space="0"/>
            </w:tcBorders>
            <w:shd w:val="clear" w:color="auto" w:fill="0A2458"/>
            <w:tcMar>
              <w:top w:w="0" w:type="dxa"/>
              <w:left w:w="40" w:type="dxa"/>
              <w:bottom w:w="0" w:type="dxa"/>
              <w:right w:w="40" w:type="dxa"/>
            </w:tcMar>
          </w:tcPr>
          <w:p w:rsidRPr="00A65C85" w:rsidR="00E81CDA" w:rsidP="004B46FE" w:rsidRDefault="00E81CDA" w14:paraId="6F962945" w14:textId="3842100B">
            <w:pPr>
              <w:keepNext/>
              <w:keepLines/>
              <w:spacing w:after="0" w:line="240" w:lineRule="auto"/>
              <w:jc w:val="left"/>
            </w:pPr>
            <w:r w:rsidRPr="00A65C85">
              <w:t xml:space="preserve">Currently </w:t>
            </w:r>
            <w:r w:rsidR="006A3EE8">
              <w:rPr>
                <w:bCs/>
              </w:rPr>
              <w:t>e</w:t>
            </w:r>
            <w:r w:rsidRPr="00A65C85">
              <w:rPr>
                <w:bCs/>
              </w:rPr>
              <w:t>mployed</w:t>
            </w:r>
            <w:r w:rsidRPr="00A65C85">
              <w:t xml:space="preserve"> in Alabama</w:t>
            </w:r>
          </w:p>
        </w:tc>
        <w:tc>
          <w:tcPr>
            <w:tcW w:w="2055" w:type="dxa"/>
            <w:gridSpan w:val="2"/>
            <w:tcBorders>
              <w:top w:val="single" w:color="000000" w:themeColor="text1" w:sz="6" w:space="0"/>
              <w:left w:val="single" w:color="FFFFFF" w:themeColor="background1" w:sz="6" w:space="0"/>
              <w:bottom w:val="single" w:color="FFFFFF" w:themeColor="background1" w:sz="6" w:space="0"/>
              <w:right w:val="single" w:color="FFFFFF" w:themeColor="background1" w:sz="6" w:space="0"/>
            </w:tcBorders>
            <w:shd w:val="clear" w:color="auto" w:fill="0A2458"/>
            <w:tcMar>
              <w:top w:w="0" w:type="dxa"/>
              <w:left w:w="40" w:type="dxa"/>
              <w:bottom w:w="0" w:type="dxa"/>
              <w:right w:w="40" w:type="dxa"/>
            </w:tcMar>
          </w:tcPr>
          <w:p w:rsidRPr="00A65C85" w:rsidR="00E81CDA" w:rsidP="00FE37C9" w:rsidRDefault="00E81CDA" w14:paraId="6EBA40FD" w14:textId="4ED1A742">
            <w:pPr>
              <w:keepNext/>
              <w:keepLines/>
              <w:spacing w:after="0" w:line="240" w:lineRule="auto"/>
              <w:jc w:val="center"/>
            </w:pPr>
            <w:r w:rsidRPr="00A65C85">
              <w:rPr>
                <w:bCs/>
              </w:rPr>
              <w:t xml:space="preserve">$1.68 </w:t>
            </w:r>
            <w:r w:rsidR="006A3EE8">
              <w:rPr>
                <w:bCs/>
              </w:rPr>
              <w:t>b</w:t>
            </w:r>
            <w:r w:rsidRPr="00A65C85">
              <w:rPr>
                <w:bCs/>
              </w:rPr>
              <w:t xml:space="preserve">illion </w:t>
            </w:r>
            <w:r w:rsidR="006A3EE8">
              <w:rPr>
                <w:bCs/>
              </w:rPr>
              <w:t>i</w:t>
            </w:r>
            <w:r w:rsidRPr="00A65C85">
              <w:rPr>
                <w:bCs/>
              </w:rPr>
              <w:t>nvestment</w:t>
            </w:r>
          </w:p>
        </w:tc>
        <w:tc>
          <w:tcPr>
            <w:tcW w:w="2010" w:type="dxa"/>
            <w:gridSpan w:val="2"/>
            <w:tcBorders>
              <w:top w:val="single" w:color="000000" w:themeColor="text1" w:sz="6" w:space="0"/>
              <w:left w:val="single" w:color="FFFFFF" w:themeColor="background1" w:sz="6" w:space="0"/>
              <w:bottom w:val="single" w:color="FFFFFF" w:themeColor="background1" w:sz="6" w:space="0"/>
              <w:right w:val="nil"/>
            </w:tcBorders>
            <w:shd w:val="clear" w:color="auto" w:fill="0A2458"/>
            <w:tcMar>
              <w:top w:w="0" w:type="dxa"/>
              <w:left w:w="40" w:type="dxa"/>
              <w:bottom w:w="0" w:type="dxa"/>
              <w:right w:w="40" w:type="dxa"/>
            </w:tcMar>
          </w:tcPr>
          <w:p w:rsidRPr="00A65C85" w:rsidR="00E81CDA" w:rsidP="00FE37C9" w:rsidRDefault="00E81CDA" w14:paraId="7A5C0CBD" w14:textId="353E28D5">
            <w:pPr>
              <w:keepNext/>
              <w:keepLines/>
              <w:spacing w:after="0" w:line="240" w:lineRule="auto"/>
              <w:jc w:val="center"/>
            </w:pPr>
            <w:r w:rsidRPr="00A65C85">
              <w:rPr>
                <w:bCs/>
              </w:rPr>
              <w:t xml:space="preserve">$1.9 </w:t>
            </w:r>
            <w:r w:rsidR="006A3EE8">
              <w:rPr>
                <w:bCs/>
              </w:rPr>
              <w:t>b</w:t>
            </w:r>
            <w:r w:rsidRPr="00A65C85">
              <w:rPr>
                <w:bCs/>
              </w:rPr>
              <w:t xml:space="preserve">illion </w:t>
            </w:r>
            <w:r w:rsidR="006A3EE8">
              <w:rPr>
                <w:bCs/>
              </w:rPr>
              <w:t>i</w:t>
            </w:r>
            <w:r w:rsidRPr="00A65C85">
              <w:rPr>
                <w:bCs/>
              </w:rPr>
              <w:t>nvestment</w:t>
            </w:r>
          </w:p>
        </w:tc>
      </w:tr>
      <w:tr w:rsidR="00E81CDA" w:rsidTr="00AA6551" w14:paraId="448624DD" w14:textId="77777777">
        <w:trPr>
          <w:trHeight w:val="720"/>
          <w:tblHeader/>
          <w:jc w:val="center"/>
        </w:trPr>
        <w:tc>
          <w:tcPr>
            <w:tcW w:w="4410" w:type="dxa"/>
            <w:vMerge/>
            <w:tcBorders>
              <w:top w:val="single" w:color="FFFFFF" w:themeColor="background1" w:sz="6" w:space="0"/>
              <w:left w:val="single" w:color="000000" w:themeColor="text1" w:sz="6" w:space="0"/>
              <w:bottom w:val="single" w:color="000000" w:themeColor="text1" w:sz="6" w:space="0"/>
              <w:right w:val="single" w:color="FFFFFF" w:themeColor="background1" w:sz="6" w:space="0"/>
            </w:tcBorders>
            <w:shd w:val="clear" w:color="auto" w:fill="0A2458"/>
            <w:tcMar>
              <w:top w:w="0" w:type="dxa"/>
              <w:left w:w="40" w:type="dxa"/>
              <w:bottom w:w="0" w:type="dxa"/>
              <w:right w:w="40" w:type="dxa"/>
            </w:tcMar>
          </w:tcPr>
          <w:p w:rsidRPr="00A65C85" w:rsidR="00E81CDA" w:rsidP="004B46FE" w:rsidRDefault="00E81CDA" w14:paraId="141CC174" w14:textId="77777777">
            <w:pPr>
              <w:pBdr>
                <w:top w:val="nil"/>
                <w:left w:val="nil"/>
                <w:bottom w:val="nil"/>
                <w:right w:val="nil"/>
                <w:between w:val="nil"/>
              </w:pBdr>
              <w:spacing w:after="0" w:line="240" w:lineRule="auto"/>
              <w:jc w:val="left"/>
            </w:pPr>
          </w:p>
        </w:tc>
        <w:tc>
          <w:tcPr>
            <w:tcW w:w="1035" w:type="dxa"/>
            <w:vMerge/>
            <w:tcBorders>
              <w:top w:val="single" w:color="FFFFFF" w:themeColor="background1" w:sz="6" w:space="0"/>
              <w:left w:val="single" w:color="FFFFFF" w:themeColor="background1" w:sz="6" w:space="0"/>
              <w:bottom w:val="single" w:color="000000" w:themeColor="text1" w:sz="6" w:space="0"/>
              <w:right w:val="single" w:color="FFFFFF" w:themeColor="background1" w:sz="6" w:space="0"/>
            </w:tcBorders>
            <w:shd w:val="clear" w:color="auto" w:fill="0A2458"/>
            <w:tcMar>
              <w:top w:w="0" w:type="dxa"/>
              <w:left w:w="40" w:type="dxa"/>
              <w:bottom w:w="0" w:type="dxa"/>
              <w:right w:w="40" w:type="dxa"/>
            </w:tcMar>
          </w:tcPr>
          <w:p w:rsidRPr="00A65C85" w:rsidR="00E81CDA" w:rsidP="004B46FE" w:rsidRDefault="00E81CDA" w14:paraId="2E363072" w14:textId="77777777">
            <w:pPr>
              <w:pBdr>
                <w:top w:val="nil"/>
                <w:left w:val="nil"/>
                <w:bottom w:val="nil"/>
                <w:right w:val="nil"/>
                <w:between w:val="nil"/>
              </w:pBdr>
              <w:spacing w:after="0" w:line="240" w:lineRule="auto"/>
              <w:jc w:val="left"/>
            </w:pPr>
          </w:p>
        </w:tc>
        <w:tc>
          <w:tcPr>
            <w:tcW w:w="1035" w:type="dxa"/>
            <w:tcBorders>
              <w:top w:val="single" w:color="FFFFFF" w:themeColor="background1" w:sz="6" w:space="0"/>
              <w:left w:val="single" w:color="FFFFFF" w:themeColor="background1" w:sz="6" w:space="0"/>
              <w:bottom w:val="single" w:color="000000" w:themeColor="text1" w:sz="6" w:space="0"/>
              <w:right w:val="single" w:color="FFFFFF" w:themeColor="background1" w:sz="6" w:space="0"/>
            </w:tcBorders>
            <w:shd w:val="clear" w:color="auto" w:fill="0A2458"/>
            <w:tcMar>
              <w:top w:w="0" w:type="dxa"/>
              <w:left w:w="40" w:type="dxa"/>
              <w:bottom w:w="0" w:type="dxa"/>
              <w:right w:w="40" w:type="dxa"/>
            </w:tcMar>
          </w:tcPr>
          <w:p w:rsidRPr="00A65C85" w:rsidR="00E81CDA" w:rsidP="004B46FE" w:rsidRDefault="00E81CDA" w14:paraId="6FED4CD1" w14:textId="483BD491">
            <w:pPr>
              <w:keepNext/>
              <w:keepLines/>
              <w:spacing w:after="0" w:line="240" w:lineRule="auto"/>
              <w:jc w:val="left"/>
            </w:pPr>
            <w:r w:rsidRPr="00A65C85">
              <w:rPr>
                <w:bCs/>
              </w:rPr>
              <w:t xml:space="preserve">New </w:t>
            </w:r>
            <w:r w:rsidR="006A3EE8">
              <w:rPr>
                <w:bCs/>
              </w:rPr>
              <w:t>w</w:t>
            </w:r>
            <w:r w:rsidRPr="00A65C85">
              <w:rPr>
                <w:bCs/>
              </w:rPr>
              <w:t xml:space="preserve">orkers </w:t>
            </w:r>
            <w:r w:rsidR="006A3EE8">
              <w:rPr>
                <w:bCs/>
              </w:rPr>
              <w:t>n</w:t>
            </w:r>
            <w:r w:rsidRPr="00A65C85">
              <w:rPr>
                <w:bCs/>
              </w:rPr>
              <w:t>eeded</w:t>
            </w:r>
          </w:p>
        </w:tc>
        <w:tc>
          <w:tcPr>
            <w:tcW w:w="1020" w:type="dxa"/>
            <w:tcBorders>
              <w:top w:val="single" w:color="FFFFFF" w:themeColor="background1" w:sz="6" w:space="0"/>
              <w:left w:val="single" w:color="FFFFFF" w:themeColor="background1" w:sz="6" w:space="0"/>
              <w:bottom w:val="single" w:color="000000" w:themeColor="text1" w:sz="6" w:space="0"/>
              <w:right w:val="single" w:color="FFFFFF" w:themeColor="background1" w:sz="6" w:space="0"/>
            </w:tcBorders>
            <w:shd w:val="clear" w:color="auto" w:fill="0A2458"/>
            <w:tcMar>
              <w:top w:w="0" w:type="dxa"/>
              <w:left w:w="40" w:type="dxa"/>
              <w:bottom w:w="0" w:type="dxa"/>
              <w:right w:w="40" w:type="dxa"/>
            </w:tcMar>
          </w:tcPr>
          <w:p w:rsidRPr="00A65C85" w:rsidR="00E81CDA" w:rsidP="004B46FE" w:rsidRDefault="00E81CDA" w14:paraId="7DA8F219" w14:textId="2E74628B">
            <w:pPr>
              <w:keepNext/>
              <w:keepLines/>
              <w:spacing w:after="0" w:line="240" w:lineRule="auto"/>
              <w:jc w:val="left"/>
            </w:pPr>
            <w:r w:rsidRPr="00A65C85">
              <w:rPr>
                <w:bCs/>
              </w:rPr>
              <w:t xml:space="preserve">% </w:t>
            </w:r>
            <w:r w:rsidR="007C45A9">
              <w:rPr>
                <w:bCs/>
              </w:rPr>
              <w:t>i</w:t>
            </w:r>
            <w:r w:rsidRPr="00A65C85">
              <w:rPr>
                <w:bCs/>
              </w:rPr>
              <w:t>ncrease</w:t>
            </w:r>
          </w:p>
        </w:tc>
        <w:tc>
          <w:tcPr>
            <w:tcW w:w="1005" w:type="dxa"/>
            <w:tcBorders>
              <w:top w:val="single" w:color="FFFFFF" w:themeColor="background1" w:sz="6" w:space="0"/>
              <w:left w:val="single" w:color="FFFFFF" w:themeColor="background1" w:sz="6" w:space="0"/>
              <w:bottom w:val="single" w:color="000000" w:themeColor="text1" w:sz="6" w:space="0"/>
              <w:right w:val="single" w:color="FFFFFF" w:themeColor="background1" w:sz="6" w:space="0"/>
            </w:tcBorders>
            <w:shd w:val="clear" w:color="auto" w:fill="0A2458"/>
            <w:tcMar>
              <w:top w:w="0" w:type="dxa"/>
              <w:left w:w="40" w:type="dxa"/>
              <w:bottom w:w="0" w:type="dxa"/>
              <w:right w:w="40" w:type="dxa"/>
            </w:tcMar>
          </w:tcPr>
          <w:p w:rsidRPr="00A65C85" w:rsidR="00E81CDA" w:rsidP="004B46FE" w:rsidRDefault="00E81CDA" w14:paraId="555C92CE" w14:textId="49AE0374">
            <w:pPr>
              <w:keepNext/>
              <w:keepLines/>
              <w:spacing w:after="0" w:line="240" w:lineRule="auto"/>
              <w:jc w:val="left"/>
            </w:pPr>
            <w:r w:rsidRPr="00A65C85">
              <w:rPr>
                <w:bCs/>
              </w:rPr>
              <w:t xml:space="preserve">New </w:t>
            </w:r>
            <w:r w:rsidR="007C45A9">
              <w:rPr>
                <w:bCs/>
              </w:rPr>
              <w:t>w</w:t>
            </w:r>
            <w:r w:rsidRPr="00A65C85">
              <w:rPr>
                <w:bCs/>
              </w:rPr>
              <w:t xml:space="preserve">orkers </w:t>
            </w:r>
            <w:r w:rsidR="007C45A9">
              <w:rPr>
                <w:bCs/>
              </w:rPr>
              <w:t>n</w:t>
            </w:r>
            <w:r w:rsidRPr="00A65C85">
              <w:rPr>
                <w:bCs/>
              </w:rPr>
              <w:t>eeded</w:t>
            </w:r>
          </w:p>
        </w:tc>
        <w:tc>
          <w:tcPr>
            <w:tcW w:w="1005" w:type="dxa"/>
            <w:tcBorders>
              <w:top w:val="single" w:color="FFFFFF" w:themeColor="background1" w:sz="6" w:space="0"/>
              <w:left w:val="single" w:color="FFFFFF" w:themeColor="background1" w:sz="6" w:space="0"/>
              <w:bottom w:val="single" w:color="000000" w:themeColor="text1" w:sz="6" w:space="0"/>
              <w:right w:val="nil"/>
            </w:tcBorders>
            <w:shd w:val="clear" w:color="auto" w:fill="0A2458"/>
            <w:tcMar>
              <w:top w:w="0" w:type="dxa"/>
              <w:left w:w="40" w:type="dxa"/>
              <w:bottom w:w="0" w:type="dxa"/>
              <w:right w:w="40" w:type="dxa"/>
            </w:tcMar>
          </w:tcPr>
          <w:p w:rsidRPr="00A65C85" w:rsidR="00E81CDA" w:rsidP="004B46FE" w:rsidRDefault="00E81CDA" w14:paraId="5B78CE10" w14:textId="036D9A57">
            <w:pPr>
              <w:keepNext/>
              <w:keepLines/>
              <w:spacing w:after="0" w:line="240" w:lineRule="auto"/>
              <w:jc w:val="left"/>
            </w:pPr>
            <w:r w:rsidRPr="00A65C85">
              <w:rPr>
                <w:bCs/>
              </w:rPr>
              <w:t xml:space="preserve">% </w:t>
            </w:r>
            <w:r w:rsidR="007C45A9">
              <w:rPr>
                <w:bCs/>
              </w:rPr>
              <w:t>i</w:t>
            </w:r>
            <w:r w:rsidRPr="00A65C85">
              <w:rPr>
                <w:bCs/>
              </w:rPr>
              <w:t>ncrease</w:t>
            </w:r>
          </w:p>
        </w:tc>
      </w:tr>
      <w:tr w:rsidR="00E81CDA" w:rsidTr="00544A76" w14:paraId="74DEAC70" w14:textId="77777777">
        <w:trPr>
          <w:trHeight w:val="20"/>
          <w:jc w:val="center"/>
        </w:trPr>
        <w:tc>
          <w:tcPr>
            <w:tcW w:w="4410" w:type="dxa"/>
            <w:tcBorders>
              <w:top w:val="single" w:color="000000" w:themeColor="text1" w:sz="6" w:space="0"/>
              <w:left w:val="single" w:color="000000" w:sz="5" w:space="0"/>
              <w:bottom w:val="single" w:color="000000" w:sz="5" w:space="0"/>
              <w:right w:val="single" w:color="000000" w:sz="5" w:space="0"/>
            </w:tcBorders>
            <w:tcMar>
              <w:left w:w="0" w:type="dxa"/>
              <w:right w:w="0" w:type="dxa"/>
            </w:tcMar>
          </w:tcPr>
          <w:p w:rsidRPr="00A65C85" w:rsidR="00E81CDA" w:rsidRDefault="00E81CDA" w14:paraId="6940FF16" w14:textId="77777777">
            <w:pPr>
              <w:spacing w:after="0" w:line="240" w:lineRule="auto"/>
              <w:ind w:left="90" w:right="60"/>
              <w:jc w:val="left"/>
              <w:rPr>
                <w:rFonts w:eastAsia="Arial" w:cs="Arial"/>
                <w:color w:val="000000"/>
              </w:rPr>
            </w:pPr>
            <w:r w:rsidRPr="00A65C85">
              <w:t>Project Management Specialists</w:t>
            </w:r>
          </w:p>
        </w:tc>
        <w:tc>
          <w:tcPr>
            <w:tcW w:w="1035" w:type="dxa"/>
            <w:tcBorders>
              <w:top w:val="single" w:color="000000" w:themeColor="text1" w:sz="6" w:space="0"/>
              <w:left w:val="single" w:color="000000" w:sz="5" w:space="0"/>
              <w:bottom w:val="single" w:color="000000" w:sz="5" w:space="0"/>
              <w:right w:val="single" w:color="000000" w:sz="5" w:space="0"/>
            </w:tcBorders>
            <w:tcMar>
              <w:left w:w="0" w:type="dxa"/>
              <w:right w:w="0" w:type="dxa"/>
            </w:tcMar>
          </w:tcPr>
          <w:p w:rsidRPr="00A65C85" w:rsidR="00E81CDA" w:rsidP="006A3EE8" w:rsidRDefault="00E81CDA" w14:paraId="7D86CFCC" w14:textId="77777777">
            <w:pPr>
              <w:spacing w:after="0" w:line="240" w:lineRule="auto"/>
              <w:ind w:right="135"/>
              <w:jc w:val="left"/>
            </w:pPr>
            <w:r w:rsidRPr="00A65C85">
              <w:t>3,260</w:t>
            </w:r>
          </w:p>
        </w:tc>
        <w:tc>
          <w:tcPr>
            <w:tcW w:w="1035" w:type="dxa"/>
            <w:tcBorders>
              <w:top w:val="single" w:color="000000" w:themeColor="text1" w:sz="6"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37DEB906" w14:textId="77777777">
            <w:pPr>
              <w:spacing w:after="0" w:line="240" w:lineRule="auto"/>
              <w:ind w:right="135"/>
              <w:jc w:val="left"/>
            </w:pPr>
            <w:r w:rsidRPr="00A65C85">
              <w:t>52</w:t>
            </w:r>
          </w:p>
        </w:tc>
        <w:tc>
          <w:tcPr>
            <w:tcW w:w="1020" w:type="dxa"/>
            <w:tcBorders>
              <w:top w:val="single" w:color="000000" w:themeColor="text1" w:sz="6"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766CF504" w14:textId="77777777">
            <w:pPr>
              <w:spacing w:after="0" w:line="240" w:lineRule="auto"/>
              <w:ind w:right="135"/>
              <w:jc w:val="left"/>
            </w:pPr>
            <w:r w:rsidRPr="00A65C85">
              <w:t>1.60%</w:t>
            </w:r>
          </w:p>
        </w:tc>
        <w:tc>
          <w:tcPr>
            <w:tcW w:w="1005" w:type="dxa"/>
            <w:tcBorders>
              <w:top w:val="single" w:color="000000" w:themeColor="text1" w:sz="6"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4D00927D" w14:textId="77777777">
            <w:pPr>
              <w:spacing w:after="0" w:line="240" w:lineRule="auto"/>
              <w:ind w:right="135"/>
              <w:jc w:val="left"/>
            </w:pPr>
            <w:r w:rsidRPr="00A65C85">
              <w:t>60</w:t>
            </w:r>
          </w:p>
        </w:tc>
        <w:tc>
          <w:tcPr>
            <w:tcW w:w="1005" w:type="dxa"/>
            <w:tcBorders>
              <w:top w:val="single" w:color="000000" w:themeColor="text1" w:sz="6"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2A009EF3" w14:textId="77777777">
            <w:pPr>
              <w:spacing w:after="0" w:line="240" w:lineRule="auto"/>
              <w:ind w:right="135"/>
              <w:jc w:val="left"/>
            </w:pPr>
            <w:r w:rsidRPr="00A65C85">
              <w:t>1.84%</w:t>
            </w:r>
          </w:p>
        </w:tc>
      </w:tr>
      <w:tr w:rsidR="00E81CDA" w:rsidTr="005B6BC3" w14:paraId="63055721" w14:textId="77777777">
        <w:trPr>
          <w:trHeight w:val="20"/>
          <w:jc w:val="center"/>
        </w:trPr>
        <w:tc>
          <w:tcPr>
            <w:tcW w:w="4410" w:type="dxa"/>
            <w:tcBorders>
              <w:top w:val="single" w:color="CCCCCC" w:sz="5" w:space="0"/>
              <w:left w:val="single" w:color="000000" w:sz="5" w:space="0"/>
              <w:bottom w:val="single" w:color="000000" w:sz="5" w:space="0"/>
              <w:right w:val="single" w:color="000000" w:sz="5" w:space="0"/>
            </w:tcBorders>
            <w:tcMar>
              <w:left w:w="0" w:type="dxa"/>
              <w:right w:w="0" w:type="dxa"/>
            </w:tcMar>
          </w:tcPr>
          <w:p w:rsidRPr="00A65C85" w:rsidR="00E81CDA" w:rsidRDefault="00E81CDA" w14:paraId="1D8A2E90" w14:textId="77777777">
            <w:pPr>
              <w:spacing w:after="0" w:line="240" w:lineRule="auto"/>
              <w:ind w:left="90" w:right="60"/>
              <w:jc w:val="left"/>
              <w:rPr>
                <w:rFonts w:eastAsia="Arial" w:cs="Arial"/>
                <w:color w:val="000000"/>
              </w:rPr>
            </w:pPr>
            <w:r w:rsidRPr="00A65C85">
              <w:t>Business Operations Specialists, All Other</w:t>
            </w:r>
          </w:p>
        </w:tc>
        <w:tc>
          <w:tcPr>
            <w:tcW w:w="1035" w:type="dxa"/>
            <w:tcBorders>
              <w:top w:val="single" w:color="CCCCCC" w:sz="5" w:space="0"/>
              <w:left w:val="single" w:color="000000" w:sz="5" w:space="0"/>
              <w:bottom w:val="single" w:color="000000" w:sz="5" w:space="0"/>
              <w:right w:val="single" w:color="000000" w:sz="5" w:space="0"/>
            </w:tcBorders>
            <w:tcMar>
              <w:left w:w="0" w:type="dxa"/>
              <w:right w:w="0" w:type="dxa"/>
            </w:tcMar>
          </w:tcPr>
          <w:p w:rsidRPr="00A65C85" w:rsidR="00E81CDA" w:rsidP="006A3EE8" w:rsidRDefault="00E81CDA" w14:paraId="5929171D" w14:textId="77777777">
            <w:pPr>
              <w:spacing w:after="0" w:line="240" w:lineRule="auto"/>
              <w:ind w:right="135"/>
              <w:jc w:val="left"/>
            </w:pPr>
            <w:r w:rsidRPr="00A65C85">
              <w:t>7,019</w:t>
            </w:r>
          </w:p>
        </w:tc>
        <w:tc>
          <w:tcPr>
            <w:tcW w:w="103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18689458" w14:textId="77777777">
            <w:pPr>
              <w:spacing w:after="0" w:line="240" w:lineRule="auto"/>
              <w:ind w:right="135"/>
              <w:jc w:val="left"/>
            </w:pPr>
            <w:r w:rsidRPr="00A65C85">
              <w:t>34</w:t>
            </w:r>
          </w:p>
        </w:tc>
        <w:tc>
          <w:tcPr>
            <w:tcW w:w="1020"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7F0FC184" w14:textId="77777777">
            <w:pPr>
              <w:spacing w:after="0" w:line="240" w:lineRule="auto"/>
              <w:ind w:right="135"/>
              <w:jc w:val="left"/>
            </w:pPr>
            <w:r w:rsidRPr="00A65C85">
              <w:t>0.48%</w:t>
            </w:r>
          </w:p>
        </w:tc>
        <w:tc>
          <w:tcPr>
            <w:tcW w:w="100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1A7FE515" w14:textId="77777777">
            <w:pPr>
              <w:spacing w:after="0" w:line="240" w:lineRule="auto"/>
              <w:ind w:right="135"/>
              <w:jc w:val="left"/>
            </w:pPr>
            <w:r w:rsidRPr="00A65C85">
              <w:t>38</w:t>
            </w:r>
          </w:p>
        </w:tc>
        <w:tc>
          <w:tcPr>
            <w:tcW w:w="100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3784217C" w14:textId="77777777">
            <w:pPr>
              <w:spacing w:after="0" w:line="240" w:lineRule="auto"/>
              <w:ind w:right="135"/>
              <w:jc w:val="left"/>
            </w:pPr>
            <w:r w:rsidRPr="00A65C85">
              <w:t>0.54%</w:t>
            </w:r>
          </w:p>
        </w:tc>
      </w:tr>
      <w:tr w:rsidR="00E81CDA" w:rsidTr="005B6BC3" w14:paraId="3C4220CA" w14:textId="77777777">
        <w:trPr>
          <w:trHeight w:val="20"/>
          <w:jc w:val="center"/>
        </w:trPr>
        <w:tc>
          <w:tcPr>
            <w:tcW w:w="4410" w:type="dxa"/>
            <w:tcBorders>
              <w:top w:val="single" w:color="CCCCCC" w:sz="5" w:space="0"/>
              <w:left w:val="single" w:color="000000" w:sz="5" w:space="0"/>
              <w:bottom w:val="single" w:color="000000" w:sz="5" w:space="0"/>
              <w:right w:val="single" w:color="000000" w:sz="5" w:space="0"/>
            </w:tcBorders>
            <w:tcMar>
              <w:left w:w="0" w:type="dxa"/>
              <w:right w:w="0" w:type="dxa"/>
            </w:tcMar>
          </w:tcPr>
          <w:p w:rsidRPr="00A65C85" w:rsidR="00E81CDA" w:rsidRDefault="00E81CDA" w14:paraId="5EEC78F5" w14:textId="77777777">
            <w:pPr>
              <w:spacing w:after="0" w:line="240" w:lineRule="auto"/>
              <w:ind w:left="90" w:right="60"/>
              <w:jc w:val="left"/>
              <w:rPr>
                <w:rFonts w:eastAsia="Arial" w:cs="Arial"/>
                <w:color w:val="000000"/>
              </w:rPr>
            </w:pPr>
            <w:r w:rsidRPr="00A65C85">
              <w:t>Software Developers</w:t>
            </w:r>
          </w:p>
        </w:tc>
        <w:tc>
          <w:tcPr>
            <w:tcW w:w="1035" w:type="dxa"/>
            <w:tcBorders>
              <w:top w:val="single" w:color="CCCCCC" w:sz="5" w:space="0"/>
              <w:left w:val="single" w:color="000000" w:sz="5" w:space="0"/>
              <w:bottom w:val="single" w:color="000000" w:sz="5" w:space="0"/>
              <w:right w:val="single" w:color="000000" w:sz="5" w:space="0"/>
            </w:tcBorders>
            <w:tcMar>
              <w:left w:w="0" w:type="dxa"/>
              <w:right w:w="0" w:type="dxa"/>
            </w:tcMar>
          </w:tcPr>
          <w:p w:rsidRPr="00A65C85" w:rsidR="00E81CDA" w:rsidP="006A3EE8" w:rsidRDefault="00E81CDA" w14:paraId="30E94564" w14:textId="77777777">
            <w:pPr>
              <w:spacing w:after="0" w:line="240" w:lineRule="auto"/>
              <w:ind w:right="135"/>
              <w:jc w:val="left"/>
            </w:pPr>
            <w:r w:rsidRPr="00A65C85">
              <w:t>15,863</w:t>
            </w:r>
          </w:p>
        </w:tc>
        <w:tc>
          <w:tcPr>
            <w:tcW w:w="103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0017E6DF" w14:textId="77777777">
            <w:pPr>
              <w:spacing w:after="0" w:line="240" w:lineRule="auto"/>
              <w:ind w:right="135"/>
              <w:jc w:val="left"/>
            </w:pPr>
            <w:r w:rsidRPr="00A65C85">
              <w:t>81</w:t>
            </w:r>
          </w:p>
        </w:tc>
        <w:tc>
          <w:tcPr>
            <w:tcW w:w="1020"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3000AED0" w14:textId="77777777">
            <w:pPr>
              <w:spacing w:after="0" w:line="240" w:lineRule="auto"/>
              <w:ind w:right="135"/>
              <w:jc w:val="left"/>
            </w:pPr>
            <w:r w:rsidRPr="00A65C85">
              <w:t>0.51%</w:t>
            </w:r>
          </w:p>
        </w:tc>
        <w:tc>
          <w:tcPr>
            <w:tcW w:w="100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253F2514" w14:textId="77777777">
            <w:pPr>
              <w:spacing w:after="0" w:line="240" w:lineRule="auto"/>
              <w:ind w:right="135"/>
              <w:jc w:val="left"/>
            </w:pPr>
            <w:r w:rsidRPr="00A65C85">
              <w:t>90</w:t>
            </w:r>
          </w:p>
        </w:tc>
        <w:tc>
          <w:tcPr>
            <w:tcW w:w="100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027E2445" w14:textId="77777777">
            <w:pPr>
              <w:spacing w:after="0" w:line="240" w:lineRule="auto"/>
              <w:ind w:right="135"/>
              <w:jc w:val="left"/>
            </w:pPr>
            <w:r w:rsidRPr="00A65C85">
              <w:t>0.57%</w:t>
            </w:r>
          </w:p>
        </w:tc>
      </w:tr>
      <w:tr w:rsidR="00E81CDA" w:rsidTr="005B6BC3" w14:paraId="59C213C7" w14:textId="77777777">
        <w:trPr>
          <w:trHeight w:val="20"/>
          <w:jc w:val="center"/>
        </w:trPr>
        <w:tc>
          <w:tcPr>
            <w:tcW w:w="4410" w:type="dxa"/>
            <w:tcBorders>
              <w:top w:val="single" w:color="CCCCCC" w:sz="5" w:space="0"/>
              <w:left w:val="single" w:color="000000" w:sz="5" w:space="0"/>
              <w:bottom w:val="single" w:color="000000" w:sz="5" w:space="0"/>
              <w:right w:val="single" w:color="000000" w:sz="5" w:space="0"/>
            </w:tcBorders>
            <w:tcMar>
              <w:left w:w="0" w:type="dxa"/>
              <w:right w:w="0" w:type="dxa"/>
            </w:tcMar>
          </w:tcPr>
          <w:p w:rsidRPr="00A65C85" w:rsidR="00E81CDA" w:rsidRDefault="00E81CDA" w14:paraId="4FF0C84A" w14:textId="77777777">
            <w:pPr>
              <w:spacing w:after="0" w:line="240" w:lineRule="auto"/>
              <w:ind w:left="90" w:right="60"/>
              <w:jc w:val="left"/>
              <w:rPr>
                <w:rFonts w:eastAsia="Arial" w:cs="Arial"/>
                <w:color w:val="000000"/>
              </w:rPr>
            </w:pPr>
            <w:r w:rsidRPr="00A65C85">
              <w:t>Software Quality Assurance Analysts and Testers</w:t>
            </w:r>
          </w:p>
        </w:tc>
        <w:tc>
          <w:tcPr>
            <w:tcW w:w="1035" w:type="dxa"/>
            <w:tcBorders>
              <w:top w:val="single" w:color="CCCCCC" w:sz="5" w:space="0"/>
              <w:left w:val="single" w:color="000000" w:sz="5" w:space="0"/>
              <w:bottom w:val="single" w:color="000000" w:sz="5" w:space="0"/>
              <w:right w:val="single" w:color="000000" w:sz="5" w:space="0"/>
            </w:tcBorders>
            <w:tcMar>
              <w:left w:w="0" w:type="dxa"/>
              <w:right w:w="0" w:type="dxa"/>
            </w:tcMar>
          </w:tcPr>
          <w:p w:rsidRPr="00A65C85" w:rsidR="00E81CDA" w:rsidP="006A3EE8" w:rsidRDefault="00E81CDA" w14:paraId="6340A6BB" w14:textId="77777777">
            <w:pPr>
              <w:spacing w:after="0" w:line="240" w:lineRule="auto"/>
              <w:ind w:right="135"/>
              <w:jc w:val="left"/>
            </w:pPr>
            <w:r w:rsidRPr="00A65C85">
              <w:t>1,544</w:t>
            </w:r>
          </w:p>
        </w:tc>
        <w:tc>
          <w:tcPr>
            <w:tcW w:w="103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42494AB2" w14:textId="77777777">
            <w:pPr>
              <w:spacing w:after="0" w:line="240" w:lineRule="auto"/>
              <w:ind w:right="135"/>
              <w:jc w:val="left"/>
            </w:pPr>
            <w:r w:rsidRPr="00A65C85">
              <w:t>8</w:t>
            </w:r>
          </w:p>
        </w:tc>
        <w:tc>
          <w:tcPr>
            <w:tcW w:w="1020"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10C364AF" w14:textId="77777777">
            <w:pPr>
              <w:spacing w:after="0" w:line="240" w:lineRule="auto"/>
              <w:ind w:right="135"/>
              <w:jc w:val="left"/>
            </w:pPr>
            <w:r w:rsidRPr="00A65C85">
              <w:t>0.52%</w:t>
            </w:r>
          </w:p>
        </w:tc>
        <w:tc>
          <w:tcPr>
            <w:tcW w:w="100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32FA5522" w14:textId="77777777">
            <w:pPr>
              <w:spacing w:after="0" w:line="240" w:lineRule="auto"/>
              <w:ind w:right="135"/>
              <w:jc w:val="left"/>
            </w:pPr>
            <w:r w:rsidRPr="00A65C85">
              <w:t>9</w:t>
            </w:r>
          </w:p>
        </w:tc>
        <w:tc>
          <w:tcPr>
            <w:tcW w:w="100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48A0BEBC" w14:textId="77777777">
            <w:pPr>
              <w:spacing w:after="0" w:line="240" w:lineRule="auto"/>
              <w:ind w:right="135"/>
              <w:jc w:val="left"/>
            </w:pPr>
            <w:r w:rsidRPr="00A65C85">
              <w:t>0.58%</w:t>
            </w:r>
          </w:p>
        </w:tc>
      </w:tr>
      <w:tr w:rsidR="00E81CDA" w:rsidTr="005B6BC3" w14:paraId="2D58DF83" w14:textId="77777777">
        <w:trPr>
          <w:trHeight w:val="20"/>
          <w:jc w:val="center"/>
        </w:trPr>
        <w:tc>
          <w:tcPr>
            <w:tcW w:w="4410" w:type="dxa"/>
            <w:tcBorders>
              <w:top w:val="single" w:color="CCCCCC" w:sz="5" w:space="0"/>
              <w:left w:val="single" w:color="000000" w:sz="5" w:space="0"/>
              <w:bottom w:val="single" w:color="000000" w:sz="5" w:space="0"/>
              <w:right w:val="single" w:color="000000" w:sz="5" w:space="0"/>
            </w:tcBorders>
            <w:tcMar>
              <w:left w:w="0" w:type="dxa"/>
              <w:right w:w="0" w:type="dxa"/>
            </w:tcMar>
          </w:tcPr>
          <w:p w:rsidRPr="00A65C85" w:rsidR="00E81CDA" w:rsidRDefault="00E81CDA" w14:paraId="057D9F33" w14:textId="77777777">
            <w:pPr>
              <w:spacing w:after="0" w:line="240" w:lineRule="auto"/>
              <w:ind w:left="90" w:right="60"/>
              <w:jc w:val="left"/>
              <w:rPr>
                <w:rFonts w:eastAsia="Arial" w:cs="Arial"/>
                <w:color w:val="000000"/>
              </w:rPr>
            </w:pPr>
            <w:r w:rsidRPr="00A65C85">
              <w:t>Electronics Engineers, Except Computer</w:t>
            </w:r>
          </w:p>
        </w:tc>
        <w:tc>
          <w:tcPr>
            <w:tcW w:w="1035" w:type="dxa"/>
            <w:tcBorders>
              <w:top w:val="single" w:color="CCCCCC" w:sz="5" w:space="0"/>
              <w:left w:val="single" w:color="000000" w:sz="5" w:space="0"/>
              <w:bottom w:val="single" w:color="000000" w:sz="5" w:space="0"/>
              <w:right w:val="single" w:color="000000" w:sz="5" w:space="0"/>
            </w:tcBorders>
            <w:tcMar>
              <w:left w:w="0" w:type="dxa"/>
              <w:right w:w="0" w:type="dxa"/>
            </w:tcMar>
          </w:tcPr>
          <w:p w:rsidRPr="00A65C85" w:rsidR="00E81CDA" w:rsidP="006A3EE8" w:rsidRDefault="00E81CDA" w14:paraId="3F511C34" w14:textId="77777777">
            <w:pPr>
              <w:spacing w:after="0" w:line="240" w:lineRule="auto"/>
              <w:ind w:right="135"/>
              <w:jc w:val="left"/>
            </w:pPr>
            <w:r w:rsidRPr="00A65C85">
              <w:t>1,901</w:t>
            </w:r>
          </w:p>
        </w:tc>
        <w:tc>
          <w:tcPr>
            <w:tcW w:w="103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25B3C4F8" w14:textId="77777777">
            <w:pPr>
              <w:spacing w:after="0" w:line="240" w:lineRule="auto"/>
              <w:ind w:right="135"/>
              <w:jc w:val="left"/>
            </w:pPr>
            <w:r w:rsidRPr="00A65C85">
              <w:t>27</w:t>
            </w:r>
          </w:p>
        </w:tc>
        <w:tc>
          <w:tcPr>
            <w:tcW w:w="1020"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7C981BE8" w14:textId="77777777">
            <w:pPr>
              <w:spacing w:after="0" w:line="240" w:lineRule="auto"/>
              <w:ind w:right="135"/>
              <w:jc w:val="left"/>
            </w:pPr>
            <w:r w:rsidRPr="00A65C85">
              <w:t>1.42%</w:t>
            </w:r>
          </w:p>
        </w:tc>
        <w:tc>
          <w:tcPr>
            <w:tcW w:w="100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72738DDC" w14:textId="77777777">
            <w:pPr>
              <w:spacing w:after="0" w:line="240" w:lineRule="auto"/>
              <w:ind w:right="135"/>
              <w:jc w:val="left"/>
            </w:pPr>
            <w:r w:rsidRPr="00A65C85">
              <w:t>32</w:t>
            </w:r>
          </w:p>
        </w:tc>
        <w:tc>
          <w:tcPr>
            <w:tcW w:w="100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5616376B" w14:textId="77777777">
            <w:pPr>
              <w:spacing w:after="0" w:line="240" w:lineRule="auto"/>
              <w:ind w:right="135"/>
              <w:jc w:val="left"/>
            </w:pPr>
            <w:r w:rsidRPr="00A65C85">
              <w:t>1.68%</w:t>
            </w:r>
          </w:p>
        </w:tc>
      </w:tr>
      <w:tr w:rsidR="00E81CDA" w:rsidTr="005B6BC3" w14:paraId="091DBD7E" w14:textId="77777777">
        <w:trPr>
          <w:trHeight w:val="20"/>
          <w:jc w:val="center"/>
        </w:trPr>
        <w:tc>
          <w:tcPr>
            <w:tcW w:w="4410" w:type="dxa"/>
            <w:tcBorders>
              <w:top w:val="single" w:color="CCCCCC" w:sz="5" w:space="0"/>
              <w:left w:val="single" w:color="000000" w:sz="5" w:space="0"/>
              <w:bottom w:val="single" w:color="000000" w:sz="5" w:space="0"/>
              <w:right w:val="single" w:color="000000" w:sz="5" w:space="0"/>
            </w:tcBorders>
            <w:tcMar>
              <w:left w:w="0" w:type="dxa"/>
              <w:right w:w="0" w:type="dxa"/>
            </w:tcMar>
          </w:tcPr>
          <w:p w:rsidRPr="00A65C85" w:rsidR="00E81CDA" w:rsidRDefault="00E81CDA" w14:paraId="45835DAF" w14:textId="77777777">
            <w:pPr>
              <w:spacing w:after="0" w:line="240" w:lineRule="auto"/>
              <w:ind w:left="90" w:right="60"/>
              <w:jc w:val="left"/>
              <w:rPr>
                <w:rFonts w:eastAsia="Arial" w:cs="Arial"/>
                <w:color w:val="000000"/>
              </w:rPr>
            </w:pPr>
            <w:r w:rsidRPr="00A65C85">
              <w:t>Sales Representatives of Services, Except Advertising, Insurance, Financial Services, and Travel</w:t>
            </w:r>
          </w:p>
        </w:tc>
        <w:tc>
          <w:tcPr>
            <w:tcW w:w="1035" w:type="dxa"/>
            <w:tcBorders>
              <w:top w:val="single" w:color="CCCCCC" w:sz="5" w:space="0"/>
              <w:left w:val="single" w:color="000000" w:sz="5" w:space="0"/>
              <w:bottom w:val="single" w:color="000000" w:sz="5" w:space="0"/>
              <w:right w:val="single" w:color="000000" w:sz="5" w:space="0"/>
            </w:tcBorders>
            <w:tcMar>
              <w:left w:w="0" w:type="dxa"/>
              <w:right w:w="0" w:type="dxa"/>
            </w:tcMar>
          </w:tcPr>
          <w:p w:rsidRPr="00A65C85" w:rsidR="00E81CDA" w:rsidP="006A3EE8" w:rsidRDefault="00E81CDA" w14:paraId="5BADEC26" w14:textId="77777777">
            <w:pPr>
              <w:spacing w:after="0" w:line="240" w:lineRule="auto"/>
              <w:ind w:right="135"/>
              <w:jc w:val="left"/>
            </w:pPr>
            <w:r w:rsidRPr="00A65C85">
              <w:t>10,467</w:t>
            </w:r>
          </w:p>
        </w:tc>
        <w:tc>
          <w:tcPr>
            <w:tcW w:w="103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3A494506" w14:textId="77777777">
            <w:pPr>
              <w:spacing w:after="0" w:line="240" w:lineRule="auto"/>
              <w:ind w:right="135"/>
              <w:jc w:val="left"/>
            </w:pPr>
            <w:r w:rsidRPr="00A65C85">
              <w:t>142</w:t>
            </w:r>
          </w:p>
        </w:tc>
        <w:tc>
          <w:tcPr>
            <w:tcW w:w="1020"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27E9BB24" w14:textId="77777777">
            <w:pPr>
              <w:spacing w:after="0" w:line="240" w:lineRule="auto"/>
              <w:ind w:right="135"/>
              <w:jc w:val="left"/>
            </w:pPr>
            <w:r w:rsidRPr="00A65C85">
              <w:t>1.36%</w:t>
            </w:r>
          </w:p>
        </w:tc>
        <w:tc>
          <w:tcPr>
            <w:tcW w:w="100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4CBD2440" w14:textId="77777777">
            <w:pPr>
              <w:spacing w:after="0" w:line="240" w:lineRule="auto"/>
              <w:ind w:right="135"/>
              <w:jc w:val="left"/>
            </w:pPr>
            <w:r w:rsidRPr="00A65C85">
              <w:t>160</w:t>
            </w:r>
          </w:p>
        </w:tc>
        <w:tc>
          <w:tcPr>
            <w:tcW w:w="100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0F2492BB" w14:textId="77777777">
            <w:pPr>
              <w:spacing w:after="0" w:line="240" w:lineRule="auto"/>
              <w:ind w:right="135"/>
              <w:jc w:val="left"/>
            </w:pPr>
            <w:r w:rsidRPr="00A65C85">
              <w:t>1.53%</w:t>
            </w:r>
          </w:p>
        </w:tc>
      </w:tr>
      <w:tr w:rsidR="00E81CDA" w:rsidTr="005B6BC3" w14:paraId="245B1EF7" w14:textId="77777777">
        <w:trPr>
          <w:trHeight w:val="20"/>
          <w:jc w:val="center"/>
        </w:trPr>
        <w:tc>
          <w:tcPr>
            <w:tcW w:w="4410" w:type="dxa"/>
            <w:tcBorders>
              <w:top w:val="single" w:color="CCCCCC" w:sz="5" w:space="0"/>
              <w:left w:val="single" w:color="000000" w:sz="5" w:space="0"/>
              <w:bottom w:val="single" w:color="000000" w:sz="5" w:space="0"/>
              <w:right w:val="single" w:color="000000" w:sz="5" w:space="0"/>
            </w:tcBorders>
            <w:tcMar>
              <w:left w:w="0" w:type="dxa"/>
              <w:right w:w="0" w:type="dxa"/>
            </w:tcMar>
          </w:tcPr>
          <w:p w:rsidRPr="00A65C85" w:rsidR="00E81CDA" w:rsidRDefault="00E81CDA" w14:paraId="54FB4F08" w14:textId="77777777">
            <w:pPr>
              <w:spacing w:after="0" w:line="240" w:lineRule="auto"/>
              <w:ind w:left="90" w:right="60"/>
              <w:jc w:val="left"/>
              <w:rPr>
                <w:rFonts w:eastAsia="Arial" w:cs="Arial"/>
                <w:color w:val="000000"/>
              </w:rPr>
            </w:pPr>
            <w:r w:rsidRPr="00A65C85">
              <w:t>Customer Service Representatives</w:t>
            </w:r>
          </w:p>
        </w:tc>
        <w:tc>
          <w:tcPr>
            <w:tcW w:w="1035" w:type="dxa"/>
            <w:tcBorders>
              <w:top w:val="single" w:color="CCCCCC" w:sz="5" w:space="0"/>
              <w:left w:val="single" w:color="000000" w:sz="5" w:space="0"/>
              <w:bottom w:val="single" w:color="000000" w:sz="5" w:space="0"/>
              <w:right w:val="single" w:color="000000" w:sz="5" w:space="0"/>
            </w:tcBorders>
            <w:tcMar>
              <w:left w:w="0" w:type="dxa"/>
              <w:right w:w="0" w:type="dxa"/>
            </w:tcMar>
          </w:tcPr>
          <w:p w:rsidRPr="00A65C85" w:rsidR="00E81CDA" w:rsidP="006A3EE8" w:rsidRDefault="00E81CDA" w14:paraId="4813D1F4" w14:textId="77777777">
            <w:pPr>
              <w:spacing w:after="0" w:line="240" w:lineRule="auto"/>
              <w:ind w:right="135"/>
              <w:jc w:val="left"/>
            </w:pPr>
            <w:r w:rsidRPr="00A65C85">
              <w:t>34,310</w:t>
            </w:r>
          </w:p>
        </w:tc>
        <w:tc>
          <w:tcPr>
            <w:tcW w:w="103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3B6A54A2" w14:textId="77777777">
            <w:pPr>
              <w:spacing w:after="0" w:line="240" w:lineRule="auto"/>
              <w:ind w:right="135"/>
              <w:jc w:val="left"/>
            </w:pPr>
            <w:r w:rsidRPr="00A65C85">
              <w:t>177</w:t>
            </w:r>
          </w:p>
        </w:tc>
        <w:tc>
          <w:tcPr>
            <w:tcW w:w="1020"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793DA044" w14:textId="77777777">
            <w:pPr>
              <w:spacing w:after="0" w:line="240" w:lineRule="auto"/>
              <w:ind w:right="135"/>
              <w:jc w:val="left"/>
            </w:pPr>
            <w:r w:rsidRPr="00A65C85">
              <w:t>0.52%</w:t>
            </w:r>
          </w:p>
        </w:tc>
        <w:tc>
          <w:tcPr>
            <w:tcW w:w="100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4C3A539A" w14:textId="77777777">
            <w:pPr>
              <w:spacing w:after="0" w:line="240" w:lineRule="auto"/>
              <w:ind w:right="135"/>
              <w:jc w:val="left"/>
            </w:pPr>
            <w:r w:rsidRPr="00A65C85">
              <w:t>201</w:t>
            </w:r>
          </w:p>
        </w:tc>
        <w:tc>
          <w:tcPr>
            <w:tcW w:w="100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74A6215F" w14:textId="77777777">
            <w:pPr>
              <w:spacing w:after="0" w:line="240" w:lineRule="auto"/>
              <w:ind w:right="135"/>
              <w:jc w:val="left"/>
            </w:pPr>
            <w:r w:rsidRPr="00A65C85">
              <w:t>0.59%</w:t>
            </w:r>
          </w:p>
        </w:tc>
      </w:tr>
      <w:tr w:rsidR="00E81CDA" w:rsidTr="005B6BC3" w14:paraId="7008BD2D" w14:textId="77777777">
        <w:trPr>
          <w:trHeight w:val="20"/>
          <w:jc w:val="center"/>
        </w:trPr>
        <w:tc>
          <w:tcPr>
            <w:tcW w:w="4410" w:type="dxa"/>
            <w:tcBorders>
              <w:top w:val="single" w:color="CCCCCC" w:sz="5" w:space="0"/>
              <w:left w:val="single" w:color="000000" w:sz="5" w:space="0"/>
              <w:bottom w:val="single" w:color="000000" w:sz="5" w:space="0"/>
              <w:right w:val="single" w:color="000000" w:sz="5" w:space="0"/>
            </w:tcBorders>
            <w:tcMar>
              <w:left w:w="0" w:type="dxa"/>
              <w:right w:w="0" w:type="dxa"/>
            </w:tcMar>
          </w:tcPr>
          <w:p w:rsidRPr="00A65C85" w:rsidR="00E81CDA" w:rsidRDefault="00E81CDA" w14:paraId="56BFC178" w14:textId="77777777">
            <w:pPr>
              <w:spacing w:after="0" w:line="240" w:lineRule="auto"/>
              <w:ind w:left="90" w:right="60"/>
              <w:jc w:val="left"/>
              <w:rPr>
                <w:rFonts w:eastAsia="Arial" w:cs="Arial"/>
                <w:color w:val="000000"/>
              </w:rPr>
            </w:pPr>
            <w:r w:rsidRPr="00A65C85">
              <w:t>Construction Laborers</w:t>
            </w:r>
          </w:p>
        </w:tc>
        <w:tc>
          <w:tcPr>
            <w:tcW w:w="1035" w:type="dxa"/>
            <w:tcBorders>
              <w:top w:val="single" w:color="CCCCCC" w:sz="5" w:space="0"/>
              <w:left w:val="single" w:color="000000" w:sz="5" w:space="0"/>
              <w:bottom w:val="single" w:color="000000" w:sz="5" w:space="0"/>
              <w:right w:val="single" w:color="000000" w:sz="5" w:space="0"/>
            </w:tcBorders>
            <w:tcMar>
              <w:left w:w="0" w:type="dxa"/>
              <w:right w:w="0" w:type="dxa"/>
            </w:tcMar>
          </w:tcPr>
          <w:p w:rsidRPr="00A65C85" w:rsidR="00E81CDA" w:rsidP="006A3EE8" w:rsidRDefault="00E81CDA" w14:paraId="156E0D56" w14:textId="77777777">
            <w:pPr>
              <w:spacing w:after="0" w:line="240" w:lineRule="auto"/>
              <w:ind w:right="135"/>
              <w:jc w:val="left"/>
            </w:pPr>
            <w:r w:rsidRPr="00A65C85">
              <w:t>16,057</w:t>
            </w:r>
          </w:p>
        </w:tc>
        <w:tc>
          <w:tcPr>
            <w:tcW w:w="103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3A024F92" w14:textId="77777777">
            <w:pPr>
              <w:spacing w:after="0" w:line="240" w:lineRule="auto"/>
              <w:ind w:right="135"/>
              <w:jc w:val="left"/>
            </w:pPr>
            <w:r w:rsidRPr="00A65C85">
              <w:t>454</w:t>
            </w:r>
          </w:p>
        </w:tc>
        <w:tc>
          <w:tcPr>
            <w:tcW w:w="1020"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05B357C7" w14:textId="77777777">
            <w:pPr>
              <w:spacing w:after="0" w:line="240" w:lineRule="auto"/>
              <w:ind w:right="135"/>
              <w:jc w:val="left"/>
            </w:pPr>
            <w:r w:rsidRPr="00A65C85">
              <w:t>2.83%</w:t>
            </w:r>
          </w:p>
        </w:tc>
        <w:tc>
          <w:tcPr>
            <w:tcW w:w="100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4C3B2890" w14:textId="77777777">
            <w:pPr>
              <w:spacing w:after="0" w:line="240" w:lineRule="auto"/>
              <w:ind w:right="135"/>
              <w:jc w:val="left"/>
            </w:pPr>
            <w:r w:rsidRPr="00A65C85">
              <w:t>516</w:t>
            </w:r>
          </w:p>
        </w:tc>
        <w:tc>
          <w:tcPr>
            <w:tcW w:w="100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148FE9CB" w14:textId="77777777">
            <w:pPr>
              <w:spacing w:after="0" w:line="240" w:lineRule="auto"/>
              <w:ind w:right="135"/>
              <w:jc w:val="left"/>
            </w:pPr>
            <w:r w:rsidRPr="00A65C85">
              <w:t>3.21%</w:t>
            </w:r>
          </w:p>
        </w:tc>
      </w:tr>
      <w:tr w:rsidR="00E81CDA" w:rsidTr="005B6BC3" w14:paraId="6CF45E4F" w14:textId="77777777">
        <w:trPr>
          <w:trHeight w:val="20"/>
          <w:jc w:val="center"/>
        </w:trPr>
        <w:tc>
          <w:tcPr>
            <w:tcW w:w="4410" w:type="dxa"/>
            <w:tcBorders>
              <w:top w:val="single" w:color="CCCCCC" w:sz="5" w:space="0"/>
              <w:left w:val="single" w:color="000000" w:sz="5" w:space="0"/>
              <w:bottom w:val="single" w:color="000000" w:sz="5" w:space="0"/>
              <w:right w:val="single" w:color="000000" w:sz="5" w:space="0"/>
            </w:tcBorders>
            <w:tcMar>
              <w:left w:w="0" w:type="dxa"/>
              <w:right w:w="0" w:type="dxa"/>
            </w:tcMar>
          </w:tcPr>
          <w:p w:rsidRPr="00A65C85" w:rsidR="00E81CDA" w:rsidRDefault="00E81CDA" w14:paraId="1A4E5C8A" w14:textId="77777777">
            <w:pPr>
              <w:spacing w:after="0" w:line="240" w:lineRule="auto"/>
              <w:ind w:left="90" w:right="60"/>
              <w:jc w:val="left"/>
              <w:rPr>
                <w:rFonts w:eastAsia="Arial" w:cs="Arial"/>
                <w:color w:val="000000"/>
              </w:rPr>
            </w:pPr>
            <w:r w:rsidRPr="00A65C85">
              <w:t>First-Line Supervisors of Mechanics, Installers, and Repairers</w:t>
            </w:r>
          </w:p>
        </w:tc>
        <w:tc>
          <w:tcPr>
            <w:tcW w:w="1035" w:type="dxa"/>
            <w:tcBorders>
              <w:top w:val="single" w:color="CCCCCC" w:sz="5" w:space="0"/>
              <w:left w:val="single" w:color="000000" w:sz="5" w:space="0"/>
              <w:bottom w:val="single" w:color="000000" w:sz="5" w:space="0"/>
              <w:right w:val="single" w:color="000000" w:sz="5" w:space="0"/>
            </w:tcBorders>
            <w:tcMar>
              <w:left w:w="0" w:type="dxa"/>
              <w:right w:w="0" w:type="dxa"/>
            </w:tcMar>
          </w:tcPr>
          <w:p w:rsidRPr="00A65C85" w:rsidR="00E81CDA" w:rsidP="006A3EE8" w:rsidRDefault="00E81CDA" w14:paraId="4B40D0E8" w14:textId="77777777">
            <w:pPr>
              <w:spacing w:after="0" w:line="240" w:lineRule="auto"/>
              <w:ind w:right="135"/>
              <w:jc w:val="left"/>
            </w:pPr>
            <w:r w:rsidRPr="00A65C85">
              <w:t>11,510</w:t>
            </w:r>
          </w:p>
        </w:tc>
        <w:tc>
          <w:tcPr>
            <w:tcW w:w="103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109B25A8" w14:textId="77777777">
            <w:pPr>
              <w:spacing w:after="0" w:line="240" w:lineRule="auto"/>
              <w:ind w:right="135"/>
              <w:jc w:val="left"/>
            </w:pPr>
            <w:r w:rsidRPr="00A65C85">
              <w:t>158</w:t>
            </w:r>
          </w:p>
        </w:tc>
        <w:tc>
          <w:tcPr>
            <w:tcW w:w="1020"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2B005B8D" w14:textId="77777777">
            <w:pPr>
              <w:spacing w:after="0" w:line="240" w:lineRule="auto"/>
              <w:ind w:right="135"/>
              <w:jc w:val="left"/>
            </w:pPr>
            <w:r w:rsidRPr="00A65C85">
              <w:t>1.37%</w:t>
            </w:r>
          </w:p>
        </w:tc>
        <w:tc>
          <w:tcPr>
            <w:tcW w:w="100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47C4E892" w14:textId="77777777">
            <w:pPr>
              <w:spacing w:after="0" w:line="240" w:lineRule="auto"/>
              <w:ind w:right="135"/>
              <w:jc w:val="left"/>
            </w:pPr>
            <w:r w:rsidRPr="00A65C85">
              <w:t>178</w:t>
            </w:r>
          </w:p>
        </w:tc>
        <w:tc>
          <w:tcPr>
            <w:tcW w:w="100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681AF34A" w14:textId="77777777">
            <w:pPr>
              <w:spacing w:after="0" w:line="240" w:lineRule="auto"/>
              <w:ind w:right="135"/>
              <w:jc w:val="left"/>
            </w:pPr>
            <w:r w:rsidRPr="00A65C85">
              <w:t>1.55%</w:t>
            </w:r>
          </w:p>
        </w:tc>
      </w:tr>
      <w:tr w:rsidR="00E81CDA" w:rsidTr="005B6BC3" w14:paraId="743AD041" w14:textId="77777777">
        <w:trPr>
          <w:trHeight w:val="20"/>
          <w:jc w:val="center"/>
        </w:trPr>
        <w:tc>
          <w:tcPr>
            <w:tcW w:w="4410" w:type="dxa"/>
            <w:tcBorders>
              <w:top w:val="single" w:color="CCCCCC" w:sz="5" w:space="0"/>
              <w:left w:val="single" w:color="000000" w:sz="5" w:space="0"/>
              <w:bottom w:val="single" w:color="000000" w:sz="5" w:space="0"/>
              <w:right w:val="single" w:color="000000" w:sz="5" w:space="0"/>
            </w:tcBorders>
            <w:tcMar>
              <w:left w:w="0" w:type="dxa"/>
              <w:right w:w="0" w:type="dxa"/>
            </w:tcMar>
          </w:tcPr>
          <w:p w:rsidRPr="00A65C85" w:rsidR="00E81CDA" w:rsidRDefault="00E81CDA" w14:paraId="75D2E346" w14:textId="77777777">
            <w:pPr>
              <w:spacing w:after="0" w:line="240" w:lineRule="auto"/>
              <w:ind w:left="90" w:right="60"/>
              <w:jc w:val="left"/>
              <w:rPr>
                <w:rFonts w:eastAsia="Arial" w:cs="Arial"/>
                <w:color w:val="000000"/>
              </w:rPr>
            </w:pPr>
            <w:r w:rsidRPr="00A65C85">
              <w:t>Telecommunications Equipment Installers and Repairers, Except Line Installers</w:t>
            </w:r>
          </w:p>
        </w:tc>
        <w:tc>
          <w:tcPr>
            <w:tcW w:w="1035" w:type="dxa"/>
            <w:tcBorders>
              <w:top w:val="single" w:color="CCCCCC" w:sz="5" w:space="0"/>
              <w:left w:val="single" w:color="000000" w:sz="5" w:space="0"/>
              <w:bottom w:val="single" w:color="000000" w:sz="5" w:space="0"/>
              <w:right w:val="single" w:color="000000" w:sz="5" w:space="0"/>
            </w:tcBorders>
            <w:tcMar>
              <w:left w:w="0" w:type="dxa"/>
              <w:right w:w="0" w:type="dxa"/>
            </w:tcMar>
          </w:tcPr>
          <w:p w:rsidRPr="00A65C85" w:rsidR="00E81CDA" w:rsidP="006A3EE8" w:rsidRDefault="00E81CDA" w14:paraId="3665E7E5" w14:textId="77777777">
            <w:pPr>
              <w:spacing w:after="0" w:line="240" w:lineRule="auto"/>
              <w:ind w:right="135"/>
              <w:jc w:val="left"/>
            </w:pPr>
            <w:r w:rsidRPr="00A65C85">
              <w:t>3,030</w:t>
            </w:r>
          </w:p>
        </w:tc>
        <w:tc>
          <w:tcPr>
            <w:tcW w:w="103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7E7E1295" w14:textId="77777777">
            <w:pPr>
              <w:spacing w:after="0" w:line="240" w:lineRule="auto"/>
              <w:ind w:right="135"/>
              <w:jc w:val="left"/>
            </w:pPr>
            <w:r w:rsidRPr="00A65C85">
              <w:t>221</w:t>
            </w:r>
          </w:p>
        </w:tc>
        <w:tc>
          <w:tcPr>
            <w:tcW w:w="1020"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459BC887" w14:textId="77777777">
            <w:pPr>
              <w:spacing w:after="0" w:line="240" w:lineRule="auto"/>
              <w:ind w:right="135"/>
              <w:jc w:val="left"/>
            </w:pPr>
            <w:r w:rsidRPr="00A65C85">
              <w:t>7.29%</w:t>
            </w:r>
          </w:p>
        </w:tc>
        <w:tc>
          <w:tcPr>
            <w:tcW w:w="100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0468BA30" w14:textId="77777777">
            <w:pPr>
              <w:spacing w:after="0" w:line="240" w:lineRule="auto"/>
              <w:ind w:right="135"/>
              <w:jc w:val="left"/>
            </w:pPr>
            <w:r w:rsidRPr="00A65C85">
              <w:t>253</w:t>
            </w:r>
          </w:p>
        </w:tc>
        <w:tc>
          <w:tcPr>
            <w:tcW w:w="100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40BB806E" w14:textId="77777777">
            <w:pPr>
              <w:spacing w:after="0" w:line="240" w:lineRule="auto"/>
              <w:ind w:right="135"/>
              <w:jc w:val="left"/>
            </w:pPr>
            <w:r w:rsidRPr="00A65C85">
              <w:t>8.35%</w:t>
            </w:r>
          </w:p>
        </w:tc>
      </w:tr>
      <w:tr w:rsidR="00E81CDA" w:rsidTr="005B6BC3" w14:paraId="01FC67CF" w14:textId="77777777">
        <w:trPr>
          <w:trHeight w:val="20"/>
          <w:jc w:val="center"/>
        </w:trPr>
        <w:tc>
          <w:tcPr>
            <w:tcW w:w="4410" w:type="dxa"/>
            <w:tcBorders>
              <w:top w:val="single" w:color="CCCCCC" w:sz="5" w:space="0"/>
              <w:left w:val="single" w:color="000000" w:sz="5" w:space="0"/>
              <w:bottom w:val="single" w:color="000000" w:sz="5" w:space="0"/>
              <w:right w:val="single" w:color="000000" w:sz="5" w:space="0"/>
            </w:tcBorders>
            <w:tcMar>
              <w:left w:w="0" w:type="dxa"/>
              <w:right w:w="0" w:type="dxa"/>
            </w:tcMar>
          </w:tcPr>
          <w:p w:rsidRPr="00A65C85" w:rsidR="00E81CDA" w:rsidRDefault="00E81CDA" w14:paraId="0F5434B8" w14:textId="77777777">
            <w:pPr>
              <w:spacing w:after="0" w:line="240" w:lineRule="auto"/>
              <w:ind w:left="90" w:right="60"/>
              <w:jc w:val="left"/>
              <w:rPr>
                <w:rFonts w:eastAsia="Arial" w:cs="Arial"/>
                <w:color w:val="000000"/>
              </w:rPr>
            </w:pPr>
            <w:r w:rsidRPr="00A65C85">
              <w:t>Electrical Power-Line Installers and Repairers</w:t>
            </w:r>
          </w:p>
        </w:tc>
        <w:tc>
          <w:tcPr>
            <w:tcW w:w="1035" w:type="dxa"/>
            <w:tcBorders>
              <w:top w:val="single" w:color="CCCCCC" w:sz="5" w:space="0"/>
              <w:left w:val="single" w:color="000000" w:sz="5" w:space="0"/>
              <w:bottom w:val="single" w:color="000000" w:sz="5" w:space="0"/>
              <w:right w:val="single" w:color="000000" w:sz="5" w:space="0"/>
            </w:tcBorders>
            <w:tcMar>
              <w:left w:w="0" w:type="dxa"/>
              <w:right w:w="0" w:type="dxa"/>
            </w:tcMar>
          </w:tcPr>
          <w:p w:rsidRPr="00A65C85" w:rsidR="00E81CDA" w:rsidP="006A3EE8" w:rsidRDefault="00E81CDA" w14:paraId="2C7727EC" w14:textId="77777777">
            <w:pPr>
              <w:spacing w:after="0" w:line="240" w:lineRule="auto"/>
              <w:ind w:right="135"/>
              <w:jc w:val="left"/>
            </w:pPr>
            <w:r w:rsidRPr="00A65C85">
              <w:t>3,190</w:t>
            </w:r>
          </w:p>
        </w:tc>
        <w:tc>
          <w:tcPr>
            <w:tcW w:w="103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72436199" w14:textId="77777777">
            <w:pPr>
              <w:spacing w:after="0" w:line="240" w:lineRule="auto"/>
              <w:ind w:right="135"/>
              <w:jc w:val="left"/>
            </w:pPr>
            <w:r w:rsidRPr="00A65C85">
              <w:t>174</w:t>
            </w:r>
          </w:p>
        </w:tc>
        <w:tc>
          <w:tcPr>
            <w:tcW w:w="1020"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1E0414C2" w14:textId="77777777">
            <w:pPr>
              <w:spacing w:after="0" w:line="240" w:lineRule="auto"/>
              <w:ind w:right="135"/>
              <w:jc w:val="left"/>
            </w:pPr>
            <w:r w:rsidRPr="00A65C85">
              <w:t>5.45%</w:t>
            </w:r>
          </w:p>
        </w:tc>
        <w:tc>
          <w:tcPr>
            <w:tcW w:w="100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1D9D18CA" w14:textId="77777777">
            <w:pPr>
              <w:spacing w:after="0" w:line="240" w:lineRule="auto"/>
              <w:ind w:right="135"/>
              <w:jc w:val="left"/>
            </w:pPr>
            <w:r w:rsidRPr="00A65C85">
              <w:t>197</w:t>
            </w:r>
          </w:p>
        </w:tc>
        <w:tc>
          <w:tcPr>
            <w:tcW w:w="100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2ECCCDB5" w14:textId="77777777">
            <w:pPr>
              <w:spacing w:after="0" w:line="240" w:lineRule="auto"/>
              <w:ind w:right="135"/>
              <w:jc w:val="left"/>
            </w:pPr>
            <w:r w:rsidRPr="00A65C85">
              <w:t>6.18%</w:t>
            </w:r>
          </w:p>
        </w:tc>
      </w:tr>
      <w:tr w:rsidR="00E81CDA" w:rsidTr="005B6BC3" w14:paraId="49165D1A" w14:textId="77777777">
        <w:trPr>
          <w:trHeight w:val="20"/>
          <w:jc w:val="center"/>
        </w:trPr>
        <w:tc>
          <w:tcPr>
            <w:tcW w:w="4410" w:type="dxa"/>
            <w:tcBorders>
              <w:top w:val="single" w:color="CCCCCC" w:sz="5" w:space="0"/>
              <w:left w:val="single" w:color="000000" w:sz="5" w:space="0"/>
              <w:bottom w:val="single" w:color="000000" w:sz="5" w:space="0"/>
              <w:right w:val="single" w:color="000000" w:sz="5" w:space="0"/>
            </w:tcBorders>
            <w:tcMar>
              <w:left w:w="0" w:type="dxa"/>
              <w:right w:w="0" w:type="dxa"/>
            </w:tcMar>
          </w:tcPr>
          <w:p w:rsidRPr="00A65C85" w:rsidR="00E81CDA" w:rsidRDefault="00E81CDA" w14:paraId="4B271583" w14:textId="77777777">
            <w:pPr>
              <w:spacing w:after="0" w:line="240" w:lineRule="auto"/>
              <w:ind w:left="90" w:right="60"/>
              <w:jc w:val="left"/>
              <w:rPr>
                <w:rFonts w:eastAsia="Arial" w:cs="Arial"/>
                <w:color w:val="000000"/>
              </w:rPr>
            </w:pPr>
            <w:r w:rsidRPr="00A65C85">
              <w:t>Telecommunications Line Installers and Repairers</w:t>
            </w:r>
          </w:p>
        </w:tc>
        <w:tc>
          <w:tcPr>
            <w:tcW w:w="1035" w:type="dxa"/>
            <w:tcBorders>
              <w:top w:val="single" w:color="CCCCCC" w:sz="5" w:space="0"/>
              <w:left w:val="single" w:color="000000" w:sz="5" w:space="0"/>
              <w:bottom w:val="single" w:color="000000" w:sz="5" w:space="0"/>
              <w:right w:val="single" w:color="000000" w:sz="5" w:space="0"/>
            </w:tcBorders>
            <w:tcMar>
              <w:left w:w="0" w:type="dxa"/>
              <w:right w:w="0" w:type="dxa"/>
            </w:tcMar>
          </w:tcPr>
          <w:p w:rsidRPr="00A65C85" w:rsidR="00E81CDA" w:rsidP="006A3EE8" w:rsidRDefault="00E81CDA" w14:paraId="35712DF7" w14:textId="77777777">
            <w:pPr>
              <w:spacing w:after="0" w:line="240" w:lineRule="auto"/>
              <w:ind w:right="135"/>
              <w:jc w:val="left"/>
            </w:pPr>
            <w:r w:rsidRPr="00A65C85">
              <w:t>1,802</w:t>
            </w:r>
          </w:p>
        </w:tc>
        <w:tc>
          <w:tcPr>
            <w:tcW w:w="103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51FD325F" w14:textId="77777777">
            <w:pPr>
              <w:spacing w:after="0" w:line="240" w:lineRule="auto"/>
              <w:ind w:right="135"/>
              <w:jc w:val="left"/>
            </w:pPr>
            <w:r w:rsidRPr="00A65C85">
              <w:t>238</w:t>
            </w:r>
          </w:p>
        </w:tc>
        <w:tc>
          <w:tcPr>
            <w:tcW w:w="1020"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798257F3" w14:textId="77777777">
            <w:pPr>
              <w:spacing w:after="0" w:line="240" w:lineRule="auto"/>
              <w:ind w:right="135"/>
              <w:jc w:val="left"/>
            </w:pPr>
            <w:r w:rsidRPr="00A65C85">
              <w:t>13.21%</w:t>
            </w:r>
          </w:p>
        </w:tc>
        <w:tc>
          <w:tcPr>
            <w:tcW w:w="100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187505A2" w14:textId="77777777">
            <w:pPr>
              <w:spacing w:after="0" w:line="240" w:lineRule="auto"/>
              <w:ind w:right="135"/>
              <w:jc w:val="left"/>
            </w:pPr>
            <w:r w:rsidRPr="00A65C85">
              <w:t>271</w:t>
            </w:r>
          </w:p>
        </w:tc>
        <w:tc>
          <w:tcPr>
            <w:tcW w:w="100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65C85" w:rsidR="00E81CDA" w:rsidP="006A3EE8" w:rsidRDefault="00E81CDA" w14:paraId="5C65D12C" w14:textId="77777777">
            <w:pPr>
              <w:spacing w:after="0" w:line="240" w:lineRule="auto"/>
              <w:ind w:right="135"/>
              <w:jc w:val="left"/>
            </w:pPr>
            <w:r w:rsidRPr="00A65C85">
              <w:t>15.04%</w:t>
            </w:r>
          </w:p>
        </w:tc>
      </w:tr>
    </w:tbl>
    <w:p w:rsidR="00E81CDA" w:rsidP="00E81CDA" w:rsidRDefault="00E81CDA" w14:paraId="79FE794C" w14:textId="77777777">
      <w:pPr>
        <w:rPr>
          <w:i/>
          <w:sz w:val="20"/>
          <w:szCs w:val="20"/>
          <w:highlight w:val="yellow"/>
        </w:rPr>
      </w:pPr>
      <w:r>
        <w:rPr>
          <w:i/>
          <w:sz w:val="20"/>
          <w:szCs w:val="20"/>
        </w:rPr>
        <w:t xml:space="preserve">Source: </w:t>
      </w:r>
      <w:proofErr w:type="spellStart"/>
      <w:r>
        <w:rPr>
          <w:i/>
          <w:sz w:val="20"/>
          <w:szCs w:val="20"/>
        </w:rPr>
        <w:t>Lightcast</w:t>
      </w:r>
      <w:proofErr w:type="spellEnd"/>
      <w:r>
        <w:rPr>
          <w:i/>
          <w:sz w:val="20"/>
          <w:szCs w:val="20"/>
        </w:rPr>
        <w:t xml:space="preserve"> </w:t>
      </w:r>
      <w:proofErr w:type="spellStart"/>
      <w:r>
        <w:rPr>
          <w:i/>
          <w:sz w:val="20"/>
          <w:szCs w:val="20"/>
        </w:rPr>
        <w:t>Datarun</w:t>
      </w:r>
      <w:proofErr w:type="spellEnd"/>
      <w:r>
        <w:rPr>
          <w:i/>
          <w:sz w:val="20"/>
          <w:szCs w:val="20"/>
        </w:rPr>
        <w:t xml:space="preserve"> 2023.3</w:t>
      </w:r>
    </w:p>
    <w:p w:rsidR="00E81CDA" w:rsidP="00E81CDA" w:rsidRDefault="00E81CDA" w14:paraId="3280440F" w14:textId="77777777">
      <w:pPr>
        <w:rPr>
          <w:highlight w:val="yellow"/>
        </w:rPr>
      </w:pPr>
      <w:bookmarkStart w:name="_heading=h.qivhbwrpl7cv" w:colFirst="0" w:colLast="0" w:id="174"/>
      <w:bookmarkEnd w:id="174"/>
      <w:r>
        <w:t xml:space="preserve">Because this chart is based on job classifications regardless of industry (i.e., inclusive of more industries than just those in the broadband deployment sector), there are significantly more employees noted for each job category than in the previous chart, which only included workers employed at broadband deployment-related businesses. For example, a significant number of </w:t>
      </w:r>
      <w:proofErr w:type="spellStart"/>
      <w:r>
        <w:t>lineworkers</w:t>
      </w:r>
      <w:proofErr w:type="spellEnd"/>
      <w:r>
        <w:t xml:space="preserve"> may be working for electric utilities rather than telecommunications companies. However, this chart gives perspective as to the pool of people who could be drawn upon to work—and which categories may be hardest to supply as a percentage of the existing workforce. For example, though </w:t>
      </w:r>
      <w:r>
        <w:rPr>
          <w:i/>
        </w:rPr>
        <w:t>Customer Service Representatives</w:t>
      </w:r>
      <w:r>
        <w:t xml:space="preserve"> and </w:t>
      </w:r>
      <w:r>
        <w:rPr>
          <w:i/>
        </w:rPr>
        <w:t>Electrical Power-Line Installers and Repairers</w:t>
      </w:r>
      <w:r>
        <w:t xml:space="preserve"> will need approximately the same amount of new people (201 and 197, respectively), as a percentage, </w:t>
      </w:r>
      <w:r>
        <w:rPr>
          <w:i/>
        </w:rPr>
        <w:t>Electrical Power-Line Installers and Repairers</w:t>
      </w:r>
      <w:r>
        <w:t xml:space="preserve"> will need to grow by much more, suggesting that it may be significantly harder to fill those roles.</w:t>
      </w:r>
      <w:r>
        <w:rPr>
          <w:highlight w:val="yellow"/>
        </w:rPr>
        <w:t xml:space="preserve"> </w:t>
      </w:r>
    </w:p>
    <w:p w:rsidR="00E81CDA" w:rsidP="00E81CDA" w:rsidRDefault="00E81CDA" w14:paraId="3F310437" w14:textId="550B88D1">
      <w:bookmarkStart w:name="_heading=h.wz3otl5tf2rw" w:colFirst="0" w:colLast="0" w:id="175"/>
      <w:bookmarkEnd w:id="175"/>
      <w:r>
        <w:t xml:space="preserve">Another factor that impacts how difficult it will be to grow the net workforce in a particular category is how concentrated that workforce is relative to a national baseline in a particular area. When there are notable existing higher-density clusters, not only is filling roles easier with the existing workforce, but there is also more possibility for specialization, mentorship, and even recruitment due to an increased visibility in the community. </w:t>
      </w:r>
      <w:bookmarkStart w:name="_heading=h.46qb1rias5q" w:colFirst="0" w:colLast="0" w:id="176"/>
      <w:bookmarkEnd w:id="176"/>
      <w:r>
        <w:t xml:space="preserve">To demonstrate this, a Location Quotient (LQ) analysis is used to show the relative concentration of an occupation compared to national averages, and as such, which roles may be especially hard to fill. An LQ of 1.00 means an occupation is exactly as concentrated in a region as it is in the whole country. An LQ higher than 1.00 means there is a higher concentration of that occupation in the region (and thus more opportunity for specialization, and more resilience when an influx of these occupations </w:t>
      </w:r>
      <w:r w:rsidR="0065023A">
        <w:t>is</w:t>
      </w:r>
      <w:r>
        <w:t xml:space="preserve"> needed, and more of an existing network in the community), while an LQ less than 1.00 represents a lower concentration (and therefore could be considered a greater scarcity issue in times of occupational need). </w:t>
      </w:r>
    </w:p>
    <w:p w:rsidR="00E81CDA" w:rsidP="00E81CDA" w:rsidRDefault="00E81CDA" w14:paraId="567B836D" w14:textId="049AFFFC">
      <w:pPr>
        <w:pStyle w:val="Caption"/>
      </w:pPr>
      <w:bookmarkStart w:name="_heading=h.17dp8vu" w:colFirst="0" w:colLast="0" w:id="177"/>
      <w:bookmarkStart w:name="_Toc150852785" w:id="178"/>
      <w:bookmarkEnd w:id="177"/>
      <w:r>
        <w:t xml:space="preserve">Table </w:t>
      </w:r>
      <w:r w:rsidR="00597437">
        <w:fldChar w:fldCharType="begin"/>
      </w:r>
      <w:r w:rsidR="00597437">
        <w:instrText xml:space="preserve"> SEQ Table \* ARABIC </w:instrText>
      </w:r>
      <w:r w:rsidR="00597437">
        <w:fldChar w:fldCharType="separate"/>
      </w:r>
      <w:r w:rsidR="00EC75FA">
        <w:rPr>
          <w:noProof/>
        </w:rPr>
        <w:t>10</w:t>
      </w:r>
      <w:r w:rsidR="00597437">
        <w:rPr>
          <w:noProof/>
        </w:rPr>
        <w:fldChar w:fldCharType="end"/>
      </w:r>
      <w:r>
        <w:t xml:space="preserve">: </w:t>
      </w:r>
      <w:r w:rsidRPr="003237C7">
        <w:t>Occupations needed for broadband deployment</w:t>
      </w:r>
      <w:bookmarkEnd w:id="178"/>
    </w:p>
    <w:tbl>
      <w:tblPr>
        <w:tblW w:w="951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600" w:firstRow="0" w:lastRow="0" w:firstColumn="0" w:lastColumn="0" w:noHBand="1" w:noVBand="1"/>
      </w:tblPr>
      <w:tblGrid>
        <w:gridCol w:w="5400"/>
        <w:gridCol w:w="2055"/>
        <w:gridCol w:w="2055"/>
      </w:tblGrid>
      <w:tr w:rsidR="00E81CDA" w:rsidTr="00DA4E1D" w14:paraId="1D54B9D1" w14:textId="77777777">
        <w:trPr>
          <w:trHeight w:val="576"/>
          <w:tblHeader/>
          <w:jc w:val="center"/>
        </w:trPr>
        <w:tc>
          <w:tcPr>
            <w:tcW w:w="5400" w:type="dxa"/>
            <w:tcBorders>
              <w:left w:val="single" w:color="000000" w:sz="6" w:space="0"/>
              <w:bottom w:val="single" w:color="000000" w:sz="6" w:space="0"/>
              <w:right w:val="single" w:color="FFFFFF" w:themeColor="background1" w:sz="6" w:space="0"/>
            </w:tcBorders>
            <w:shd w:val="clear" w:color="auto" w:fill="0A2458"/>
            <w:tcMar>
              <w:top w:w="0" w:type="dxa"/>
              <w:left w:w="40" w:type="dxa"/>
              <w:bottom w:w="0" w:type="dxa"/>
              <w:right w:w="40" w:type="dxa"/>
            </w:tcMar>
          </w:tcPr>
          <w:p w:rsidRPr="00410213" w:rsidR="00E81CDA" w:rsidRDefault="00E81CDA" w14:paraId="5B6DD772" w14:textId="77777777">
            <w:pPr>
              <w:keepNext/>
              <w:spacing w:after="0" w:line="240" w:lineRule="auto"/>
              <w:ind w:left="90"/>
              <w:jc w:val="left"/>
            </w:pPr>
            <w:r w:rsidRPr="00410213">
              <w:t>Occupation</w:t>
            </w:r>
          </w:p>
        </w:tc>
        <w:tc>
          <w:tcPr>
            <w:tcW w:w="2055" w:type="dxa"/>
            <w:tcBorders>
              <w:left w:val="single" w:color="FFFFFF" w:themeColor="background1" w:sz="6" w:space="0"/>
              <w:bottom w:val="single" w:color="000000" w:sz="6" w:space="0"/>
              <w:right w:val="single" w:color="FFFFFF" w:themeColor="background1" w:sz="6" w:space="0"/>
            </w:tcBorders>
            <w:shd w:val="clear" w:color="auto" w:fill="0A2458"/>
            <w:tcMar>
              <w:top w:w="0" w:type="dxa"/>
              <w:left w:w="40" w:type="dxa"/>
              <w:bottom w:w="0" w:type="dxa"/>
              <w:right w:w="40" w:type="dxa"/>
            </w:tcMar>
          </w:tcPr>
          <w:p w:rsidRPr="00410213" w:rsidR="00E81CDA" w:rsidP="004B46FE" w:rsidRDefault="00E81CDA" w14:paraId="1FEF0B01" w14:textId="011028AB">
            <w:pPr>
              <w:keepNext/>
              <w:spacing w:after="0" w:line="240" w:lineRule="auto"/>
              <w:jc w:val="left"/>
            </w:pPr>
            <w:r w:rsidRPr="00410213">
              <w:rPr>
                <w:bCs/>
              </w:rPr>
              <w:t xml:space="preserve">% </w:t>
            </w:r>
            <w:r w:rsidR="005B6BC3">
              <w:rPr>
                <w:bCs/>
              </w:rPr>
              <w:t>o</w:t>
            </w:r>
            <w:r w:rsidRPr="00410213">
              <w:rPr>
                <w:bCs/>
              </w:rPr>
              <w:t xml:space="preserve">ccupational </w:t>
            </w:r>
            <w:r w:rsidR="005B6BC3">
              <w:rPr>
                <w:bCs/>
              </w:rPr>
              <w:t>i</w:t>
            </w:r>
            <w:r w:rsidRPr="00410213">
              <w:rPr>
                <w:bCs/>
              </w:rPr>
              <w:t xml:space="preserve">ncrease </w:t>
            </w:r>
            <w:r w:rsidR="005B6BC3">
              <w:rPr>
                <w:bCs/>
              </w:rPr>
              <w:t>r</w:t>
            </w:r>
            <w:r w:rsidRPr="00410213">
              <w:rPr>
                <w:bCs/>
              </w:rPr>
              <w:t>equired</w:t>
            </w:r>
          </w:p>
        </w:tc>
        <w:tc>
          <w:tcPr>
            <w:tcW w:w="2055" w:type="dxa"/>
            <w:tcBorders>
              <w:left w:val="single" w:color="FFFFFF" w:themeColor="background1" w:sz="6" w:space="0"/>
              <w:bottom w:val="single" w:color="000000" w:sz="6" w:space="0"/>
              <w:right w:val="single" w:color="000000" w:sz="6" w:space="0"/>
            </w:tcBorders>
            <w:shd w:val="clear" w:color="auto" w:fill="0A2458"/>
            <w:tcMar>
              <w:top w:w="0" w:type="dxa"/>
              <w:left w:w="40" w:type="dxa"/>
              <w:bottom w:w="0" w:type="dxa"/>
              <w:right w:w="40" w:type="dxa"/>
            </w:tcMar>
          </w:tcPr>
          <w:p w:rsidRPr="00410213" w:rsidR="00E81CDA" w:rsidP="004B46FE" w:rsidRDefault="00E81CDA" w14:paraId="3085EFFE" w14:textId="669F4C08">
            <w:pPr>
              <w:keepNext/>
              <w:spacing w:after="0" w:line="240" w:lineRule="auto"/>
              <w:jc w:val="left"/>
            </w:pPr>
            <w:r w:rsidRPr="00410213">
              <w:t xml:space="preserve">Location </w:t>
            </w:r>
            <w:r w:rsidR="005B6BC3">
              <w:rPr>
                <w:bCs/>
              </w:rPr>
              <w:t>q</w:t>
            </w:r>
            <w:r w:rsidRPr="00410213">
              <w:rPr>
                <w:bCs/>
              </w:rPr>
              <w:t>uotient</w:t>
            </w:r>
          </w:p>
        </w:tc>
      </w:tr>
      <w:tr w:rsidR="00E81CDA" w:rsidTr="003A1587" w14:paraId="71145A23" w14:textId="77777777">
        <w:trPr>
          <w:trHeight w:val="20"/>
          <w:jc w:val="center"/>
        </w:trPr>
        <w:tc>
          <w:tcPr>
            <w:tcW w:w="5400" w:type="dxa"/>
            <w:tcBorders>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566958E5" w14:textId="77777777">
            <w:pPr>
              <w:spacing w:after="0" w:line="240" w:lineRule="auto"/>
              <w:ind w:left="86" w:right="86"/>
              <w:contextualSpacing/>
              <w:jc w:val="left"/>
              <w:rPr>
                <w:color w:val="000000"/>
              </w:rPr>
            </w:pPr>
            <w:r w:rsidRPr="00410213">
              <w:t>Telecommunications Line Installers and Repairers</w:t>
            </w:r>
          </w:p>
        </w:tc>
        <w:tc>
          <w:tcPr>
            <w:tcW w:w="2055" w:type="dxa"/>
            <w:tcBorders>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22843E75" w14:textId="77777777">
            <w:pPr>
              <w:spacing w:after="0" w:line="240" w:lineRule="auto"/>
              <w:ind w:left="86" w:right="86"/>
              <w:contextualSpacing/>
              <w:jc w:val="left"/>
              <w:rPr>
                <w:color w:val="000000"/>
              </w:rPr>
            </w:pPr>
            <w:r w:rsidRPr="00410213">
              <w:t>15.04%</w:t>
            </w:r>
          </w:p>
        </w:tc>
        <w:tc>
          <w:tcPr>
            <w:tcW w:w="2055" w:type="dxa"/>
            <w:tcBorders>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465CCC3F" w14:textId="77777777">
            <w:pPr>
              <w:spacing w:after="0" w:line="240" w:lineRule="auto"/>
              <w:ind w:left="86" w:right="86"/>
              <w:contextualSpacing/>
              <w:jc w:val="left"/>
              <w:rPr>
                <w:color w:val="000000"/>
              </w:rPr>
            </w:pPr>
            <w:r w:rsidRPr="00410213">
              <w:t>1.23</w:t>
            </w:r>
          </w:p>
        </w:tc>
      </w:tr>
      <w:tr w:rsidR="00E81CDA" w:rsidTr="003A1587" w14:paraId="4E908057" w14:textId="77777777">
        <w:trPr>
          <w:trHeight w:val="20"/>
          <w:jc w:val="center"/>
        </w:trPr>
        <w:tc>
          <w:tcPr>
            <w:tcW w:w="5400" w:type="dxa"/>
            <w:tcBorders>
              <w:top w:val="single" w:color="000000" w:sz="5" w:space="0"/>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34D2D4F8" w14:textId="77777777">
            <w:pPr>
              <w:spacing w:after="0" w:line="240" w:lineRule="auto"/>
              <w:ind w:left="86" w:right="86"/>
              <w:contextualSpacing/>
              <w:jc w:val="left"/>
              <w:rPr>
                <w:color w:val="000000"/>
              </w:rPr>
            </w:pPr>
            <w:r w:rsidRPr="00410213">
              <w:t>Telecommunications Equipment Installers and Repairers, Except Line Installers</w:t>
            </w:r>
          </w:p>
        </w:tc>
        <w:tc>
          <w:tcPr>
            <w:tcW w:w="2055" w:type="dxa"/>
            <w:tcBorders>
              <w:top w:val="single" w:color="000000" w:sz="5" w:space="0"/>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1741096F" w14:textId="77777777">
            <w:pPr>
              <w:spacing w:after="0" w:line="240" w:lineRule="auto"/>
              <w:ind w:left="86" w:right="86"/>
              <w:contextualSpacing/>
              <w:jc w:val="left"/>
              <w:rPr>
                <w:color w:val="000000"/>
              </w:rPr>
            </w:pPr>
            <w:r w:rsidRPr="00410213">
              <w:t>8.35%</w:t>
            </w:r>
          </w:p>
        </w:tc>
        <w:tc>
          <w:tcPr>
            <w:tcW w:w="2055" w:type="dxa"/>
            <w:tcBorders>
              <w:top w:val="single" w:color="000000" w:sz="5" w:space="0"/>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3513AAE9" w14:textId="77777777">
            <w:pPr>
              <w:spacing w:after="0" w:line="240" w:lineRule="auto"/>
              <w:ind w:left="86" w:right="86"/>
              <w:contextualSpacing/>
              <w:jc w:val="left"/>
              <w:rPr>
                <w:color w:val="000000"/>
              </w:rPr>
            </w:pPr>
            <w:r w:rsidRPr="00410213">
              <w:t>1.33</w:t>
            </w:r>
          </w:p>
        </w:tc>
      </w:tr>
      <w:tr w:rsidR="00E81CDA" w:rsidTr="003A1587" w14:paraId="786901AC" w14:textId="77777777">
        <w:trPr>
          <w:trHeight w:val="20"/>
          <w:jc w:val="center"/>
        </w:trPr>
        <w:tc>
          <w:tcPr>
            <w:tcW w:w="5400" w:type="dxa"/>
            <w:tcBorders>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18985F53" w14:textId="77777777">
            <w:pPr>
              <w:spacing w:after="0" w:line="240" w:lineRule="auto"/>
              <w:ind w:left="86" w:right="86"/>
              <w:contextualSpacing/>
              <w:jc w:val="left"/>
              <w:rPr>
                <w:color w:val="000000"/>
              </w:rPr>
            </w:pPr>
            <w:r w:rsidRPr="00410213">
              <w:t>Electrical Power-Line Installers and Repairers</w:t>
            </w:r>
          </w:p>
        </w:tc>
        <w:tc>
          <w:tcPr>
            <w:tcW w:w="2055" w:type="dxa"/>
            <w:tcBorders>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288DC533" w14:textId="77777777">
            <w:pPr>
              <w:spacing w:after="0" w:line="240" w:lineRule="auto"/>
              <w:ind w:left="86" w:right="86"/>
              <w:contextualSpacing/>
              <w:jc w:val="left"/>
              <w:rPr>
                <w:color w:val="000000"/>
              </w:rPr>
            </w:pPr>
            <w:r w:rsidRPr="00410213">
              <w:t>6.18%</w:t>
            </w:r>
          </w:p>
        </w:tc>
        <w:tc>
          <w:tcPr>
            <w:tcW w:w="2055" w:type="dxa"/>
            <w:tcBorders>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61D30B65" w14:textId="77777777">
            <w:pPr>
              <w:spacing w:after="0" w:line="240" w:lineRule="auto"/>
              <w:ind w:left="86" w:right="86"/>
              <w:contextualSpacing/>
              <w:jc w:val="left"/>
              <w:rPr>
                <w:color w:val="000000"/>
              </w:rPr>
            </w:pPr>
            <w:r w:rsidRPr="00410213">
              <w:t>1.93</w:t>
            </w:r>
          </w:p>
        </w:tc>
      </w:tr>
      <w:tr w:rsidR="00E81CDA" w:rsidTr="003A1587" w14:paraId="3FC53CDC" w14:textId="77777777">
        <w:trPr>
          <w:trHeight w:val="20"/>
          <w:jc w:val="center"/>
        </w:trPr>
        <w:tc>
          <w:tcPr>
            <w:tcW w:w="5400" w:type="dxa"/>
            <w:tcBorders>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6F721779" w14:textId="77777777">
            <w:pPr>
              <w:spacing w:after="0" w:line="240" w:lineRule="auto"/>
              <w:ind w:left="86" w:right="86"/>
              <w:contextualSpacing/>
              <w:jc w:val="left"/>
              <w:rPr>
                <w:color w:val="000000"/>
              </w:rPr>
            </w:pPr>
            <w:r w:rsidRPr="00410213">
              <w:t>Construction Laborers</w:t>
            </w:r>
          </w:p>
        </w:tc>
        <w:tc>
          <w:tcPr>
            <w:tcW w:w="2055" w:type="dxa"/>
            <w:tcBorders>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06FB5DB1" w14:textId="77777777">
            <w:pPr>
              <w:spacing w:after="0" w:line="240" w:lineRule="auto"/>
              <w:ind w:left="86" w:right="86"/>
              <w:contextualSpacing/>
              <w:jc w:val="left"/>
              <w:rPr>
                <w:color w:val="000000"/>
              </w:rPr>
            </w:pPr>
            <w:r w:rsidRPr="00410213">
              <w:t>3.21%</w:t>
            </w:r>
          </w:p>
        </w:tc>
        <w:tc>
          <w:tcPr>
            <w:tcW w:w="2055" w:type="dxa"/>
            <w:tcBorders>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744615F5" w14:textId="77777777">
            <w:pPr>
              <w:spacing w:after="0" w:line="240" w:lineRule="auto"/>
              <w:ind w:left="86" w:right="86"/>
              <w:contextualSpacing/>
              <w:jc w:val="left"/>
              <w:rPr>
                <w:color w:val="000000"/>
              </w:rPr>
            </w:pPr>
            <w:r w:rsidRPr="00410213">
              <w:t>1.18</w:t>
            </w:r>
          </w:p>
        </w:tc>
      </w:tr>
      <w:tr w:rsidR="00E81CDA" w:rsidTr="003A1587" w14:paraId="435433B1" w14:textId="77777777">
        <w:trPr>
          <w:trHeight w:val="20"/>
          <w:jc w:val="center"/>
        </w:trPr>
        <w:tc>
          <w:tcPr>
            <w:tcW w:w="5400" w:type="dxa"/>
            <w:tcBorders>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0CBC8A48" w14:textId="77777777">
            <w:pPr>
              <w:spacing w:after="0" w:line="240" w:lineRule="auto"/>
              <w:ind w:left="86" w:right="86"/>
              <w:contextualSpacing/>
              <w:jc w:val="left"/>
              <w:rPr>
                <w:color w:val="000000"/>
              </w:rPr>
            </w:pPr>
            <w:r w:rsidRPr="00410213">
              <w:t>Project Management Specialists</w:t>
            </w:r>
          </w:p>
        </w:tc>
        <w:tc>
          <w:tcPr>
            <w:tcW w:w="2055" w:type="dxa"/>
            <w:tcBorders>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3811B523" w14:textId="77777777">
            <w:pPr>
              <w:spacing w:after="0" w:line="240" w:lineRule="auto"/>
              <w:ind w:left="86" w:right="86"/>
              <w:contextualSpacing/>
              <w:jc w:val="left"/>
              <w:rPr>
                <w:color w:val="000000"/>
              </w:rPr>
            </w:pPr>
            <w:r w:rsidRPr="00410213">
              <w:t>1.84%</w:t>
            </w:r>
          </w:p>
        </w:tc>
        <w:tc>
          <w:tcPr>
            <w:tcW w:w="2055" w:type="dxa"/>
            <w:tcBorders>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1A5ED669" w14:textId="77777777">
            <w:pPr>
              <w:spacing w:after="0" w:line="240" w:lineRule="auto"/>
              <w:ind w:left="86" w:right="86"/>
              <w:contextualSpacing/>
              <w:jc w:val="left"/>
              <w:rPr>
                <w:color w:val="000000"/>
              </w:rPr>
            </w:pPr>
            <w:r w:rsidRPr="00410213">
              <w:t>0.28</w:t>
            </w:r>
          </w:p>
        </w:tc>
      </w:tr>
      <w:tr w:rsidR="00E81CDA" w:rsidTr="003A1587" w14:paraId="7AACAB64" w14:textId="77777777">
        <w:trPr>
          <w:trHeight w:val="20"/>
          <w:jc w:val="center"/>
        </w:trPr>
        <w:tc>
          <w:tcPr>
            <w:tcW w:w="5400" w:type="dxa"/>
            <w:tcBorders>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104FD3F6" w14:textId="77777777">
            <w:pPr>
              <w:spacing w:after="0" w:line="240" w:lineRule="auto"/>
              <w:ind w:left="86" w:right="86"/>
              <w:contextualSpacing/>
              <w:jc w:val="left"/>
              <w:rPr>
                <w:color w:val="000000"/>
              </w:rPr>
            </w:pPr>
            <w:r w:rsidRPr="00410213">
              <w:t>Electronics Engineers, Except Computer</w:t>
            </w:r>
          </w:p>
        </w:tc>
        <w:tc>
          <w:tcPr>
            <w:tcW w:w="2055" w:type="dxa"/>
            <w:tcBorders>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618342DB" w14:textId="77777777">
            <w:pPr>
              <w:spacing w:after="0" w:line="240" w:lineRule="auto"/>
              <w:ind w:left="86" w:right="86"/>
              <w:contextualSpacing/>
              <w:jc w:val="left"/>
              <w:rPr>
                <w:color w:val="000000"/>
              </w:rPr>
            </w:pPr>
            <w:r w:rsidRPr="00410213">
              <w:t>1.68%</w:t>
            </w:r>
          </w:p>
        </w:tc>
        <w:tc>
          <w:tcPr>
            <w:tcW w:w="2055" w:type="dxa"/>
            <w:tcBorders>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03A8B822" w14:textId="77777777">
            <w:pPr>
              <w:spacing w:after="0" w:line="240" w:lineRule="auto"/>
              <w:ind w:left="86" w:right="86"/>
              <w:contextualSpacing/>
              <w:jc w:val="left"/>
              <w:rPr>
                <w:color w:val="000000"/>
              </w:rPr>
            </w:pPr>
            <w:r w:rsidRPr="00410213">
              <w:t>1.28</w:t>
            </w:r>
          </w:p>
        </w:tc>
      </w:tr>
      <w:tr w:rsidR="00E81CDA" w:rsidTr="003A1587" w14:paraId="0D6BBD17" w14:textId="77777777">
        <w:trPr>
          <w:trHeight w:val="20"/>
          <w:jc w:val="center"/>
        </w:trPr>
        <w:tc>
          <w:tcPr>
            <w:tcW w:w="5400" w:type="dxa"/>
            <w:tcBorders>
              <w:top w:val="single" w:color="000000" w:sz="5" w:space="0"/>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4D3820A0" w14:textId="77777777">
            <w:pPr>
              <w:spacing w:after="0" w:line="240" w:lineRule="auto"/>
              <w:ind w:left="86" w:right="86"/>
              <w:contextualSpacing/>
              <w:jc w:val="left"/>
              <w:rPr>
                <w:color w:val="000000"/>
              </w:rPr>
            </w:pPr>
            <w:r w:rsidRPr="00410213">
              <w:t>First-Line Supervisors of Mechanics, Installers, and Repairers</w:t>
            </w:r>
          </w:p>
        </w:tc>
        <w:tc>
          <w:tcPr>
            <w:tcW w:w="2055" w:type="dxa"/>
            <w:tcBorders>
              <w:top w:val="single" w:color="000000" w:sz="5" w:space="0"/>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7D48795B" w14:textId="77777777">
            <w:pPr>
              <w:spacing w:after="0" w:line="240" w:lineRule="auto"/>
              <w:ind w:left="86" w:right="86"/>
              <w:contextualSpacing/>
              <w:jc w:val="left"/>
              <w:rPr>
                <w:color w:val="000000"/>
              </w:rPr>
            </w:pPr>
            <w:r w:rsidRPr="00410213">
              <w:t>1.55%</w:t>
            </w:r>
          </w:p>
        </w:tc>
        <w:tc>
          <w:tcPr>
            <w:tcW w:w="2055" w:type="dxa"/>
            <w:tcBorders>
              <w:top w:val="single" w:color="000000" w:sz="5" w:space="0"/>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60649317" w14:textId="77777777">
            <w:pPr>
              <w:spacing w:after="0" w:line="240" w:lineRule="auto"/>
              <w:ind w:left="86" w:right="86"/>
              <w:contextualSpacing/>
              <w:jc w:val="left"/>
              <w:rPr>
                <w:color w:val="000000"/>
              </w:rPr>
            </w:pPr>
            <w:r w:rsidRPr="00410213">
              <w:t>1.53</w:t>
            </w:r>
          </w:p>
        </w:tc>
      </w:tr>
      <w:tr w:rsidR="00E81CDA" w:rsidTr="003A1587" w14:paraId="048CA52D" w14:textId="77777777">
        <w:trPr>
          <w:trHeight w:val="20"/>
          <w:jc w:val="center"/>
        </w:trPr>
        <w:tc>
          <w:tcPr>
            <w:tcW w:w="5400" w:type="dxa"/>
            <w:tcBorders>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7941C5C3" w14:textId="77777777">
            <w:pPr>
              <w:spacing w:after="0" w:line="240" w:lineRule="auto"/>
              <w:ind w:left="86" w:right="86"/>
              <w:contextualSpacing/>
              <w:jc w:val="left"/>
              <w:rPr>
                <w:color w:val="000000"/>
              </w:rPr>
            </w:pPr>
            <w:r w:rsidRPr="00410213">
              <w:t>Sales Representatives of Services, Except Advertising, Insurance, Financial Services, and Travel</w:t>
            </w:r>
          </w:p>
        </w:tc>
        <w:tc>
          <w:tcPr>
            <w:tcW w:w="2055" w:type="dxa"/>
            <w:tcBorders>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6B4CC2B2" w14:textId="77777777">
            <w:pPr>
              <w:spacing w:after="0" w:line="240" w:lineRule="auto"/>
              <w:ind w:left="86" w:right="86"/>
              <w:contextualSpacing/>
              <w:jc w:val="left"/>
              <w:rPr>
                <w:color w:val="000000"/>
              </w:rPr>
            </w:pPr>
            <w:r w:rsidRPr="00410213">
              <w:t>1.53%</w:t>
            </w:r>
          </w:p>
        </w:tc>
        <w:tc>
          <w:tcPr>
            <w:tcW w:w="2055" w:type="dxa"/>
            <w:tcBorders>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7AD6266A" w14:textId="77777777">
            <w:pPr>
              <w:spacing w:after="0" w:line="240" w:lineRule="auto"/>
              <w:ind w:left="86" w:right="86"/>
              <w:contextualSpacing/>
              <w:jc w:val="left"/>
              <w:rPr>
                <w:color w:val="000000"/>
              </w:rPr>
            </w:pPr>
            <w:r w:rsidRPr="00410213">
              <w:t>0.71</w:t>
            </w:r>
          </w:p>
        </w:tc>
      </w:tr>
      <w:tr w:rsidR="00E81CDA" w:rsidTr="003A1587" w14:paraId="7A948EA8" w14:textId="77777777">
        <w:trPr>
          <w:trHeight w:val="20"/>
          <w:jc w:val="center"/>
        </w:trPr>
        <w:tc>
          <w:tcPr>
            <w:tcW w:w="5400" w:type="dxa"/>
            <w:tcBorders>
              <w:top w:val="single" w:color="000000" w:sz="5" w:space="0"/>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22A95BC8" w14:textId="77777777">
            <w:pPr>
              <w:spacing w:after="0" w:line="240" w:lineRule="auto"/>
              <w:ind w:left="86" w:right="86"/>
              <w:contextualSpacing/>
              <w:jc w:val="left"/>
              <w:rPr>
                <w:color w:val="000000"/>
              </w:rPr>
            </w:pPr>
            <w:r w:rsidRPr="00410213">
              <w:t>Customer Service Representatives</w:t>
            </w:r>
          </w:p>
        </w:tc>
        <w:tc>
          <w:tcPr>
            <w:tcW w:w="2055" w:type="dxa"/>
            <w:tcBorders>
              <w:top w:val="single" w:color="000000" w:sz="5" w:space="0"/>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5632D67B" w14:textId="77777777">
            <w:pPr>
              <w:spacing w:after="0" w:line="240" w:lineRule="auto"/>
              <w:ind w:left="86" w:right="86"/>
              <w:contextualSpacing/>
              <w:jc w:val="left"/>
              <w:rPr>
                <w:color w:val="000000"/>
              </w:rPr>
            </w:pPr>
            <w:r w:rsidRPr="00410213">
              <w:t>0.59%</w:t>
            </w:r>
          </w:p>
        </w:tc>
        <w:tc>
          <w:tcPr>
            <w:tcW w:w="2055" w:type="dxa"/>
            <w:tcBorders>
              <w:top w:val="single" w:color="000000" w:sz="5" w:space="0"/>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775B09D1" w14:textId="77777777">
            <w:pPr>
              <w:spacing w:after="0" w:line="240" w:lineRule="auto"/>
              <w:ind w:left="86" w:right="86"/>
              <w:contextualSpacing/>
              <w:jc w:val="left"/>
              <w:rPr>
                <w:color w:val="000000"/>
              </w:rPr>
            </w:pPr>
            <w:r w:rsidRPr="00410213">
              <w:t>0.88</w:t>
            </w:r>
          </w:p>
        </w:tc>
      </w:tr>
      <w:tr w:rsidR="00E81CDA" w:rsidTr="003A1587" w14:paraId="10F1F13E" w14:textId="77777777">
        <w:trPr>
          <w:trHeight w:val="20"/>
          <w:jc w:val="center"/>
        </w:trPr>
        <w:tc>
          <w:tcPr>
            <w:tcW w:w="5400" w:type="dxa"/>
            <w:tcBorders>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3031CD6D" w14:textId="77777777">
            <w:pPr>
              <w:spacing w:after="0" w:line="240" w:lineRule="auto"/>
              <w:ind w:left="86" w:right="86"/>
              <w:contextualSpacing/>
              <w:jc w:val="left"/>
              <w:rPr>
                <w:color w:val="000000"/>
              </w:rPr>
            </w:pPr>
            <w:r w:rsidRPr="00410213">
              <w:t>Software Quality Assurance Analysts and Testers</w:t>
            </w:r>
          </w:p>
        </w:tc>
        <w:tc>
          <w:tcPr>
            <w:tcW w:w="2055" w:type="dxa"/>
            <w:tcBorders>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01A294F6" w14:textId="77777777">
            <w:pPr>
              <w:spacing w:after="0" w:line="240" w:lineRule="auto"/>
              <w:ind w:left="86" w:right="86"/>
              <w:contextualSpacing/>
              <w:jc w:val="left"/>
              <w:rPr>
                <w:color w:val="000000"/>
              </w:rPr>
            </w:pPr>
            <w:r w:rsidRPr="00410213">
              <w:t>0.58%</w:t>
            </w:r>
          </w:p>
        </w:tc>
        <w:tc>
          <w:tcPr>
            <w:tcW w:w="2055" w:type="dxa"/>
            <w:tcBorders>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553943FC" w14:textId="77777777">
            <w:pPr>
              <w:spacing w:after="0" w:line="240" w:lineRule="auto"/>
              <w:ind w:left="86" w:right="86"/>
              <w:contextualSpacing/>
              <w:jc w:val="left"/>
              <w:rPr>
                <w:color w:val="000000"/>
              </w:rPr>
            </w:pPr>
            <w:r w:rsidRPr="00410213">
              <w:t>0.57</w:t>
            </w:r>
          </w:p>
        </w:tc>
      </w:tr>
      <w:tr w:rsidR="00E81CDA" w:rsidTr="003A1587" w14:paraId="37494220" w14:textId="77777777">
        <w:trPr>
          <w:trHeight w:val="20"/>
          <w:jc w:val="center"/>
        </w:trPr>
        <w:tc>
          <w:tcPr>
            <w:tcW w:w="5400" w:type="dxa"/>
            <w:tcBorders>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2CC09C89" w14:textId="77777777">
            <w:pPr>
              <w:spacing w:after="0" w:line="240" w:lineRule="auto"/>
              <w:ind w:left="86" w:right="86"/>
              <w:contextualSpacing/>
              <w:jc w:val="left"/>
              <w:rPr>
                <w:color w:val="000000"/>
              </w:rPr>
            </w:pPr>
            <w:r w:rsidRPr="00410213">
              <w:t>Software Developers</w:t>
            </w:r>
          </w:p>
        </w:tc>
        <w:tc>
          <w:tcPr>
            <w:tcW w:w="2055" w:type="dxa"/>
            <w:tcBorders>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7441F268" w14:textId="77777777">
            <w:pPr>
              <w:spacing w:after="0" w:line="240" w:lineRule="auto"/>
              <w:ind w:left="86" w:right="86"/>
              <w:contextualSpacing/>
              <w:jc w:val="left"/>
              <w:rPr>
                <w:color w:val="000000"/>
              </w:rPr>
            </w:pPr>
            <w:r w:rsidRPr="00410213">
              <w:t>0.57%</w:t>
            </w:r>
          </w:p>
        </w:tc>
        <w:tc>
          <w:tcPr>
            <w:tcW w:w="2055" w:type="dxa"/>
            <w:tcBorders>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20FD7A4B" w14:textId="77777777">
            <w:pPr>
              <w:spacing w:after="0" w:line="240" w:lineRule="auto"/>
              <w:ind w:left="86" w:right="86"/>
              <w:contextualSpacing/>
              <w:jc w:val="left"/>
              <w:rPr>
                <w:color w:val="000000"/>
              </w:rPr>
            </w:pPr>
            <w:r w:rsidRPr="00410213">
              <w:t>0.75</w:t>
            </w:r>
          </w:p>
        </w:tc>
      </w:tr>
      <w:tr w:rsidR="00E81CDA" w:rsidTr="003A1587" w14:paraId="13957BC9" w14:textId="77777777">
        <w:trPr>
          <w:trHeight w:val="20"/>
          <w:jc w:val="center"/>
        </w:trPr>
        <w:tc>
          <w:tcPr>
            <w:tcW w:w="5400" w:type="dxa"/>
            <w:tcBorders>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107A85EB" w14:textId="77777777">
            <w:pPr>
              <w:spacing w:after="0" w:line="240" w:lineRule="auto"/>
              <w:ind w:left="86" w:right="86"/>
              <w:contextualSpacing/>
              <w:jc w:val="left"/>
              <w:rPr>
                <w:color w:val="000000"/>
              </w:rPr>
            </w:pPr>
            <w:r w:rsidRPr="00410213">
              <w:t>Business Operations Specialists, All Other</w:t>
            </w:r>
          </w:p>
        </w:tc>
        <w:tc>
          <w:tcPr>
            <w:tcW w:w="2055" w:type="dxa"/>
            <w:tcBorders>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47703601" w14:textId="77777777">
            <w:pPr>
              <w:spacing w:after="0" w:line="240" w:lineRule="auto"/>
              <w:ind w:left="86" w:right="86"/>
              <w:contextualSpacing/>
              <w:jc w:val="left"/>
              <w:rPr>
                <w:color w:val="000000"/>
              </w:rPr>
            </w:pPr>
            <w:r w:rsidRPr="00410213">
              <w:t>0.54%</w:t>
            </w:r>
          </w:p>
        </w:tc>
        <w:tc>
          <w:tcPr>
            <w:tcW w:w="2055" w:type="dxa"/>
            <w:tcBorders>
              <w:left w:val="single" w:color="000000" w:sz="5" w:space="0"/>
              <w:bottom w:val="single" w:color="000000" w:sz="5" w:space="0"/>
              <w:right w:val="single" w:color="000000" w:sz="5" w:space="0"/>
            </w:tcBorders>
            <w:tcMar>
              <w:left w:w="0" w:type="dxa"/>
              <w:right w:w="0" w:type="dxa"/>
            </w:tcMar>
          </w:tcPr>
          <w:p w:rsidRPr="00410213" w:rsidR="00E81CDA" w:rsidP="003A1587" w:rsidRDefault="00E81CDA" w14:paraId="36D48F98" w14:textId="77777777">
            <w:pPr>
              <w:spacing w:after="0" w:line="240" w:lineRule="auto"/>
              <w:ind w:left="86" w:right="86"/>
              <w:contextualSpacing/>
              <w:jc w:val="left"/>
              <w:rPr>
                <w:color w:val="000000"/>
              </w:rPr>
            </w:pPr>
            <w:r w:rsidRPr="00410213">
              <w:t>0.47</w:t>
            </w:r>
          </w:p>
        </w:tc>
      </w:tr>
    </w:tbl>
    <w:p w:rsidR="00E81CDA" w:rsidP="00E81CDA" w:rsidRDefault="00E81CDA" w14:paraId="68BA7F05" w14:textId="77777777">
      <w:bookmarkStart w:name="_heading=h.m54k4c6zub6z" w:colFirst="0" w:colLast="0" w:id="179"/>
      <w:bookmarkEnd w:id="179"/>
      <w:r>
        <w:rPr>
          <w:i/>
          <w:sz w:val="20"/>
          <w:szCs w:val="20"/>
        </w:rPr>
        <w:t xml:space="preserve">Source: </w:t>
      </w:r>
      <w:proofErr w:type="spellStart"/>
      <w:r>
        <w:rPr>
          <w:i/>
          <w:sz w:val="20"/>
          <w:szCs w:val="20"/>
        </w:rPr>
        <w:t>Lightcast</w:t>
      </w:r>
      <w:proofErr w:type="spellEnd"/>
      <w:r>
        <w:rPr>
          <w:i/>
          <w:sz w:val="20"/>
          <w:szCs w:val="20"/>
        </w:rPr>
        <w:t xml:space="preserve"> </w:t>
      </w:r>
      <w:proofErr w:type="spellStart"/>
      <w:r>
        <w:rPr>
          <w:i/>
          <w:sz w:val="20"/>
          <w:szCs w:val="20"/>
        </w:rPr>
        <w:t>Datarun</w:t>
      </w:r>
      <w:proofErr w:type="spellEnd"/>
      <w:r>
        <w:rPr>
          <w:i/>
          <w:sz w:val="20"/>
          <w:szCs w:val="20"/>
        </w:rPr>
        <w:t xml:space="preserve"> 2023.3</w:t>
      </w:r>
    </w:p>
    <w:p w:rsidR="00E81CDA" w:rsidP="00E81CDA" w:rsidRDefault="00E81CDA" w14:paraId="55A7DB13" w14:textId="0CDF4755">
      <w:r>
        <w:t xml:space="preserve">Many of these impacted occupations—especially the occupations required to work in the field during construction projects—are at or above national levels of concentration, which is a positive sign for the state’s ability to continue to grow the sector. However, there are several roles, </w:t>
      </w:r>
      <w:r w:rsidR="004E3BAF">
        <w:t xml:space="preserve">including </w:t>
      </w:r>
      <w:r w:rsidR="00C3205F">
        <w:t xml:space="preserve">management specialists and </w:t>
      </w:r>
      <w:r w:rsidR="006C1787">
        <w:t xml:space="preserve">customer service </w:t>
      </w:r>
      <w:r w:rsidR="00CC4E13">
        <w:t>jobs</w:t>
      </w:r>
      <w:r>
        <w:t xml:space="preserve">, that are well below national levels of concentration, indicating those roles may be especially hard to fill as more broadband deployment demand is generated across the country. Of particular concern are </w:t>
      </w:r>
      <w:r>
        <w:rPr>
          <w:i/>
        </w:rPr>
        <w:t xml:space="preserve">Project Management Specialists </w:t>
      </w:r>
      <w:r>
        <w:t xml:space="preserve">(LQ of 0.28) and </w:t>
      </w:r>
      <w:r>
        <w:rPr>
          <w:i/>
        </w:rPr>
        <w:t xml:space="preserve">Sales Representatives of Services </w:t>
      </w:r>
      <w:r>
        <w:t>(LQ of 0.71)</w:t>
      </w:r>
      <w:r w:rsidR="00594A8D">
        <w:t>, signaling a need for increased workforce development for those roles</w:t>
      </w:r>
      <w:r w:rsidDel="00594A8D">
        <w:t>.</w:t>
      </w:r>
      <w:r>
        <w:t xml:space="preserve"> </w:t>
      </w:r>
    </w:p>
    <w:p w:rsidR="00E81CDA" w:rsidP="006F78D2" w:rsidRDefault="00E81CDA" w14:paraId="238C5633" w14:textId="144AD1C5">
      <w:pPr>
        <w:pStyle w:val="Heading3"/>
        <w:numPr>
          <w:ilvl w:val="2"/>
          <w:numId w:val="23"/>
        </w:numPr>
      </w:pPr>
      <w:bookmarkStart w:name="_heading=h.qtsfp1hwqmr7" w:colFirst="0" w:colLast="0" w:id="180"/>
      <w:bookmarkStart w:name="_Toc150852659" w:id="181"/>
      <w:bookmarkEnd w:id="180"/>
      <w:r>
        <w:t>Characteristics of key workforce categories</w:t>
      </w:r>
      <w:bookmarkEnd w:id="181"/>
      <w:r>
        <w:t xml:space="preserve"> </w:t>
      </w:r>
    </w:p>
    <w:p w:rsidR="00E81CDA" w:rsidP="00E81CDA" w:rsidRDefault="00E81CDA" w14:paraId="59D3A463" w14:textId="36832426">
      <w:r>
        <w:t>Understanding how to create a robust workforce across key categories requires understanding important characteristics of those job categories, such as the average earnings, change in number of employees over the past few years, and importantly, the turnover rate. High turnover rates, which could be represented by people switching jobs or retir</w:t>
      </w:r>
      <w:r w:rsidR="00FA1CA5">
        <w:t>ements</w:t>
      </w:r>
      <w:r>
        <w:t xml:space="preserve">—both of which are trends in parts of the broadband deployment sector—impact the efficiency of organizations by requiring more frequent hiring and </w:t>
      </w:r>
      <w:proofErr w:type="gramStart"/>
      <w:r>
        <w:t>training</w:t>
      </w:r>
      <w:r w:rsidR="009D19D4">
        <w:t>,</w:t>
      </w:r>
      <w:r>
        <w:t xml:space="preserve"> and</w:t>
      </w:r>
      <w:proofErr w:type="gramEnd"/>
      <w:r>
        <w:t xml:space="preserve"> losing employees with context and experience. The table below outlines important characteristics of the occupations identified as in need of critical workforce attention.</w:t>
      </w:r>
    </w:p>
    <w:p w:rsidR="00E81CDA" w:rsidP="00E81CDA" w:rsidRDefault="00E81CDA" w14:paraId="27565D35" w14:textId="7B526774">
      <w:pPr>
        <w:pStyle w:val="Caption"/>
      </w:pPr>
      <w:bookmarkStart w:name="_heading=h.3rdcrjn" w:colFirst="0" w:colLast="0" w:id="182"/>
      <w:bookmarkStart w:name="_Toc150852786" w:id="183"/>
      <w:bookmarkEnd w:id="182"/>
      <w:r>
        <w:t xml:space="preserve">Table </w:t>
      </w:r>
      <w:r w:rsidR="00597437">
        <w:fldChar w:fldCharType="begin"/>
      </w:r>
      <w:r w:rsidR="00597437">
        <w:instrText xml:space="preserve"> SEQ Table \* ARABIC </w:instrText>
      </w:r>
      <w:r w:rsidR="00597437">
        <w:fldChar w:fldCharType="separate"/>
      </w:r>
      <w:r w:rsidR="00444AF1">
        <w:rPr>
          <w:noProof/>
        </w:rPr>
        <w:t>11</w:t>
      </w:r>
      <w:r w:rsidR="00597437">
        <w:rPr>
          <w:noProof/>
        </w:rPr>
        <w:fldChar w:fldCharType="end"/>
      </w:r>
      <w:r>
        <w:t xml:space="preserve">: </w:t>
      </w:r>
      <w:r w:rsidRPr="001747FB">
        <w:t>Characteristics of key occupations impacted by broadband investment</w:t>
      </w:r>
      <w:bookmarkEnd w:id="183"/>
    </w:p>
    <w:tbl>
      <w:tblPr>
        <w:tblW w:w="955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600" w:firstRow="0" w:lastRow="0" w:firstColumn="0" w:lastColumn="0" w:noHBand="1" w:noVBand="1"/>
      </w:tblPr>
      <w:tblGrid>
        <w:gridCol w:w="5055"/>
        <w:gridCol w:w="1125"/>
        <w:gridCol w:w="1125"/>
        <w:gridCol w:w="1125"/>
        <w:gridCol w:w="1125"/>
      </w:tblGrid>
      <w:tr w:rsidR="00E81CDA" w:rsidTr="00DA4E1D" w14:paraId="78D77BCC" w14:textId="77777777">
        <w:trPr>
          <w:trHeight w:val="792"/>
          <w:jc w:val="center"/>
        </w:trPr>
        <w:tc>
          <w:tcPr>
            <w:tcW w:w="5055" w:type="dxa"/>
            <w:tcBorders>
              <w:left w:val="single" w:color="000000" w:sz="6" w:space="0"/>
              <w:bottom w:val="single" w:color="000000" w:sz="6" w:space="0"/>
              <w:right w:val="single" w:color="FFFFFF" w:themeColor="background1" w:sz="6" w:space="0"/>
            </w:tcBorders>
            <w:shd w:val="clear" w:color="auto" w:fill="0A2458"/>
            <w:tcMar>
              <w:top w:w="0" w:type="dxa"/>
              <w:left w:w="40" w:type="dxa"/>
              <w:bottom w:w="0" w:type="dxa"/>
              <w:right w:w="40" w:type="dxa"/>
            </w:tcMar>
          </w:tcPr>
          <w:p w:rsidRPr="005B6BC3" w:rsidR="00E81CDA" w:rsidRDefault="00E81CDA" w14:paraId="37427BAB" w14:textId="77777777">
            <w:pPr>
              <w:keepNext/>
              <w:keepLines/>
              <w:spacing w:after="0" w:line="240" w:lineRule="auto"/>
              <w:ind w:left="90"/>
              <w:jc w:val="left"/>
            </w:pPr>
            <w:r w:rsidRPr="005B6BC3">
              <w:t>Occupation</w:t>
            </w:r>
          </w:p>
        </w:tc>
        <w:tc>
          <w:tcPr>
            <w:tcW w:w="1125" w:type="dxa"/>
            <w:tcBorders>
              <w:left w:val="single" w:color="FFFFFF" w:themeColor="background1" w:sz="6" w:space="0"/>
              <w:bottom w:val="single" w:color="000000" w:sz="6" w:space="0"/>
              <w:right w:val="single" w:color="FFFFFF" w:themeColor="background1" w:sz="6" w:space="0"/>
            </w:tcBorders>
            <w:shd w:val="clear" w:color="auto" w:fill="0A2458"/>
            <w:tcMar>
              <w:top w:w="0" w:type="dxa"/>
              <w:left w:w="40" w:type="dxa"/>
              <w:bottom w:w="0" w:type="dxa"/>
              <w:right w:w="40" w:type="dxa"/>
            </w:tcMar>
          </w:tcPr>
          <w:p w:rsidRPr="005B6BC3" w:rsidR="00E81CDA" w:rsidP="004B46FE" w:rsidRDefault="00E81CDA" w14:paraId="0C8F188E" w14:textId="23593385">
            <w:pPr>
              <w:keepNext/>
              <w:keepLines/>
              <w:spacing w:after="0" w:line="240" w:lineRule="auto"/>
              <w:jc w:val="left"/>
            </w:pPr>
            <w:r w:rsidRPr="005B6BC3">
              <w:t xml:space="preserve">Currently </w:t>
            </w:r>
            <w:r w:rsidR="003A1587">
              <w:rPr>
                <w:bCs/>
              </w:rPr>
              <w:t>e</w:t>
            </w:r>
            <w:r w:rsidRPr="005B6BC3">
              <w:rPr>
                <w:bCs/>
              </w:rPr>
              <w:t>mployed</w:t>
            </w:r>
            <w:r w:rsidRPr="005B6BC3">
              <w:t xml:space="preserve"> in Alabama</w:t>
            </w:r>
          </w:p>
        </w:tc>
        <w:tc>
          <w:tcPr>
            <w:tcW w:w="1125" w:type="dxa"/>
            <w:tcBorders>
              <w:left w:val="single" w:color="FFFFFF" w:themeColor="background1" w:sz="6" w:space="0"/>
              <w:bottom w:val="single" w:color="000000" w:sz="6" w:space="0"/>
              <w:right w:val="single" w:color="FFFFFF" w:themeColor="background1" w:sz="6" w:space="0"/>
            </w:tcBorders>
            <w:shd w:val="clear" w:color="auto" w:fill="0A2458"/>
            <w:tcMar>
              <w:top w:w="0" w:type="dxa"/>
              <w:left w:w="40" w:type="dxa"/>
              <w:bottom w:w="0" w:type="dxa"/>
              <w:right w:w="40" w:type="dxa"/>
            </w:tcMar>
          </w:tcPr>
          <w:p w:rsidRPr="005B6BC3" w:rsidR="00E81CDA" w:rsidP="004B46FE" w:rsidRDefault="00E81CDA" w14:paraId="68ADB35C" w14:textId="788FEEE9">
            <w:pPr>
              <w:keepNext/>
              <w:keepLines/>
              <w:spacing w:after="0" w:line="240" w:lineRule="auto"/>
              <w:jc w:val="left"/>
            </w:pPr>
            <w:r w:rsidRPr="005B6BC3">
              <w:t xml:space="preserve">2018 - 2022 % </w:t>
            </w:r>
            <w:r w:rsidR="003A1587">
              <w:rPr>
                <w:bCs/>
              </w:rPr>
              <w:t>c</w:t>
            </w:r>
            <w:r w:rsidRPr="005B6BC3">
              <w:rPr>
                <w:bCs/>
              </w:rPr>
              <w:t>hange</w:t>
            </w:r>
          </w:p>
        </w:tc>
        <w:tc>
          <w:tcPr>
            <w:tcW w:w="1125" w:type="dxa"/>
            <w:tcBorders>
              <w:left w:val="single" w:color="FFFFFF" w:themeColor="background1" w:sz="6" w:space="0"/>
              <w:bottom w:val="single" w:color="000000" w:sz="6" w:space="0"/>
              <w:right w:val="single" w:color="FFFFFF" w:themeColor="background1" w:sz="6" w:space="0"/>
            </w:tcBorders>
            <w:shd w:val="clear" w:color="auto" w:fill="0A2458"/>
            <w:tcMar>
              <w:top w:w="0" w:type="dxa"/>
              <w:left w:w="40" w:type="dxa"/>
              <w:bottom w:w="0" w:type="dxa"/>
              <w:right w:w="40" w:type="dxa"/>
            </w:tcMar>
          </w:tcPr>
          <w:p w:rsidRPr="005B6BC3" w:rsidR="00E81CDA" w:rsidP="004B46FE" w:rsidRDefault="00E81CDA" w14:paraId="6AC6BDF7" w14:textId="044AB08E">
            <w:pPr>
              <w:keepNext/>
              <w:keepLines/>
              <w:spacing w:after="0" w:line="240" w:lineRule="auto"/>
              <w:jc w:val="left"/>
            </w:pPr>
            <w:r w:rsidRPr="005B6BC3">
              <w:rPr>
                <w:bCs/>
              </w:rPr>
              <w:t xml:space="preserve">Median </w:t>
            </w:r>
            <w:r w:rsidR="003A1587">
              <w:rPr>
                <w:bCs/>
              </w:rPr>
              <w:t>a</w:t>
            </w:r>
            <w:r w:rsidRPr="005B6BC3">
              <w:rPr>
                <w:bCs/>
              </w:rPr>
              <w:t xml:space="preserve">nnual </w:t>
            </w:r>
            <w:r w:rsidR="003A1587">
              <w:rPr>
                <w:bCs/>
              </w:rPr>
              <w:t>e</w:t>
            </w:r>
            <w:r w:rsidRPr="005B6BC3">
              <w:rPr>
                <w:bCs/>
              </w:rPr>
              <w:t>arnings</w:t>
            </w:r>
          </w:p>
        </w:tc>
        <w:tc>
          <w:tcPr>
            <w:tcW w:w="1125" w:type="dxa"/>
            <w:tcBorders>
              <w:left w:val="single" w:color="FFFFFF" w:themeColor="background1" w:sz="6" w:space="0"/>
              <w:bottom w:val="single" w:color="000000" w:sz="6" w:space="0"/>
              <w:right w:val="single" w:color="000000" w:sz="6" w:space="0"/>
            </w:tcBorders>
            <w:shd w:val="clear" w:color="auto" w:fill="0A2458"/>
            <w:tcMar>
              <w:top w:w="0" w:type="dxa"/>
              <w:left w:w="40" w:type="dxa"/>
              <w:bottom w:w="0" w:type="dxa"/>
              <w:right w:w="40" w:type="dxa"/>
            </w:tcMar>
          </w:tcPr>
          <w:p w:rsidRPr="005B6BC3" w:rsidR="00E81CDA" w:rsidP="004B46FE" w:rsidRDefault="00E81CDA" w14:paraId="65729BFF" w14:textId="1CDBD2E1">
            <w:pPr>
              <w:keepNext/>
              <w:keepLines/>
              <w:spacing w:after="0" w:line="240" w:lineRule="auto"/>
              <w:jc w:val="left"/>
            </w:pPr>
            <w:r w:rsidRPr="005B6BC3">
              <w:rPr>
                <w:bCs/>
              </w:rPr>
              <w:t xml:space="preserve">Annual </w:t>
            </w:r>
            <w:r w:rsidR="003A1587">
              <w:rPr>
                <w:bCs/>
              </w:rPr>
              <w:t>t</w:t>
            </w:r>
            <w:r w:rsidRPr="005B6BC3">
              <w:rPr>
                <w:bCs/>
              </w:rPr>
              <w:t xml:space="preserve">urnover </w:t>
            </w:r>
            <w:r w:rsidR="003A1587">
              <w:rPr>
                <w:bCs/>
              </w:rPr>
              <w:t>r</w:t>
            </w:r>
            <w:r w:rsidRPr="005B6BC3">
              <w:rPr>
                <w:bCs/>
              </w:rPr>
              <w:t>ate</w:t>
            </w:r>
          </w:p>
        </w:tc>
      </w:tr>
      <w:tr w:rsidR="00E81CDA" w:rsidTr="003A1587" w14:paraId="08C085C0" w14:textId="77777777">
        <w:trPr>
          <w:trHeight w:val="20"/>
          <w:jc w:val="center"/>
        </w:trPr>
        <w:tc>
          <w:tcPr>
            <w:tcW w:w="5055" w:type="dxa"/>
            <w:tcBorders>
              <w:top w:val="single" w:color="000000" w:sz="5" w:space="0"/>
              <w:left w:val="single" w:color="000000" w:sz="5" w:space="0"/>
              <w:bottom w:val="single" w:color="000000" w:sz="5" w:space="0"/>
              <w:right w:val="single" w:color="000000" w:sz="5" w:space="0"/>
            </w:tcBorders>
            <w:tcMar>
              <w:left w:w="0" w:type="dxa"/>
              <w:right w:w="0" w:type="dxa"/>
            </w:tcMar>
          </w:tcPr>
          <w:p w:rsidRPr="005B6BC3" w:rsidR="00E81CDA" w:rsidRDefault="00E81CDA" w14:paraId="7DB52C1B" w14:textId="77777777">
            <w:pPr>
              <w:spacing w:after="0" w:line="240" w:lineRule="auto"/>
              <w:ind w:left="90" w:right="45"/>
              <w:jc w:val="left"/>
              <w:rPr>
                <w:color w:val="000000"/>
              </w:rPr>
            </w:pPr>
            <w:r w:rsidRPr="005B6BC3">
              <w:t>Project Management Specialists</w:t>
            </w:r>
          </w:p>
        </w:tc>
        <w:tc>
          <w:tcPr>
            <w:tcW w:w="1125" w:type="dxa"/>
            <w:tcBorders>
              <w:top w:val="single" w:color="000000" w:sz="5" w:space="0"/>
              <w:left w:val="single" w:color="000000" w:sz="5" w:space="0"/>
              <w:bottom w:val="single" w:color="000000" w:sz="5" w:space="0"/>
              <w:right w:val="single" w:color="000000" w:sz="5" w:space="0"/>
            </w:tcBorders>
            <w:tcMar>
              <w:left w:w="0" w:type="dxa"/>
              <w:right w:w="0" w:type="dxa"/>
            </w:tcMar>
          </w:tcPr>
          <w:p w:rsidRPr="005B6BC3" w:rsidR="00E81CDA" w:rsidP="003A1587" w:rsidRDefault="00E81CDA" w14:paraId="2A69F056" w14:textId="77777777">
            <w:pPr>
              <w:spacing w:after="0" w:line="240" w:lineRule="auto"/>
              <w:ind w:right="120"/>
              <w:jc w:val="left"/>
              <w:rPr>
                <w:color w:val="000000"/>
              </w:rPr>
            </w:pPr>
            <w:r w:rsidRPr="005B6BC3">
              <w:t>3,260</w:t>
            </w:r>
          </w:p>
        </w:tc>
        <w:tc>
          <w:tcPr>
            <w:tcW w:w="1125" w:type="dxa"/>
            <w:tcBorders>
              <w:top w:val="single" w:color="000000"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3D35D5B4" w14:textId="77777777">
            <w:pPr>
              <w:spacing w:after="0" w:line="240" w:lineRule="auto"/>
              <w:ind w:right="120"/>
              <w:jc w:val="left"/>
              <w:rPr>
                <w:color w:val="000000"/>
              </w:rPr>
            </w:pPr>
            <w:r w:rsidRPr="005B6BC3">
              <w:t>58%</w:t>
            </w:r>
          </w:p>
        </w:tc>
        <w:tc>
          <w:tcPr>
            <w:tcW w:w="1125" w:type="dxa"/>
            <w:tcBorders>
              <w:top w:val="single" w:color="000000"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555438A6" w14:textId="77777777">
            <w:pPr>
              <w:spacing w:after="0" w:line="240" w:lineRule="auto"/>
              <w:ind w:right="120"/>
              <w:jc w:val="left"/>
              <w:rPr>
                <w:color w:val="000000"/>
              </w:rPr>
            </w:pPr>
            <w:r w:rsidRPr="005B6BC3">
              <w:t>$98,821</w:t>
            </w:r>
          </w:p>
        </w:tc>
        <w:tc>
          <w:tcPr>
            <w:tcW w:w="1125" w:type="dxa"/>
            <w:tcBorders>
              <w:top w:val="single" w:color="000000"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1B0E257A" w14:textId="77777777">
            <w:pPr>
              <w:spacing w:after="0" w:line="240" w:lineRule="auto"/>
              <w:ind w:right="120"/>
              <w:jc w:val="left"/>
              <w:rPr>
                <w:color w:val="000000"/>
              </w:rPr>
            </w:pPr>
            <w:r w:rsidRPr="005B6BC3">
              <w:t>55%</w:t>
            </w:r>
          </w:p>
        </w:tc>
      </w:tr>
      <w:tr w:rsidR="00E81CDA" w:rsidTr="003A1587" w14:paraId="0EFD5BAE" w14:textId="77777777">
        <w:trPr>
          <w:trHeight w:val="20"/>
          <w:jc w:val="center"/>
        </w:trPr>
        <w:tc>
          <w:tcPr>
            <w:tcW w:w="5055" w:type="dxa"/>
            <w:tcBorders>
              <w:top w:val="single" w:color="CCCCCC" w:sz="5" w:space="0"/>
              <w:left w:val="single" w:color="000000" w:sz="5" w:space="0"/>
              <w:bottom w:val="single" w:color="000000" w:sz="5" w:space="0"/>
              <w:right w:val="single" w:color="000000" w:sz="5" w:space="0"/>
            </w:tcBorders>
            <w:tcMar>
              <w:left w:w="0" w:type="dxa"/>
              <w:right w:w="0" w:type="dxa"/>
            </w:tcMar>
          </w:tcPr>
          <w:p w:rsidRPr="005B6BC3" w:rsidR="00E81CDA" w:rsidRDefault="00E81CDA" w14:paraId="5CD7D4B7" w14:textId="77777777">
            <w:pPr>
              <w:spacing w:after="0" w:line="240" w:lineRule="auto"/>
              <w:ind w:left="90" w:right="45"/>
              <w:jc w:val="left"/>
              <w:rPr>
                <w:color w:val="000000"/>
              </w:rPr>
            </w:pPr>
            <w:r w:rsidRPr="005B6BC3">
              <w:t>Business Operations Specialists, All Other</w:t>
            </w:r>
          </w:p>
        </w:tc>
        <w:tc>
          <w:tcPr>
            <w:tcW w:w="1125" w:type="dxa"/>
            <w:tcBorders>
              <w:top w:val="single" w:color="CCCCCC" w:sz="5" w:space="0"/>
              <w:left w:val="single" w:color="000000" w:sz="5" w:space="0"/>
              <w:bottom w:val="single" w:color="000000" w:sz="5" w:space="0"/>
              <w:right w:val="single" w:color="000000" w:sz="5" w:space="0"/>
            </w:tcBorders>
            <w:tcMar>
              <w:left w:w="0" w:type="dxa"/>
              <w:right w:w="0" w:type="dxa"/>
            </w:tcMar>
          </w:tcPr>
          <w:p w:rsidRPr="005B6BC3" w:rsidR="00E81CDA" w:rsidP="003A1587" w:rsidRDefault="00E81CDA" w14:paraId="5F0852A3" w14:textId="77777777">
            <w:pPr>
              <w:spacing w:after="0" w:line="240" w:lineRule="auto"/>
              <w:ind w:right="120"/>
              <w:jc w:val="left"/>
              <w:rPr>
                <w:color w:val="000000"/>
              </w:rPr>
            </w:pPr>
            <w:r w:rsidRPr="005B6BC3">
              <w:t>7,019</w:t>
            </w:r>
          </w:p>
        </w:tc>
        <w:tc>
          <w:tcPr>
            <w:tcW w:w="1125" w:type="dxa"/>
            <w:tcBorders>
              <w:top w:val="single" w:color="CCCCCC"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5D570F1B" w14:textId="77777777">
            <w:pPr>
              <w:spacing w:after="0" w:line="240" w:lineRule="auto"/>
              <w:ind w:right="120"/>
              <w:jc w:val="left"/>
              <w:rPr>
                <w:color w:val="000000"/>
              </w:rPr>
            </w:pPr>
            <w:r w:rsidRPr="005B6BC3">
              <w:t>19%</w:t>
            </w:r>
          </w:p>
        </w:tc>
        <w:tc>
          <w:tcPr>
            <w:tcW w:w="1125" w:type="dxa"/>
            <w:tcBorders>
              <w:top w:val="single" w:color="CCCCCC"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6FEB5B1E" w14:textId="77777777">
            <w:pPr>
              <w:spacing w:after="0" w:line="240" w:lineRule="auto"/>
              <w:ind w:right="120"/>
              <w:jc w:val="left"/>
              <w:rPr>
                <w:color w:val="000000"/>
              </w:rPr>
            </w:pPr>
            <w:r w:rsidRPr="005B6BC3">
              <w:t>$89,939</w:t>
            </w:r>
          </w:p>
        </w:tc>
        <w:tc>
          <w:tcPr>
            <w:tcW w:w="1125" w:type="dxa"/>
            <w:tcBorders>
              <w:top w:val="single" w:color="CCCCCC"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331385B6" w14:textId="77777777">
            <w:pPr>
              <w:spacing w:after="0" w:line="240" w:lineRule="auto"/>
              <w:ind w:right="120"/>
              <w:jc w:val="left"/>
              <w:rPr>
                <w:color w:val="000000"/>
              </w:rPr>
            </w:pPr>
            <w:r w:rsidRPr="005B6BC3">
              <w:t>51%</w:t>
            </w:r>
          </w:p>
        </w:tc>
      </w:tr>
      <w:tr w:rsidR="00E81CDA" w:rsidTr="003A1587" w14:paraId="6E9DF44E" w14:textId="77777777">
        <w:trPr>
          <w:trHeight w:val="20"/>
          <w:jc w:val="center"/>
        </w:trPr>
        <w:tc>
          <w:tcPr>
            <w:tcW w:w="5055" w:type="dxa"/>
            <w:tcBorders>
              <w:top w:val="single" w:color="CCCCCC" w:sz="5" w:space="0"/>
              <w:left w:val="single" w:color="000000" w:sz="5" w:space="0"/>
              <w:bottom w:val="single" w:color="000000" w:sz="5" w:space="0"/>
              <w:right w:val="single" w:color="000000" w:sz="5" w:space="0"/>
            </w:tcBorders>
            <w:tcMar>
              <w:left w:w="0" w:type="dxa"/>
              <w:right w:w="0" w:type="dxa"/>
            </w:tcMar>
          </w:tcPr>
          <w:p w:rsidRPr="005B6BC3" w:rsidR="00E81CDA" w:rsidRDefault="00E81CDA" w14:paraId="28B2DD68" w14:textId="77777777">
            <w:pPr>
              <w:spacing w:after="0" w:line="240" w:lineRule="auto"/>
              <w:ind w:left="90" w:right="45"/>
              <w:jc w:val="left"/>
              <w:rPr>
                <w:color w:val="000000"/>
              </w:rPr>
            </w:pPr>
            <w:r w:rsidRPr="005B6BC3">
              <w:t>Software Developers</w:t>
            </w:r>
          </w:p>
        </w:tc>
        <w:tc>
          <w:tcPr>
            <w:tcW w:w="1125" w:type="dxa"/>
            <w:tcBorders>
              <w:top w:val="single" w:color="CCCCCC" w:sz="5" w:space="0"/>
              <w:left w:val="single" w:color="000000" w:sz="5" w:space="0"/>
              <w:bottom w:val="single" w:color="000000" w:sz="5" w:space="0"/>
              <w:right w:val="single" w:color="000000" w:sz="5" w:space="0"/>
            </w:tcBorders>
            <w:tcMar>
              <w:left w:w="0" w:type="dxa"/>
              <w:right w:w="0" w:type="dxa"/>
            </w:tcMar>
          </w:tcPr>
          <w:p w:rsidRPr="005B6BC3" w:rsidR="00E81CDA" w:rsidP="003A1587" w:rsidRDefault="00E81CDA" w14:paraId="70E4A549" w14:textId="77777777">
            <w:pPr>
              <w:spacing w:after="0" w:line="240" w:lineRule="auto"/>
              <w:ind w:right="120"/>
              <w:jc w:val="left"/>
              <w:rPr>
                <w:color w:val="000000"/>
              </w:rPr>
            </w:pPr>
            <w:r w:rsidRPr="005B6BC3">
              <w:t>15,863</w:t>
            </w:r>
          </w:p>
        </w:tc>
        <w:tc>
          <w:tcPr>
            <w:tcW w:w="1125" w:type="dxa"/>
            <w:tcBorders>
              <w:top w:val="single" w:color="CCCCCC"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0EA5DECE" w14:textId="77777777">
            <w:pPr>
              <w:spacing w:after="0" w:line="240" w:lineRule="auto"/>
              <w:ind w:right="120"/>
              <w:jc w:val="left"/>
              <w:rPr>
                <w:color w:val="000000"/>
              </w:rPr>
            </w:pPr>
            <w:r w:rsidRPr="005B6BC3">
              <w:t>56%</w:t>
            </w:r>
          </w:p>
        </w:tc>
        <w:tc>
          <w:tcPr>
            <w:tcW w:w="1125" w:type="dxa"/>
            <w:tcBorders>
              <w:top w:val="single" w:color="CCCCCC"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0C612CED" w14:textId="77777777">
            <w:pPr>
              <w:spacing w:after="0" w:line="240" w:lineRule="auto"/>
              <w:ind w:right="120"/>
              <w:jc w:val="left"/>
              <w:rPr>
                <w:color w:val="000000"/>
              </w:rPr>
            </w:pPr>
            <w:r w:rsidRPr="005B6BC3">
              <w:t>$103,522</w:t>
            </w:r>
          </w:p>
        </w:tc>
        <w:tc>
          <w:tcPr>
            <w:tcW w:w="1125" w:type="dxa"/>
            <w:tcBorders>
              <w:top w:val="single" w:color="CCCCCC"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07053A65" w14:textId="77777777">
            <w:pPr>
              <w:spacing w:after="0" w:line="240" w:lineRule="auto"/>
              <w:ind w:right="120"/>
              <w:jc w:val="left"/>
              <w:rPr>
                <w:color w:val="000000"/>
              </w:rPr>
            </w:pPr>
            <w:r w:rsidRPr="005B6BC3">
              <w:t>36%</w:t>
            </w:r>
          </w:p>
        </w:tc>
      </w:tr>
      <w:tr w:rsidR="00E81CDA" w:rsidTr="003A1587" w14:paraId="0B5A3D78" w14:textId="77777777">
        <w:trPr>
          <w:trHeight w:val="20"/>
          <w:jc w:val="center"/>
        </w:trPr>
        <w:tc>
          <w:tcPr>
            <w:tcW w:w="5055" w:type="dxa"/>
            <w:tcBorders>
              <w:top w:val="single" w:color="CCCCCC" w:sz="5" w:space="0"/>
              <w:left w:val="single" w:color="000000" w:sz="5" w:space="0"/>
              <w:bottom w:val="single" w:color="000000" w:sz="5" w:space="0"/>
              <w:right w:val="single" w:color="000000" w:sz="5" w:space="0"/>
            </w:tcBorders>
            <w:tcMar>
              <w:left w:w="0" w:type="dxa"/>
              <w:right w:w="0" w:type="dxa"/>
            </w:tcMar>
          </w:tcPr>
          <w:p w:rsidRPr="005B6BC3" w:rsidR="00E81CDA" w:rsidRDefault="00E81CDA" w14:paraId="3CB23658" w14:textId="77777777">
            <w:pPr>
              <w:spacing w:after="0" w:line="240" w:lineRule="auto"/>
              <w:ind w:left="90" w:right="45"/>
              <w:jc w:val="left"/>
              <w:rPr>
                <w:color w:val="000000"/>
              </w:rPr>
            </w:pPr>
            <w:r w:rsidRPr="005B6BC3">
              <w:t>Software Quality Assurance Analysts and Testers</w:t>
            </w:r>
          </w:p>
        </w:tc>
        <w:tc>
          <w:tcPr>
            <w:tcW w:w="1125" w:type="dxa"/>
            <w:tcBorders>
              <w:top w:val="single" w:color="CCCCCC" w:sz="5" w:space="0"/>
              <w:left w:val="single" w:color="000000" w:sz="5" w:space="0"/>
              <w:bottom w:val="single" w:color="000000" w:sz="5" w:space="0"/>
              <w:right w:val="single" w:color="000000" w:sz="5" w:space="0"/>
            </w:tcBorders>
            <w:tcMar>
              <w:left w:w="0" w:type="dxa"/>
              <w:right w:w="0" w:type="dxa"/>
            </w:tcMar>
          </w:tcPr>
          <w:p w:rsidRPr="005B6BC3" w:rsidR="00E81CDA" w:rsidP="003A1587" w:rsidRDefault="00E81CDA" w14:paraId="1BDB97ED" w14:textId="77777777">
            <w:pPr>
              <w:spacing w:after="0" w:line="240" w:lineRule="auto"/>
              <w:ind w:right="120"/>
              <w:jc w:val="left"/>
              <w:rPr>
                <w:color w:val="000000"/>
              </w:rPr>
            </w:pPr>
            <w:r w:rsidRPr="005B6BC3">
              <w:t>1,544</w:t>
            </w:r>
          </w:p>
        </w:tc>
        <w:tc>
          <w:tcPr>
            <w:tcW w:w="1125" w:type="dxa"/>
            <w:tcBorders>
              <w:top w:val="single" w:color="CCCCCC"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52601D4A" w14:textId="77777777">
            <w:pPr>
              <w:spacing w:after="0" w:line="240" w:lineRule="auto"/>
              <w:ind w:right="120"/>
              <w:jc w:val="left"/>
              <w:rPr>
                <w:color w:val="000000"/>
              </w:rPr>
            </w:pPr>
            <w:r w:rsidRPr="005B6BC3">
              <w:t>23%</w:t>
            </w:r>
          </w:p>
        </w:tc>
        <w:tc>
          <w:tcPr>
            <w:tcW w:w="1125" w:type="dxa"/>
            <w:tcBorders>
              <w:top w:val="single" w:color="CCCCCC"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4C507095" w14:textId="77777777">
            <w:pPr>
              <w:spacing w:after="0" w:line="240" w:lineRule="auto"/>
              <w:ind w:right="120"/>
              <w:jc w:val="left"/>
              <w:rPr>
                <w:color w:val="000000"/>
              </w:rPr>
            </w:pPr>
            <w:r w:rsidRPr="005B6BC3">
              <w:t>$83,158</w:t>
            </w:r>
          </w:p>
        </w:tc>
        <w:tc>
          <w:tcPr>
            <w:tcW w:w="1125" w:type="dxa"/>
            <w:tcBorders>
              <w:top w:val="single" w:color="CCCCCC"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44FBCFA8" w14:textId="77777777">
            <w:pPr>
              <w:spacing w:after="0" w:line="240" w:lineRule="auto"/>
              <w:ind w:right="120"/>
              <w:jc w:val="left"/>
              <w:rPr>
                <w:color w:val="000000"/>
              </w:rPr>
            </w:pPr>
            <w:r w:rsidRPr="005B6BC3">
              <w:t>48%</w:t>
            </w:r>
          </w:p>
        </w:tc>
      </w:tr>
      <w:tr w:rsidR="00E81CDA" w:rsidTr="003A1587" w14:paraId="6F66E66F" w14:textId="77777777">
        <w:trPr>
          <w:trHeight w:val="20"/>
          <w:jc w:val="center"/>
        </w:trPr>
        <w:tc>
          <w:tcPr>
            <w:tcW w:w="5055" w:type="dxa"/>
            <w:tcBorders>
              <w:top w:val="single" w:color="CCCCCC" w:sz="5" w:space="0"/>
              <w:left w:val="single" w:color="000000" w:sz="5" w:space="0"/>
              <w:bottom w:val="single" w:color="000000" w:sz="5" w:space="0"/>
              <w:right w:val="single" w:color="000000" w:sz="5" w:space="0"/>
            </w:tcBorders>
            <w:tcMar>
              <w:left w:w="0" w:type="dxa"/>
              <w:right w:w="0" w:type="dxa"/>
            </w:tcMar>
          </w:tcPr>
          <w:p w:rsidRPr="005B6BC3" w:rsidR="00E81CDA" w:rsidRDefault="00E81CDA" w14:paraId="1FF4EB7A" w14:textId="77777777">
            <w:pPr>
              <w:spacing w:after="0" w:line="240" w:lineRule="auto"/>
              <w:ind w:left="90" w:right="45"/>
              <w:jc w:val="left"/>
              <w:rPr>
                <w:color w:val="000000"/>
              </w:rPr>
            </w:pPr>
            <w:r w:rsidRPr="005B6BC3">
              <w:t>Electronics Engineers, Except Computer</w:t>
            </w:r>
          </w:p>
        </w:tc>
        <w:tc>
          <w:tcPr>
            <w:tcW w:w="1125" w:type="dxa"/>
            <w:tcBorders>
              <w:top w:val="single" w:color="CCCCCC" w:sz="5" w:space="0"/>
              <w:left w:val="single" w:color="000000" w:sz="5" w:space="0"/>
              <w:bottom w:val="single" w:color="000000" w:sz="5" w:space="0"/>
              <w:right w:val="single" w:color="000000" w:sz="5" w:space="0"/>
            </w:tcBorders>
            <w:tcMar>
              <w:left w:w="0" w:type="dxa"/>
              <w:right w:w="0" w:type="dxa"/>
            </w:tcMar>
          </w:tcPr>
          <w:p w:rsidRPr="005B6BC3" w:rsidR="00E81CDA" w:rsidP="003A1587" w:rsidRDefault="00E81CDA" w14:paraId="11FA7AB8" w14:textId="77777777">
            <w:pPr>
              <w:spacing w:after="0" w:line="240" w:lineRule="auto"/>
              <w:ind w:right="120"/>
              <w:jc w:val="left"/>
              <w:rPr>
                <w:color w:val="000000"/>
              </w:rPr>
            </w:pPr>
            <w:r w:rsidRPr="005B6BC3">
              <w:t>1,901</w:t>
            </w:r>
          </w:p>
        </w:tc>
        <w:tc>
          <w:tcPr>
            <w:tcW w:w="1125" w:type="dxa"/>
            <w:tcBorders>
              <w:top w:val="single" w:color="CCCCCC"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51429EB0" w14:textId="77777777">
            <w:pPr>
              <w:spacing w:after="0" w:line="240" w:lineRule="auto"/>
              <w:ind w:right="120"/>
              <w:jc w:val="left"/>
              <w:rPr>
                <w:color w:val="000000"/>
              </w:rPr>
            </w:pPr>
            <w:r w:rsidRPr="005B6BC3">
              <w:t>1%</w:t>
            </w:r>
          </w:p>
        </w:tc>
        <w:tc>
          <w:tcPr>
            <w:tcW w:w="1125" w:type="dxa"/>
            <w:tcBorders>
              <w:top w:val="single" w:color="CCCCCC"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03CEA879" w14:textId="77777777">
            <w:pPr>
              <w:spacing w:after="0" w:line="240" w:lineRule="auto"/>
              <w:ind w:right="120"/>
              <w:jc w:val="left"/>
              <w:rPr>
                <w:color w:val="000000"/>
              </w:rPr>
            </w:pPr>
            <w:r w:rsidRPr="005B6BC3">
              <w:t>$104,291</w:t>
            </w:r>
          </w:p>
        </w:tc>
        <w:tc>
          <w:tcPr>
            <w:tcW w:w="1125" w:type="dxa"/>
            <w:tcBorders>
              <w:top w:val="single" w:color="CCCCCC"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2A21D7F7" w14:textId="77777777">
            <w:pPr>
              <w:spacing w:after="0" w:line="240" w:lineRule="auto"/>
              <w:ind w:right="120"/>
              <w:jc w:val="left"/>
              <w:rPr>
                <w:color w:val="000000"/>
              </w:rPr>
            </w:pPr>
            <w:r w:rsidRPr="005B6BC3">
              <w:t>32%</w:t>
            </w:r>
          </w:p>
        </w:tc>
      </w:tr>
      <w:tr w:rsidR="00E81CDA" w:rsidTr="003A1587" w14:paraId="59144920" w14:textId="77777777">
        <w:trPr>
          <w:trHeight w:val="20"/>
          <w:jc w:val="center"/>
        </w:trPr>
        <w:tc>
          <w:tcPr>
            <w:tcW w:w="5055" w:type="dxa"/>
            <w:tcBorders>
              <w:top w:val="single" w:color="CCCCCC" w:sz="5" w:space="0"/>
              <w:left w:val="single" w:color="000000" w:sz="5" w:space="0"/>
              <w:bottom w:val="single" w:color="000000" w:sz="5" w:space="0"/>
              <w:right w:val="single" w:color="000000" w:sz="5" w:space="0"/>
            </w:tcBorders>
            <w:tcMar>
              <w:left w:w="0" w:type="dxa"/>
              <w:right w:w="0" w:type="dxa"/>
            </w:tcMar>
          </w:tcPr>
          <w:p w:rsidRPr="005B6BC3" w:rsidR="00E81CDA" w:rsidRDefault="00E81CDA" w14:paraId="59A32A02" w14:textId="77777777">
            <w:pPr>
              <w:spacing w:after="0" w:line="240" w:lineRule="auto"/>
              <w:ind w:left="90" w:right="45"/>
              <w:jc w:val="left"/>
              <w:rPr>
                <w:color w:val="000000"/>
              </w:rPr>
            </w:pPr>
            <w:r w:rsidRPr="005B6BC3">
              <w:t>Sales Representatives of Services, Except Advertising, Insurance, Financial Services, and Travel</w:t>
            </w:r>
          </w:p>
        </w:tc>
        <w:tc>
          <w:tcPr>
            <w:tcW w:w="1125" w:type="dxa"/>
            <w:tcBorders>
              <w:top w:val="single" w:color="CCCCCC" w:sz="5" w:space="0"/>
              <w:left w:val="single" w:color="000000" w:sz="5" w:space="0"/>
              <w:bottom w:val="single" w:color="000000" w:sz="5" w:space="0"/>
              <w:right w:val="single" w:color="000000" w:sz="5" w:space="0"/>
            </w:tcBorders>
            <w:tcMar>
              <w:left w:w="0" w:type="dxa"/>
              <w:right w:w="0" w:type="dxa"/>
            </w:tcMar>
          </w:tcPr>
          <w:p w:rsidRPr="005B6BC3" w:rsidR="00E81CDA" w:rsidP="003A1587" w:rsidRDefault="00E81CDA" w14:paraId="638F67F7" w14:textId="77777777">
            <w:pPr>
              <w:spacing w:after="0" w:line="240" w:lineRule="auto"/>
              <w:ind w:right="120"/>
              <w:jc w:val="left"/>
              <w:rPr>
                <w:color w:val="000000"/>
              </w:rPr>
            </w:pPr>
            <w:r w:rsidRPr="005B6BC3">
              <w:t>10,467</w:t>
            </w:r>
          </w:p>
        </w:tc>
        <w:tc>
          <w:tcPr>
            <w:tcW w:w="1125" w:type="dxa"/>
            <w:tcBorders>
              <w:top w:val="single" w:color="CCCCCC"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0F945563" w14:textId="77777777">
            <w:pPr>
              <w:spacing w:after="0" w:line="240" w:lineRule="auto"/>
              <w:ind w:right="120"/>
              <w:jc w:val="left"/>
              <w:rPr>
                <w:color w:val="000000"/>
              </w:rPr>
            </w:pPr>
            <w:r w:rsidRPr="005B6BC3">
              <w:t>24%</w:t>
            </w:r>
          </w:p>
        </w:tc>
        <w:tc>
          <w:tcPr>
            <w:tcW w:w="1125" w:type="dxa"/>
            <w:tcBorders>
              <w:top w:val="single" w:color="CCCCCC"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489C6499" w14:textId="77777777">
            <w:pPr>
              <w:spacing w:after="0" w:line="240" w:lineRule="auto"/>
              <w:ind w:right="120"/>
              <w:jc w:val="left"/>
              <w:rPr>
                <w:color w:val="000000"/>
              </w:rPr>
            </w:pPr>
            <w:r w:rsidRPr="005B6BC3">
              <w:t>$55,557</w:t>
            </w:r>
          </w:p>
        </w:tc>
        <w:tc>
          <w:tcPr>
            <w:tcW w:w="1125" w:type="dxa"/>
            <w:tcBorders>
              <w:top w:val="single" w:color="CCCCCC"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32CC0CD0" w14:textId="77777777">
            <w:pPr>
              <w:spacing w:after="0" w:line="240" w:lineRule="auto"/>
              <w:ind w:right="120"/>
              <w:jc w:val="left"/>
              <w:rPr>
                <w:color w:val="000000"/>
              </w:rPr>
            </w:pPr>
            <w:r w:rsidRPr="005B6BC3">
              <w:t>79%</w:t>
            </w:r>
          </w:p>
        </w:tc>
      </w:tr>
      <w:tr w:rsidR="00E81CDA" w:rsidTr="003A1587" w14:paraId="47C9A339" w14:textId="77777777">
        <w:trPr>
          <w:trHeight w:val="20"/>
          <w:jc w:val="center"/>
        </w:trPr>
        <w:tc>
          <w:tcPr>
            <w:tcW w:w="5055" w:type="dxa"/>
            <w:tcBorders>
              <w:top w:val="single" w:color="CCCCCC" w:sz="5" w:space="0"/>
              <w:left w:val="single" w:color="000000" w:sz="5" w:space="0"/>
              <w:bottom w:val="single" w:color="000000" w:sz="5" w:space="0"/>
              <w:right w:val="single" w:color="000000" w:sz="5" w:space="0"/>
            </w:tcBorders>
            <w:tcMar>
              <w:left w:w="0" w:type="dxa"/>
              <w:right w:w="0" w:type="dxa"/>
            </w:tcMar>
          </w:tcPr>
          <w:p w:rsidRPr="005B6BC3" w:rsidR="00E81CDA" w:rsidRDefault="00E81CDA" w14:paraId="7A4627FD" w14:textId="77777777">
            <w:pPr>
              <w:spacing w:after="0" w:line="240" w:lineRule="auto"/>
              <w:ind w:left="90" w:right="45"/>
              <w:jc w:val="left"/>
              <w:rPr>
                <w:color w:val="000000"/>
              </w:rPr>
            </w:pPr>
            <w:r w:rsidRPr="005B6BC3">
              <w:t>Customer Service Representatives</w:t>
            </w:r>
          </w:p>
        </w:tc>
        <w:tc>
          <w:tcPr>
            <w:tcW w:w="1125" w:type="dxa"/>
            <w:tcBorders>
              <w:top w:val="single" w:color="CCCCCC" w:sz="5" w:space="0"/>
              <w:left w:val="single" w:color="000000" w:sz="5" w:space="0"/>
              <w:bottom w:val="single" w:color="000000" w:sz="5" w:space="0"/>
              <w:right w:val="single" w:color="000000" w:sz="5" w:space="0"/>
            </w:tcBorders>
            <w:tcMar>
              <w:left w:w="0" w:type="dxa"/>
              <w:right w:w="0" w:type="dxa"/>
            </w:tcMar>
          </w:tcPr>
          <w:p w:rsidRPr="005B6BC3" w:rsidR="00E81CDA" w:rsidP="003A1587" w:rsidRDefault="00E81CDA" w14:paraId="70790D2B" w14:textId="77777777">
            <w:pPr>
              <w:spacing w:after="0" w:line="240" w:lineRule="auto"/>
              <w:ind w:right="120"/>
              <w:jc w:val="left"/>
              <w:rPr>
                <w:color w:val="000000"/>
              </w:rPr>
            </w:pPr>
            <w:r w:rsidRPr="005B6BC3">
              <w:t>34,310</w:t>
            </w:r>
          </w:p>
        </w:tc>
        <w:tc>
          <w:tcPr>
            <w:tcW w:w="1125" w:type="dxa"/>
            <w:tcBorders>
              <w:top w:val="single" w:color="CCCCCC"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6EFB18FD" w14:textId="77777777">
            <w:pPr>
              <w:spacing w:after="0" w:line="240" w:lineRule="auto"/>
              <w:ind w:right="120"/>
              <w:jc w:val="left"/>
              <w:rPr>
                <w:color w:val="000000"/>
              </w:rPr>
            </w:pPr>
            <w:r w:rsidRPr="005B6BC3">
              <w:t>0%</w:t>
            </w:r>
          </w:p>
        </w:tc>
        <w:tc>
          <w:tcPr>
            <w:tcW w:w="1125" w:type="dxa"/>
            <w:tcBorders>
              <w:top w:val="single" w:color="CCCCCC"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31FA912E" w14:textId="77777777">
            <w:pPr>
              <w:spacing w:after="0" w:line="240" w:lineRule="auto"/>
              <w:ind w:right="120"/>
              <w:jc w:val="left"/>
              <w:rPr>
                <w:color w:val="000000"/>
              </w:rPr>
            </w:pPr>
            <w:r w:rsidRPr="005B6BC3">
              <w:t>$34,674</w:t>
            </w:r>
          </w:p>
        </w:tc>
        <w:tc>
          <w:tcPr>
            <w:tcW w:w="1125" w:type="dxa"/>
            <w:tcBorders>
              <w:top w:val="single" w:color="CCCCCC"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74A06182" w14:textId="77777777">
            <w:pPr>
              <w:spacing w:after="0" w:line="240" w:lineRule="auto"/>
              <w:ind w:right="120"/>
              <w:jc w:val="left"/>
              <w:rPr>
                <w:color w:val="000000"/>
              </w:rPr>
            </w:pPr>
            <w:r w:rsidRPr="005B6BC3">
              <w:t>110%</w:t>
            </w:r>
          </w:p>
        </w:tc>
      </w:tr>
      <w:tr w:rsidR="00E81CDA" w:rsidTr="003A1587" w14:paraId="6BDB692A" w14:textId="77777777">
        <w:trPr>
          <w:trHeight w:val="20"/>
          <w:jc w:val="center"/>
        </w:trPr>
        <w:tc>
          <w:tcPr>
            <w:tcW w:w="5055" w:type="dxa"/>
            <w:tcBorders>
              <w:top w:val="single" w:color="CCCCCC" w:sz="5" w:space="0"/>
              <w:left w:val="single" w:color="000000" w:sz="5" w:space="0"/>
              <w:bottom w:val="single" w:color="000000" w:sz="5" w:space="0"/>
              <w:right w:val="single" w:color="000000" w:sz="5" w:space="0"/>
            </w:tcBorders>
            <w:tcMar>
              <w:left w:w="0" w:type="dxa"/>
              <w:right w:w="0" w:type="dxa"/>
            </w:tcMar>
          </w:tcPr>
          <w:p w:rsidRPr="005B6BC3" w:rsidR="00E81CDA" w:rsidRDefault="00E81CDA" w14:paraId="1D87AA3C" w14:textId="77777777">
            <w:pPr>
              <w:spacing w:after="0" w:line="240" w:lineRule="auto"/>
              <w:ind w:left="90" w:right="45"/>
              <w:jc w:val="left"/>
              <w:rPr>
                <w:color w:val="000000"/>
              </w:rPr>
            </w:pPr>
            <w:r w:rsidRPr="005B6BC3">
              <w:t>Construction Laborers</w:t>
            </w:r>
          </w:p>
        </w:tc>
        <w:tc>
          <w:tcPr>
            <w:tcW w:w="1125" w:type="dxa"/>
            <w:tcBorders>
              <w:top w:val="single" w:color="CCCCCC" w:sz="5" w:space="0"/>
              <w:left w:val="single" w:color="000000" w:sz="5" w:space="0"/>
              <w:bottom w:val="single" w:color="000000" w:sz="5" w:space="0"/>
              <w:right w:val="single" w:color="000000" w:sz="5" w:space="0"/>
            </w:tcBorders>
            <w:tcMar>
              <w:left w:w="0" w:type="dxa"/>
              <w:right w:w="0" w:type="dxa"/>
            </w:tcMar>
          </w:tcPr>
          <w:p w:rsidRPr="005B6BC3" w:rsidR="00E81CDA" w:rsidP="003A1587" w:rsidRDefault="00E81CDA" w14:paraId="789A822E" w14:textId="77777777">
            <w:pPr>
              <w:spacing w:after="0" w:line="240" w:lineRule="auto"/>
              <w:ind w:right="120"/>
              <w:jc w:val="left"/>
              <w:rPr>
                <w:color w:val="000000"/>
              </w:rPr>
            </w:pPr>
            <w:r w:rsidRPr="005B6BC3">
              <w:t>16,057</w:t>
            </w:r>
          </w:p>
        </w:tc>
        <w:tc>
          <w:tcPr>
            <w:tcW w:w="1125" w:type="dxa"/>
            <w:tcBorders>
              <w:top w:val="single" w:color="CCCCCC"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5A811C5D" w14:textId="77777777">
            <w:pPr>
              <w:spacing w:after="0" w:line="240" w:lineRule="auto"/>
              <w:ind w:right="120"/>
              <w:jc w:val="left"/>
              <w:rPr>
                <w:color w:val="000000"/>
              </w:rPr>
            </w:pPr>
            <w:r w:rsidRPr="005B6BC3">
              <w:t>35%</w:t>
            </w:r>
          </w:p>
        </w:tc>
        <w:tc>
          <w:tcPr>
            <w:tcW w:w="1125" w:type="dxa"/>
            <w:tcBorders>
              <w:top w:val="single" w:color="CCCCCC"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262A0D27" w14:textId="77777777">
            <w:pPr>
              <w:spacing w:after="0" w:line="240" w:lineRule="auto"/>
              <w:ind w:right="120"/>
              <w:jc w:val="left"/>
              <w:rPr>
                <w:color w:val="000000"/>
              </w:rPr>
            </w:pPr>
            <w:r w:rsidRPr="005B6BC3">
              <w:t>$31,637</w:t>
            </w:r>
          </w:p>
        </w:tc>
        <w:tc>
          <w:tcPr>
            <w:tcW w:w="1125" w:type="dxa"/>
            <w:tcBorders>
              <w:top w:val="single" w:color="CCCCCC"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36476430" w14:textId="77777777">
            <w:pPr>
              <w:spacing w:after="0" w:line="240" w:lineRule="auto"/>
              <w:ind w:right="120"/>
              <w:jc w:val="left"/>
              <w:rPr>
                <w:color w:val="000000"/>
              </w:rPr>
            </w:pPr>
            <w:r w:rsidRPr="005B6BC3">
              <w:t>92%</w:t>
            </w:r>
          </w:p>
        </w:tc>
      </w:tr>
      <w:tr w:rsidR="00E81CDA" w:rsidTr="003A1587" w14:paraId="0980C94F" w14:textId="77777777">
        <w:trPr>
          <w:trHeight w:val="20"/>
          <w:jc w:val="center"/>
        </w:trPr>
        <w:tc>
          <w:tcPr>
            <w:tcW w:w="5055" w:type="dxa"/>
            <w:tcBorders>
              <w:top w:val="single" w:color="CCCCCC" w:sz="5" w:space="0"/>
              <w:left w:val="single" w:color="000000" w:sz="5" w:space="0"/>
              <w:bottom w:val="single" w:color="000000" w:sz="5" w:space="0"/>
              <w:right w:val="single" w:color="000000" w:sz="5" w:space="0"/>
            </w:tcBorders>
            <w:tcMar>
              <w:left w:w="0" w:type="dxa"/>
              <w:right w:w="0" w:type="dxa"/>
            </w:tcMar>
          </w:tcPr>
          <w:p w:rsidRPr="005B6BC3" w:rsidR="00E81CDA" w:rsidRDefault="00E81CDA" w14:paraId="5B5E6764" w14:textId="77777777">
            <w:pPr>
              <w:spacing w:after="0" w:line="240" w:lineRule="auto"/>
              <w:ind w:left="90" w:right="45"/>
              <w:jc w:val="left"/>
              <w:rPr>
                <w:color w:val="000000"/>
              </w:rPr>
            </w:pPr>
            <w:r w:rsidRPr="005B6BC3">
              <w:t>First-Line Supervisors of Mechanics, Installers, and Repairers</w:t>
            </w:r>
          </w:p>
        </w:tc>
        <w:tc>
          <w:tcPr>
            <w:tcW w:w="1125" w:type="dxa"/>
            <w:tcBorders>
              <w:top w:val="single" w:color="CCCCCC" w:sz="5" w:space="0"/>
              <w:left w:val="single" w:color="000000" w:sz="5" w:space="0"/>
              <w:bottom w:val="single" w:color="000000" w:sz="5" w:space="0"/>
              <w:right w:val="single" w:color="000000" w:sz="5" w:space="0"/>
            </w:tcBorders>
            <w:tcMar>
              <w:left w:w="0" w:type="dxa"/>
              <w:right w:w="0" w:type="dxa"/>
            </w:tcMar>
          </w:tcPr>
          <w:p w:rsidRPr="005B6BC3" w:rsidR="00E81CDA" w:rsidP="003A1587" w:rsidRDefault="00E81CDA" w14:paraId="4FB16056" w14:textId="77777777">
            <w:pPr>
              <w:spacing w:after="0" w:line="240" w:lineRule="auto"/>
              <w:ind w:right="120"/>
              <w:jc w:val="left"/>
              <w:rPr>
                <w:color w:val="000000"/>
              </w:rPr>
            </w:pPr>
            <w:r w:rsidRPr="005B6BC3">
              <w:t>11,510</w:t>
            </w:r>
          </w:p>
        </w:tc>
        <w:tc>
          <w:tcPr>
            <w:tcW w:w="1125" w:type="dxa"/>
            <w:tcBorders>
              <w:top w:val="single" w:color="CCCCCC"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62C9AA7E" w14:textId="77777777">
            <w:pPr>
              <w:spacing w:after="0" w:line="240" w:lineRule="auto"/>
              <w:ind w:right="120"/>
              <w:jc w:val="left"/>
              <w:rPr>
                <w:color w:val="000000"/>
              </w:rPr>
            </w:pPr>
            <w:r w:rsidRPr="005B6BC3">
              <w:t>30%</w:t>
            </w:r>
          </w:p>
        </w:tc>
        <w:tc>
          <w:tcPr>
            <w:tcW w:w="1125" w:type="dxa"/>
            <w:tcBorders>
              <w:top w:val="single" w:color="CCCCCC"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6D9E8926" w14:textId="77777777">
            <w:pPr>
              <w:spacing w:after="0" w:line="240" w:lineRule="auto"/>
              <w:ind w:right="120"/>
              <w:jc w:val="left"/>
              <w:rPr>
                <w:color w:val="000000"/>
              </w:rPr>
            </w:pPr>
            <w:r w:rsidRPr="005B6BC3">
              <w:t>$66,123</w:t>
            </w:r>
          </w:p>
        </w:tc>
        <w:tc>
          <w:tcPr>
            <w:tcW w:w="1125" w:type="dxa"/>
            <w:tcBorders>
              <w:top w:val="single" w:color="CCCCCC"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76006DCA" w14:textId="77777777">
            <w:pPr>
              <w:spacing w:after="0" w:line="240" w:lineRule="auto"/>
              <w:ind w:right="120"/>
              <w:jc w:val="left"/>
              <w:rPr>
                <w:color w:val="000000"/>
              </w:rPr>
            </w:pPr>
            <w:r w:rsidRPr="005B6BC3">
              <w:t>52%</w:t>
            </w:r>
          </w:p>
        </w:tc>
      </w:tr>
      <w:tr w:rsidR="00E81CDA" w:rsidTr="003A1587" w14:paraId="3791BBEF" w14:textId="77777777">
        <w:trPr>
          <w:trHeight w:val="20"/>
          <w:jc w:val="center"/>
        </w:trPr>
        <w:tc>
          <w:tcPr>
            <w:tcW w:w="5055" w:type="dxa"/>
            <w:tcBorders>
              <w:top w:val="single" w:color="CCCCCC" w:sz="5" w:space="0"/>
              <w:left w:val="single" w:color="000000" w:sz="5" w:space="0"/>
              <w:bottom w:val="single" w:color="000000" w:sz="5" w:space="0"/>
              <w:right w:val="single" w:color="000000" w:sz="5" w:space="0"/>
            </w:tcBorders>
            <w:tcMar>
              <w:left w:w="0" w:type="dxa"/>
              <w:right w:w="0" w:type="dxa"/>
            </w:tcMar>
          </w:tcPr>
          <w:p w:rsidRPr="005B6BC3" w:rsidR="00E81CDA" w:rsidRDefault="00E81CDA" w14:paraId="2CB796F8" w14:textId="77777777">
            <w:pPr>
              <w:spacing w:after="0" w:line="240" w:lineRule="auto"/>
              <w:ind w:left="90" w:right="45"/>
              <w:jc w:val="left"/>
              <w:rPr>
                <w:color w:val="000000"/>
              </w:rPr>
            </w:pPr>
            <w:r w:rsidRPr="005B6BC3">
              <w:t>Telecommunications Equipment Installers and Repairers, Except Line Installers</w:t>
            </w:r>
          </w:p>
        </w:tc>
        <w:tc>
          <w:tcPr>
            <w:tcW w:w="1125" w:type="dxa"/>
            <w:tcBorders>
              <w:top w:val="single" w:color="CCCCCC" w:sz="5" w:space="0"/>
              <w:left w:val="single" w:color="000000" w:sz="5" w:space="0"/>
              <w:bottom w:val="single" w:color="000000" w:sz="5" w:space="0"/>
              <w:right w:val="single" w:color="000000" w:sz="5" w:space="0"/>
            </w:tcBorders>
            <w:tcMar>
              <w:left w:w="0" w:type="dxa"/>
              <w:right w:w="0" w:type="dxa"/>
            </w:tcMar>
          </w:tcPr>
          <w:p w:rsidRPr="005B6BC3" w:rsidR="00E81CDA" w:rsidP="003A1587" w:rsidRDefault="00E81CDA" w14:paraId="1A277592" w14:textId="77777777">
            <w:pPr>
              <w:spacing w:after="0" w:line="240" w:lineRule="auto"/>
              <w:ind w:right="120"/>
              <w:jc w:val="left"/>
              <w:rPr>
                <w:color w:val="000000"/>
              </w:rPr>
            </w:pPr>
            <w:r w:rsidRPr="005B6BC3">
              <w:t>3,030</w:t>
            </w:r>
          </w:p>
        </w:tc>
        <w:tc>
          <w:tcPr>
            <w:tcW w:w="1125" w:type="dxa"/>
            <w:tcBorders>
              <w:top w:val="single" w:color="CCCCCC"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76D634D5" w14:textId="77777777">
            <w:pPr>
              <w:spacing w:after="0" w:line="240" w:lineRule="auto"/>
              <w:ind w:right="120"/>
              <w:jc w:val="left"/>
              <w:rPr>
                <w:color w:val="000000"/>
              </w:rPr>
            </w:pPr>
            <w:r w:rsidRPr="005B6BC3">
              <w:t>-12%</w:t>
            </w:r>
          </w:p>
        </w:tc>
        <w:tc>
          <w:tcPr>
            <w:tcW w:w="1125" w:type="dxa"/>
            <w:tcBorders>
              <w:top w:val="single" w:color="CCCCCC"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12B5C492" w14:textId="77777777">
            <w:pPr>
              <w:spacing w:after="0" w:line="240" w:lineRule="auto"/>
              <w:ind w:right="120"/>
              <w:jc w:val="left"/>
              <w:rPr>
                <w:color w:val="000000"/>
              </w:rPr>
            </w:pPr>
            <w:r w:rsidRPr="005B6BC3">
              <w:t>$58,594</w:t>
            </w:r>
          </w:p>
        </w:tc>
        <w:tc>
          <w:tcPr>
            <w:tcW w:w="1125" w:type="dxa"/>
            <w:tcBorders>
              <w:top w:val="single" w:color="CCCCCC"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6242CBCF" w14:textId="77777777">
            <w:pPr>
              <w:spacing w:after="0" w:line="240" w:lineRule="auto"/>
              <w:ind w:right="120"/>
              <w:jc w:val="left"/>
              <w:rPr>
                <w:color w:val="000000"/>
              </w:rPr>
            </w:pPr>
            <w:r w:rsidRPr="005B6BC3">
              <w:t>61%</w:t>
            </w:r>
          </w:p>
        </w:tc>
      </w:tr>
      <w:tr w:rsidR="00E81CDA" w:rsidTr="003A1587" w14:paraId="40437EBE" w14:textId="77777777">
        <w:trPr>
          <w:trHeight w:val="20"/>
          <w:jc w:val="center"/>
        </w:trPr>
        <w:tc>
          <w:tcPr>
            <w:tcW w:w="5055" w:type="dxa"/>
            <w:tcBorders>
              <w:top w:val="single" w:color="CCCCCC" w:sz="5" w:space="0"/>
              <w:left w:val="single" w:color="000000" w:sz="5" w:space="0"/>
              <w:bottom w:val="single" w:color="000000" w:sz="5" w:space="0"/>
              <w:right w:val="single" w:color="000000" w:sz="5" w:space="0"/>
            </w:tcBorders>
            <w:tcMar>
              <w:left w:w="0" w:type="dxa"/>
              <w:right w:w="0" w:type="dxa"/>
            </w:tcMar>
          </w:tcPr>
          <w:p w:rsidRPr="005B6BC3" w:rsidR="00E81CDA" w:rsidRDefault="00E81CDA" w14:paraId="6CE3A3B4" w14:textId="77777777">
            <w:pPr>
              <w:spacing w:after="0" w:line="240" w:lineRule="auto"/>
              <w:ind w:left="90" w:right="45"/>
              <w:jc w:val="left"/>
              <w:rPr>
                <w:color w:val="000000"/>
              </w:rPr>
            </w:pPr>
            <w:r w:rsidRPr="005B6BC3">
              <w:t>Electrical Power-Line Installers and Repairers</w:t>
            </w:r>
          </w:p>
        </w:tc>
        <w:tc>
          <w:tcPr>
            <w:tcW w:w="1125" w:type="dxa"/>
            <w:tcBorders>
              <w:top w:val="single" w:color="CCCCCC" w:sz="5" w:space="0"/>
              <w:left w:val="single" w:color="000000" w:sz="5" w:space="0"/>
              <w:bottom w:val="single" w:color="000000" w:sz="5" w:space="0"/>
              <w:right w:val="single" w:color="000000" w:sz="5" w:space="0"/>
            </w:tcBorders>
            <w:tcMar>
              <w:left w:w="0" w:type="dxa"/>
              <w:right w:w="0" w:type="dxa"/>
            </w:tcMar>
          </w:tcPr>
          <w:p w:rsidRPr="005B6BC3" w:rsidR="00E81CDA" w:rsidP="003A1587" w:rsidRDefault="00E81CDA" w14:paraId="740C0F19" w14:textId="77777777">
            <w:pPr>
              <w:spacing w:after="0" w:line="240" w:lineRule="auto"/>
              <w:ind w:right="120"/>
              <w:jc w:val="left"/>
              <w:rPr>
                <w:color w:val="000000"/>
              </w:rPr>
            </w:pPr>
            <w:r w:rsidRPr="005B6BC3">
              <w:t>3,190</w:t>
            </w:r>
          </w:p>
        </w:tc>
        <w:tc>
          <w:tcPr>
            <w:tcW w:w="1125" w:type="dxa"/>
            <w:tcBorders>
              <w:top w:val="single" w:color="CCCCCC"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0DAC22B4" w14:textId="77777777">
            <w:pPr>
              <w:spacing w:after="0" w:line="240" w:lineRule="auto"/>
              <w:ind w:right="120"/>
              <w:jc w:val="left"/>
              <w:rPr>
                <w:color w:val="000000"/>
              </w:rPr>
            </w:pPr>
            <w:r w:rsidRPr="005B6BC3">
              <w:t>-3%</w:t>
            </w:r>
          </w:p>
        </w:tc>
        <w:tc>
          <w:tcPr>
            <w:tcW w:w="1125" w:type="dxa"/>
            <w:tcBorders>
              <w:top w:val="single" w:color="CCCCCC"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1FBC072B" w14:textId="77777777">
            <w:pPr>
              <w:spacing w:after="0" w:line="240" w:lineRule="auto"/>
              <w:ind w:right="120"/>
              <w:jc w:val="left"/>
              <w:rPr>
                <w:color w:val="000000"/>
              </w:rPr>
            </w:pPr>
            <w:r w:rsidRPr="005B6BC3">
              <w:t>$82,659</w:t>
            </w:r>
          </w:p>
        </w:tc>
        <w:tc>
          <w:tcPr>
            <w:tcW w:w="1125" w:type="dxa"/>
            <w:tcBorders>
              <w:top w:val="single" w:color="CCCCCC"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0B6BC3CE" w14:textId="77777777">
            <w:pPr>
              <w:spacing w:after="0" w:line="240" w:lineRule="auto"/>
              <w:ind w:right="120"/>
              <w:jc w:val="left"/>
              <w:rPr>
                <w:color w:val="000000"/>
              </w:rPr>
            </w:pPr>
            <w:r w:rsidRPr="005B6BC3">
              <w:t>43%</w:t>
            </w:r>
          </w:p>
        </w:tc>
      </w:tr>
      <w:tr w:rsidR="00E81CDA" w:rsidTr="003A1587" w14:paraId="330A0D41" w14:textId="77777777">
        <w:trPr>
          <w:trHeight w:val="20"/>
          <w:jc w:val="center"/>
        </w:trPr>
        <w:tc>
          <w:tcPr>
            <w:tcW w:w="5055" w:type="dxa"/>
            <w:tcBorders>
              <w:top w:val="single" w:color="CCCCCC" w:sz="5" w:space="0"/>
              <w:left w:val="single" w:color="000000" w:sz="5" w:space="0"/>
              <w:bottom w:val="single" w:color="000000" w:sz="5" w:space="0"/>
              <w:right w:val="single" w:color="000000" w:sz="5" w:space="0"/>
            </w:tcBorders>
            <w:tcMar>
              <w:left w:w="0" w:type="dxa"/>
              <w:right w:w="0" w:type="dxa"/>
            </w:tcMar>
          </w:tcPr>
          <w:p w:rsidRPr="005B6BC3" w:rsidR="00E81CDA" w:rsidRDefault="00E81CDA" w14:paraId="78620EBE" w14:textId="77777777">
            <w:pPr>
              <w:spacing w:after="0" w:line="240" w:lineRule="auto"/>
              <w:ind w:left="90" w:right="45"/>
              <w:jc w:val="left"/>
              <w:rPr>
                <w:color w:val="000000"/>
              </w:rPr>
            </w:pPr>
            <w:r w:rsidRPr="005B6BC3">
              <w:t>Telecommunications Line Installers and Repairers</w:t>
            </w:r>
          </w:p>
        </w:tc>
        <w:tc>
          <w:tcPr>
            <w:tcW w:w="1125" w:type="dxa"/>
            <w:tcBorders>
              <w:top w:val="single" w:color="CCCCCC" w:sz="5" w:space="0"/>
              <w:left w:val="single" w:color="000000" w:sz="5" w:space="0"/>
              <w:bottom w:val="single" w:color="000000" w:sz="5" w:space="0"/>
              <w:right w:val="single" w:color="000000" w:sz="5" w:space="0"/>
            </w:tcBorders>
            <w:tcMar>
              <w:left w:w="0" w:type="dxa"/>
              <w:right w:w="0" w:type="dxa"/>
            </w:tcMar>
          </w:tcPr>
          <w:p w:rsidRPr="005B6BC3" w:rsidR="00E81CDA" w:rsidP="003A1587" w:rsidRDefault="00E81CDA" w14:paraId="64DC996A" w14:textId="77777777">
            <w:pPr>
              <w:spacing w:after="0" w:line="240" w:lineRule="auto"/>
              <w:ind w:right="120"/>
              <w:jc w:val="left"/>
              <w:rPr>
                <w:color w:val="000000"/>
              </w:rPr>
            </w:pPr>
            <w:r w:rsidRPr="005B6BC3">
              <w:t>1,802</w:t>
            </w:r>
          </w:p>
        </w:tc>
        <w:tc>
          <w:tcPr>
            <w:tcW w:w="1125" w:type="dxa"/>
            <w:tcBorders>
              <w:top w:val="single" w:color="CCCCCC"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7DF6643A" w14:textId="77777777">
            <w:pPr>
              <w:spacing w:after="0" w:line="240" w:lineRule="auto"/>
              <w:ind w:right="120"/>
              <w:jc w:val="left"/>
              <w:rPr>
                <w:color w:val="000000"/>
              </w:rPr>
            </w:pPr>
            <w:r w:rsidRPr="005B6BC3">
              <w:t>23%</w:t>
            </w:r>
          </w:p>
        </w:tc>
        <w:tc>
          <w:tcPr>
            <w:tcW w:w="1125" w:type="dxa"/>
            <w:tcBorders>
              <w:top w:val="single" w:color="CCCCCC"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706FF469" w14:textId="77777777">
            <w:pPr>
              <w:spacing w:after="0" w:line="240" w:lineRule="auto"/>
              <w:ind w:right="120"/>
              <w:jc w:val="left"/>
              <w:rPr>
                <w:color w:val="000000"/>
              </w:rPr>
            </w:pPr>
            <w:r w:rsidRPr="005B6BC3">
              <w:t>$47,778</w:t>
            </w:r>
          </w:p>
        </w:tc>
        <w:tc>
          <w:tcPr>
            <w:tcW w:w="1125" w:type="dxa"/>
            <w:tcBorders>
              <w:top w:val="single" w:color="CCCCCC" w:sz="5" w:space="0"/>
              <w:left w:val="single" w:color="CCCCCC" w:sz="5" w:space="0"/>
              <w:bottom w:val="single" w:color="000000" w:sz="5" w:space="0"/>
              <w:right w:val="single" w:color="000000" w:sz="5" w:space="0"/>
            </w:tcBorders>
            <w:tcMar>
              <w:left w:w="0" w:type="dxa"/>
              <w:right w:w="0" w:type="dxa"/>
            </w:tcMar>
          </w:tcPr>
          <w:p w:rsidRPr="005B6BC3" w:rsidR="00E81CDA" w:rsidP="003A1587" w:rsidRDefault="00E81CDA" w14:paraId="12005D5A" w14:textId="77777777">
            <w:pPr>
              <w:spacing w:after="0" w:line="240" w:lineRule="auto"/>
              <w:ind w:right="120"/>
              <w:jc w:val="left"/>
              <w:rPr>
                <w:color w:val="000000"/>
              </w:rPr>
            </w:pPr>
            <w:r w:rsidRPr="005B6BC3">
              <w:t>63%</w:t>
            </w:r>
          </w:p>
        </w:tc>
      </w:tr>
    </w:tbl>
    <w:p w:rsidR="00E81CDA" w:rsidP="00E81CDA" w:rsidRDefault="00E81CDA" w14:paraId="23AB3C00" w14:textId="77777777">
      <w:pPr>
        <w:keepNext/>
        <w:keepLines/>
        <w:rPr>
          <w:i/>
          <w:sz w:val="20"/>
          <w:szCs w:val="20"/>
          <w:highlight w:val="yellow"/>
        </w:rPr>
      </w:pPr>
      <w:r>
        <w:rPr>
          <w:i/>
          <w:sz w:val="20"/>
          <w:szCs w:val="20"/>
        </w:rPr>
        <w:t xml:space="preserve">Source: </w:t>
      </w:r>
      <w:proofErr w:type="spellStart"/>
      <w:r>
        <w:rPr>
          <w:i/>
          <w:sz w:val="20"/>
          <w:szCs w:val="20"/>
        </w:rPr>
        <w:t>Lightcast</w:t>
      </w:r>
      <w:proofErr w:type="spellEnd"/>
      <w:r>
        <w:rPr>
          <w:i/>
          <w:sz w:val="20"/>
          <w:szCs w:val="20"/>
        </w:rPr>
        <w:t xml:space="preserve"> </w:t>
      </w:r>
      <w:proofErr w:type="spellStart"/>
      <w:r>
        <w:rPr>
          <w:i/>
          <w:sz w:val="20"/>
          <w:szCs w:val="20"/>
        </w:rPr>
        <w:t>Datarun</w:t>
      </w:r>
      <w:proofErr w:type="spellEnd"/>
      <w:r>
        <w:rPr>
          <w:i/>
          <w:sz w:val="20"/>
          <w:szCs w:val="20"/>
        </w:rPr>
        <w:t xml:space="preserve"> 2023.3</w:t>
      </w:r>
    </w:p>
    <w:p w:rsidR="00E81CDA" w:rsidP="00E81CDA" w:rsidRDefault="00E81CDA" w14:paraId="7B29871D" w14:textId="69B12335">
      <w:r>
        <w:t>While most</w:t>
      </w:r>
      <w:r>
        <w:rPr>
          <w:highlight w:val="white"/>
        </w:rPr>
        <w:t xml:space="preserve"> of these occupations have seen growth from 2018 to 2022, several occupations have contracted</w:t>
      </w:r>
      <w:r>
        <w:t xml:space="preserve"> in numbers, such as </w:t>
      </w:r>
      <w:r>
        <w:rPr>
          <w:i/>
        </w:rPr>
        <w:t>Telecommunications Equipment Installers and Repairers</w:t>
      </w:r>
      <w:r>
        <w:t>. This could be due to retirements, technology changes rendering some jobs obsolete, reclassification of occupations, contractions in the industry, or wages that are lower than national averages, causing outward migration. While some workers may be enticed back out of retirement or brought back into the industry despite a previous contraction, a large number are likely out of the sector for good.</w:t>
      </w:r>
    </w:p>
    <w:p w:rsidR="00E81CDA" w:rsidP="00E81CDA" w:rsidRDefault="00E81CDA" w14:paraId="03316FCE" w14:textId="439880E1">
      <w:r>
        <w:t>Turnover rates also give context for how often employees in each occupation are moving to different employers. High rates of turnover in certain categories should not be a cause for alarm, but instead generally indicate occupations where contract work is most common, such as seasonal work in construction and other occupations related to broadband deployment. To some extent, turnover also illustrates there are opportunities for employment elsewhere with a similar skillset and is a sign of a strong job market. However, the intensity and physical demands of broadband construction jobs are unavoidable, and so higher turnover rates are to some extent inevitable.</w:t>
      </w:r>
    </w:p>
    <w:p w:rsidR="00E81CDA" w:rsidP="006F78D2" w:rsidRDefault="00E81CDA" w14:paraId="1A9AE683" w14:textId="77777777">
      <w:pPr>
        <w:pStyle w:val="Heading3"/>
        <w:numPr>
          <w:ilvl w:val="2"/>
          <w:numId w:val="23"/>
        </w:numPr>
      </w:pPr>
      <w:bookmarkStart w:name="_heading=h.usnvhlfbf3kh" w:colFirst="0" w:colLast="0" w:id="184"/>
      <w:bookmarkStart w:name="_Toc150852660" w:id="185"/>
      <w:bookmarkEnd w:id="184"/>
      <w:r>
        <w:t>Workforce qualification requirements</w:t>
      </w:r>
      <w:bookmarkEnd w:id="185"/>
      <w:r>
        <w:t xml:space="preserve"> </w:t>
      </w:r>
    </w:p>
    <w:p w:rsidR="00E81CDA" w:rsidP="00E81CDA" w:rsidRDefault="00E81CDA" w14:paraId="4389FDAB" w14:textId="77777777">
      <w:r>
        <w:t xml:space="preserve">The following chart outlines qualification requirements for the 12 key broadband deployment occupations, along with typical education and work experience requirements, and typical amount of on-the-job training required to be proficient. </w:t>
      </w:r>
    </w:p>
    <w:p w:rsidR="00E81CDA" w:rsidP="00E81CDA" w:rsidRDefault="00E81CDA" w14:paraId="1FD55DF1" w14:textId="6185088A">
      <w:pPr>
        <w:pStyle w:val="Caption"/>
      </w:pPr>
      <w:bookmarkStart w:name="_heading=h.26in1rg" w:colFirst="0" w:colLast="0" w:id="186"/>
      <w:bookmarkStart w:name="_Toc150852787" w:id="187"/>
      <w:bookmarkEnd w:id="186"/>
      <w:r>
        <w:t xml:space="preserve">Table </w:t>
      </w:r>
      <w:r w:rsidR="00597437">
        <w:fldChar w:fldCharType="begin"/>
      </w:r>
      <w:r w:rsidR="00597437">
        <w:instrText xml:space="preserve"> SEQ Table \* ARABIC </w:instrText>
      </w:r>
      <w:r w:rsidR="00597437">
        <w:fldChar w:fldCharType="separate"/>
      </w:r>
      <w:r w:rsidR="00444AF1">
        <w:rPr>
          <w:noProof/>
        </w:rPr>
        <w:t>12</w:t>
      </w:r>
      <w:r w:rsidR="00597437">
        <w:rPr>
          <w:noProof/>
        </w:rPr>
        <w:fldChar w:fldCharType="end"/>
      </w:r>
      <w:r>
        <w:t xml:space="preserve">: </w:t>
      </w:r>
      <w:r w:rsidRPr="00695098">
        <w:t>Work experience of occupations impacted by broadband investment</w:t>
      </w:r>
      <w:bookmarkEnd w:id="187"/>
    </w:p>
    <w:tbl>
      <w:tblPr>
        <w:tblW w:w="999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600" w:firstRow="0" w:lastRow="0" w:firstColumn="0" w:lastColumn="0" w:noHBand="1" w:noVBand="1"/>
      </w:tblPr>
      <w:tblGrid>
        <w:gridCol w:w="4246"/>
        <w:gridCol w:w="1915"/>
        <w:gridCol w:w="1915"/>
        <w:gridCol w:w="1915"/>
      </w:tblGrid>
      <w:tr w:rsidR="00E81CDA" w:rsidTr="00B76CDA" w14:paraId="5105B804" w14:textId="77777777">
        <w:trPr>
          <w:trHeight w:val="576"/>
          <w:tblHeader/>
          <w:jc w:val="center"/>
        </w:trPr>
        <w:tc>
          <w:tcPr>
            <w:tcW w:w="4246" w:type="dxa"/>
            <w:tcBorders>
              <w:left w:val="single" w:color="000000" w:sz="6" w:space="0"/>
              <w:bottom w:val="single" w:color="000000" w:sz="6" w:space="0"/>
              <w:right w:val="single" w:color="FFFFFF" w:themeColor="background1" w:sz="6" w:space="0"/>
            </w:tcBorders>
            <w:shd w:val="clear" w:color="auto" w:fill="0A2458"/>
            <w:tcMar>
              <w:top w:w="0" w:type="dxa"/>
              <w:left w:w="40" w:type="dxa"/>
              <w:bottom w:w="0" w:type="dxa"/>
              <w:right w:w="40" w:type="dxa"/>
            </w:tcMar>
          </w:tcPr>
          <w:p w:rsidRPr="00F2541A" w:rsidR="00E81CDA" w:rsidRDefault="00E81CDA" w14:paraId="5781B1B4" w14:textId="77777777">
            <w:pPr>
              <w:keepNext/>
              <w:keepLines/>
              <w:spacing w:after="0" w:line="240" w:lineRule="auto"/>
              <w:ind w:left="90"/>
              <w:jc w:val="left"/>
            </w:pPr>
            <w:r w:rsidRPr="00F2541A">
              <w:t>Occupation</w:t>
            </w:r>
          </w:p>
        </w:tc>
        <w:tc>
          <w:tcPr>
            <w:tcW w:w="1915" w:type="dxa"/>
            <w:tcBorders>
              <w:left w:val="single" w:color="FFFFFF" w:themeColor="background1" w:sz="6" w:space="0"/>
              <w:bottom w:val="single" w:color="000000" w:sz="6" w:space="0"/>
              <w:right w:val="single" w:color="FFFFFF" w:themeColor="background1" w:sz="6" w:space="0"/>
            </w:tcBorders>
            <w:shd w:val="clear" w:color="auto" w:fill="0A2458"/>
            <w:tcMar>
              <w:top w:w="0" w:type="dxa"/>
              <w:left w:w="40" w:type="dxa"/>
              <w:bottom w:w="0" w:type="dxa"/>
              <w:right w:w="40" w:type="dxa"/>
            </w:tcMar>
          </w:tcPr>
          <w:p w:rsidRPr="00F2541A" w:rsidR="00E81CDA" w:rsidP="004B46FE" w:rsidRDefault="00E81CDA" w14:paraId="258B275A" w14:textId="261B55CC">
            <w:pPr>
              <w:keepNext/>
              <w:keepLines/>
              <w:spacing w:after="0" w:line="240" w:lineRule="auto"/>
              <w:jc w:val="left"/>
            </w:pPr>
            <w:r w:rsidRPr="00F2541A">
              <w:rPr>
                <w:bCs/>
              </w:rPr>
              <w:t xml:space="preserve">Typical </w:t>
            </w:r>
            <w:r w:rsidR="00F2541A">
              <w:rPr>
                <w:bCs/>
              </w:rPr>
              <w:t>e</w:t>
            </w:r>
            <w:r w:rsidRPr="00F2541A">
              <w:rPr>
                <w:bCs/>
              </w:rPr>
              <w:t>ntry-</w:t>
            </w:r>
            <w:r w:rsidR="00F2541A">
              <w:rPr>
                <w:bCs/>
              </w:rPr>
              <w:t>l</w:t>
            </w:r>
            <w:r w:rsidRPr="00F2541A">
              <w:rPr>
                <w:bCs/>
              </w:rPr>
              <w:t xml:space="preserve">evel </w:t>
            </w:r>
            <w:r w:rsidR="00F2541A">
              <w:rPr>
                <w:bCs/>
              </w:rPr>
              <w:t>e</w:t>
            </w:r>
            <w:r w:rsidRPr="00F2541A">
              <w:rPr>
                <w:bCs/>
              </w:rPr>
              <w:t>ducation</w:t>
            </w:r>
          </w:p>
        </w:tc>
        <w:tc>
          <w:tcPr>
            <w:tcW w:w="1915" w:type="dxa"/>
            <w:tcBorders>
              <w:left w:val="single" w:color="FFFFFF" w:themeColor="background1" w:sz="6" w:space="0"/>
              <w:bottom w:val="single" w:color="000000" w:sz="6" w:space="0"/>
              <w:right w:val="single" w:color="FFFFFF" w:themeColor="background1" w:sz="6" w:space="0"/>
            </w:tcBorders>
            <w:shd w:val="clear" w:color="auto" w:fill="0A2458"/>
            <w:tcMar>
              <w:top w:w="0" w:type="dxa"/>
              <w:left w:w="40" w:type="dxa"/>
              <w:bottom w:w="0" w:type="dxa"/>
              <w:right w:w="40" w:type="dxa"/>
            </w:tcMar>
          </w:tcPr>
          <w:p w:rsidRPr="00F2541A" w:rsidR="00E81CDA" w:rsidP="004B46FE" w:rsidRDefault="00E81CDA" w14:paraId="66715CD1" w14:textId="42DD316B">
            <w:pPr>
              <w:keepNext/>
              <w:keepLines/>
              <w:spacing w:after="0" w:line="240" w:lineRule="auto"/>
              <w:jc w:val="left"/>
            </w:pPr>
            <w:r w:rsidRPr="00F2541A">
              <w:rPr>
                <w:bCs/>
              </w:rPr>
              <w:t xml:space="preserve">Work </w:t>
            </w:r>
            <w:r w:rsidR="000D7E4A">
              <w:rPr>
                <w:bCs/>
              </w:rPr>
              <w:t>e</w:t>
            </w:r>
            <w:r w:rsidRPr="00F2541A">
              <w:rPr>
                <w:bCs/>
              </w:rPr>
              <w:t xml:space="preserve">xperience </w:t>
            </w:r>
            <w:r w:rsidR="000D7E4A">
              <w:rPr>
                <w:bCs/>
              </w:rPr>
              <w:t>r</w:t>
            </w:r>
            <w:r w:rsidRPr="00F2541A">
              <w:rPr>
                <w:bCs/>
              </w:rPr>
              <w:t>equired</w:t>
            </w:r>
          </w:p>
        </w:tc>
        <w:tc>
          <w:tcPr>
            <w:tcW w:w="1915" w:type="dxa"/>
            <w:tcBorders>
              <w:left w:val="single" w:color="FFFFFF" w:themeColor="background1" w:sz="6" w:space="0"/>
              <w:bottom w:val="single" w:color="000000" w:sz="6" w:space="0"/>
              <w:right w:val="single" w:color="000000" w:sz="6" w:space="0"/>
            </w:tcBorders>
            <w:shd w:val="clear" w:color="auto" w:fill="0A2458"/>
            <w:tcMar>
              <w:top w:w="0" w:type="dxa"/>
              <w:left w:w="40" w:type="dxa"/>
              <w:bottom w:w="0" w:type="dxa"/>
              <w:right w:w="40" w:type="dxa"/>
            </w:tcMar>
          </w:tcPr>
          <w:p w:rsidRPr="00F2541A" w:rsidR="00E81CDA" w:rsidP="004B46FE" w:rsidRDefault="00E81CDA" w14:paraId="2602B5D0" w14:textId="00C86E6A">
            <w:pPr>
              <w:keepNext/>
              <w:keepLines/>
              <w:spacing w:after="0" w:line="240" w:lineRule="auto"/>
              <w:jc w:val="left"/>
            </w:pPr>
            <w:r w:rsidRPr="00F2541A">
              <w:rPr>
                <w:bCs/>
              </w:rPr>
              <w:t>On-</w:t>
            </w:r>
            <w:r w:rsidR="000D7E4A">
              <w:rPr>
                <w:bCs/>
              </w:rPr>
              <w:t>t</w:t>
            </w:r>
            <w:r w:rsidRPr="00F2541A">
              <w:rPr>
                <w:bCs/>
              </w:rPr>
              <w:t>he-</w:t>
            </w:r>
            <w:r w:rsidR="000D7E4A">
              <w:rPr>
                <w:bCs/>
              </w:rPr>
              <w:t>j</w:t>
            </w:r>
            <w:r w:rsidRPr="00F2541A">
              <w:rPr>
                <w:bCs/>
              </w:rPr>
              <w:t xml:space="preserve">ob </w:t>
            </w:r>
            <w:r w:rsidR="000D7E4A">
              <w:rPr>
                <w:bCs/>
              </w:rPr>
              <w:t>t</w:t>
            </w:r>
            <w:r w:rsidRPr="00F2541A">
              <w:rPr>
                <w:bCs/>
              </w:rPr>
              <w:t xml:space="preserve">raining </w:t>
            </w:r>
            <w:r w:rsidR="000D7E4A">
              <w:rPr>
                <w:bCs/>
              </w:rPr>
              <w:t>r</w:t>
            </w:r>
            <w:r w:rsidRPr="00F2541A">
              <w:rPr>
                <w:bCs/>
              </w:rPr>
              <w:t>equired</w:t>
            </w:r>
          </w:p>
        </w:tc>
      </w:tr>
      <w:tr w:rsidR="00E81CDA" w:rsidTr="00B76CDA" w14:paraId="51B81853" w14:textId="77777777">
        <w:trPr>
          <w:trHeight w:val="20"/>
          <w:jc w:val="center"/>
        </w:trPr>
        <w:tc>
          <w:tcPr>
            <w:tcW w:w="4246" w:type="dxa"/>
            <w:tcBorders>
              <w:top w:val="single" w:color="000000" w:sz="5" w:space="0"/>
              <w:left w:val="single" w:color="000000" w:sz="5" w:space="0"/>
              <w:bottom w:val="single" w:color="000000" w:sz="5" w:space="0"/>
              <w:right w:val="single" w:color="000000" w:sz="5" w:space="0"/>
            </w:tcBorders>
            <w:tcMar>
              <w:left w:w="0" w:type="dxa"/>
              <w:right w:w="0" w:type="dxa"/>
            </w:tcMar>
          </w:tcPr>
          <w:p w:rsidRPr="00F2541A" w:rsidR="00E81CDA" w:rsidRDefault="00E81CDA" w14:paraId="637147EB" w14:textId="77777777">
            <w:pPr>
              <w:spacing w:after="0" w:line="240" w:lineRule="auto"/>
              <w:ind w:left="90"/>
              <w:jc w:val="left"/>
              <w:rPr>
                <w:color w:val="000000"/>
              </w:rPr>
            </w:pPr>
            <w:r w:rsidRPr="00F2541A">
              <w:t>Project Management Specialists</w:t>
            </w:r>
          </w:p>
        </w:tc>
        <w:tc>
          <w:tcPr>
            <w:tcW w:w="1915" w:type="dxa"/>
            <w:tcBorders>
              <w:top w:val="single" w:color="000000" w:sz="5" w:space="0"/>
              <w:left w:val="single" w:color="000000" w:sz="5" w:space="0"/>
              <w:bottom w:val="single" w:color="000000" w:sz="5" w:space="0"/>
              <w:right w:val="single" w:color="000000" w:sz="5" w:space="0"/>
            </w:tcBorders>
            <w:tcMar>
              <w:left w:w="0" w:type="dxa"/>
              <w:right w:w="0" w:type="dxa"/>
            </w:tcMar>
          </w:tcPr>
          <w:p w:rsidRPr="00F2541A" w:rsidR="00E81CDA" w:rsidP="00F2541A" w:rsidRDefault="00E81CDA" w14:paraId="0BE0F3BE" w14:textId="77777777">
            <w:pPr>
              <w:spacing w:after="0" w:line="240" w:lineRule="auto"/>
              <w:ind w:right="15"/>
              <w:jc w:val="left"/>
              <w:rPr>
                <w:color w:val="000000"/>
              </w:rPr>
            </w:pPr>
            <w:r w:rsidRPr="00F2541A">
              <w:t>Bachelor's degree</w:t>
            </w:r>
          </w:p>
        </w:tc>
        <w:tc>
          <w:tcPr>
            <w:tcW w:w="1915" w:type="dxa"/>
            <w:tcBorders>
              <w:top w:val="single" w:color="000000" w:sz="5" w:space="0"/>
              <w:left w:val="single" w:color="CCCCCC" w:sz="5" w:space="0"/>
              <w:bottom w:val="single" w:color="000000" w:sz="5" w:space="0"/>
              <w:right w:val="single" w:color="000000" w:sz="5" w:space="0"/>
            </w:tcBorders>
            <w:tcMar>
              <w:left w:w="0" w:type="dxa"/>
              <w:right w:w="0" w:type="dxa"/>
            </w:tcMar>
          </w:tcPr>
          <w:p w:rsidRPr="00F2541A" w:rsidR="00E81CDA" w:rsidP="00F2541A" w:rsidRDefault="00E81CDA" w14:paraId="4FF36CAE" w14:textId="77777777">
            <w:pPr>
              <w:spacing w:after="0" w:line="240" w:lineRule="auto"/>
              <w:ind w:right="15"/>
              <w:jc w:val="left"/>
              <w:rPr>
                <w:color w:val="000000"/>
              </w:rPr>
            </w:pPr>
            <w:r w:rsidRPr="00F2541A">
              <w:t>None</w:t>
            </w:r>
          </w:p>
        </w:tc>
        <w:tc>
          <w:tcPr>
            <w:tcW w:w="1915" w:type="dxa"/>
            <w:tcBorders>
              <w:top w:val="single" w:color="000000" w:sz="5" w:space="0"/>
              <w:left w:val="single" w:color="CCCCCC" w:sz="5" w:space="0"/>
              <w:bottom w:val="single" w:color="000000" w:sz="5" w:space="0"/>
              <w:right w:val="single" w:color="000000" w:sz="5" w:space="0"/>
            </w:tcBorders>
            <w:tcMar>
              <w:left w:w="0" w:type="dxa"/>
              <w:right w:w="0" w:type="dxa"/>
            </w:tcMar>
          </w:tcPr>
          <w:p w:rsidRPr="00F2541A" w:rsidR="00E81CDA" w:rsidP="00F2541A" w:rsidRDefault="00E81CDA" w14:paraId="489D32F1" w14:textId="77777777">
            <w:pPr>
              <w:spacing w:after="0" w:line="240" w:lineRule="auto"/>
              <w:ind w:right="15"/>
              <w:jc w:val="left"/>
              <w:rPr>
                <w:color w:val="000000"/>
              </w:rPr>
            </w:pPr>
            <w:r w:rsidRPr="00F2541A">
              <w:t>None</w:t>
            </w:r>
          </w:p>
        </w:tc>
      </w:tr>
      <w:tr w:rsidR="00E81CDA" w:rsidTr="00B76CDA" w14:paraId="1AFAAF0E" w14:textId="77777777">
        <w:trPr>
          <w:trHeight w:val="20"/>
          <w:jc w:val="center"/>
        </w:trPr>
        <w:tc>
          <w:tcPr>
            <w:tcW w:w="4246" w:type="dxa"/>
            <w:tcBorders>
              <w:top w:val="single" w:color="CCCCCC" w:sz="5" w:space="0"/>
              <w:left w:val="single" w:color="000000" w:sz="5" w:space="0"/>
              <w:bottom w:val="single" w:color="000000" w:sz="5" w:space="0"/>
              <w:right w:val="single" w:color="000000" w:sz="5" w:space="0"/>
            </w:tcBorders>
            <w:tcMar>
              <w:left w:w="0" w:type="dxa"/>
              <w:right w:w="0" w:type="dxa"/>
            </w:tcMar>
          </w:tcPr>
          <w:p w:rsidRPr="00F2541A" w:rsidR="00E81CDA" w:rsidRDefault="00E81CDA" w14:paraId="1E89FAA7" w14:textId="77777777">
            <w:pPr>
              <w:spacing w:after="0" w:line="240" w:lineRule="auto"/>
              <w:ind w:left="90"/>
              <w:jc w:val="left"/>
              <w:rPr>
                <w:color w:val="000000"/>
              </w:rPr>
            </w:pPr>
            <w:r w:rsidRPr="00F2541A">
              <w:t>Business Operations Specialists, All Other</w:t>
            </w:r>
          </w:p>
        </w:tc>
        <w:tc>
          <w:tcPr>
            <w:tcW w:w="1915" w:type="dxa"/>
            <w:tcBorders>
              <w:top w:val="single" w:color="CCCCCC" w:sz="5" w:space="0"/>
              <w:left w:val="single" w:color="000000" w:sz="5" w:space="0"/>
              <w:bottom w:val="single" w:color="000000" w:sz="5" w:space="0"/>
              <w:right w:val="single" w:color="000000" w:sz="5" w:space="0"/>
            </w:tcBorders>
            <w:tcMar>
              <w:left w:w="0" w:type="dxa"/>
              <w:right w:w="0" w:type="dxa"/>
            </w:tcMar>
          </w:tcPr>
          <w:p w:rsidRPr="00F2541A" w:rsidR="00E81CDA" w:rsidP="00F2541A" w:rsidRDefault="00E81CDA" w14:paraId="2E618B9F" w14:textId="77777777">
            <w:pPr>
              <w:spacing w:after="0" w:line="240" w:lineRule="auto"/>
              <w:ind w:right="15"/>
              <w:jc w:val="left"/>
              <w:rPr>
                <w:color w:val="000000"/>
              </w:rPr>
            </w:pPr>
            <w:r w:rsidRPr="00F2541A">
              <w:t>Bachelor's degree</w:t>
            </w:r>
          </w:p>
        </w:tc>
        <w:tc>
          <w:tcPr>
            <w:tcW w:w="1915" w:type="dxa"/>
            <w:tcBorders>
              <w:top w:val="single" w:color="CCCCCC" w:sz="5" w:space="0"/>
              <w:left w:val="single" w:color="CCCCCC" w:sz="5" w:space="0"/>
              <w:bottom w:val="single" w:color="000000" w:sz="5" w:space="0"/>
              <w:right w:val="single" w:color="000000" w:sz="5" w:space="0"/>
            </w:tcBorders>
            <w:tcMar>
              <w:left w:w="0" w:type="dxa"/>
              <w:right w:w="0" w:type="dxa"/>
            </w:tcMar>
          </w:tcPr>
          <w:p w:rsidRPr="00F2541A" w:rsidR="00E81CDA" w:rsidP="00F2541A" w:rsidRDefault="00E81CDA" w14:paraId="6F361A04" w14:textId="77777777">
            <w:pPr>
              <w:spacing w:after="0" w:line="240" w:lineRule="auto"/>
              <w:ind w:right="15"/>
              <w:jc w:val="left"/>
              <w:rPr>
                <w:color w:val="000000"/>
              </w:rPr>
            </w:pPr>
            <w:r w:rsidRPr="00F2541A">
              <w:t>None</w:t>
            </w:r>
          </w:p>
        </w:tc>
        <w:tc>
          <w:tcPr>
            <w:tcW w:w="1915" w:type="dxa"/>
            <w:tcBorders>
              <w:top w:val="single" w:color="CCCCCC" w:sz="5" w:space="0"/>
              <w:left w:val="single" w:color="CCCCCC" w:sz="5" w:space="0"/>
              <w:bottom w:val="single" w:color="000000" w:sz="5" w:space="0"/>
              <w:right w:val="single" w:color="000000" w:sz="5" w:space="0"/>
            </w:tcBorders>
            <w:tcMar>
              <w:left w:w="0" w:type="dxa"/>
              <w:right w:w="0" w:type="dxa"/>
            </w:tcMar>
          </w:tcPr>
          <w:p w:rsidRPr="00F2541A" w:rsidR="00E81CDA" w:rsidP="00F2541A" w:rsidRDefault="00E81CDA" w14:paraId="099101B2" w14:textId="77777777">
            <w:pPr>
              <w:spacing w:after="0" w:line="240" w:lineRule="auto"/>
              <w:ind w:right="15"/>
              <w:jc w:val="left"/>
              <w:rPr>
                <w:color w:val="000000"/>
              </w:rPr>
            </w:pPr>
            <w:r w:rsidRPr="00F2541A">
              <w:t>None</w:t>
            </w:r>
          </w:p>
        </w:tc>
      </w:tr>
      <w:tr w:rsidR="00E81CDA" w:rsidTr="00B76CDA" w14:paraId="01C25CED" w14:textId="77777777">
        <w:trPr>
          <w:trHeight w:val="20"/>
          <w:jc w:val="center"/>
        </w:trPr>
        <w:tc>
          <w:tcPr>
            <w:tcW w:w="4246" w:type="dxa"/>
            <w:tcBorders>
              <w:top w:val="single" w:color="CCCCCC" w:sz="5" w:space="0"/>
              <w:left w:val="single" w:color="000000" w:sz="5" w:space="0"/>
              <w:bottom w:val="single" w:color="000000" w:sz="5" w:space="0"/>
              <w:right w:val="single" w:color="000000" w:sz="5" w:space="0"/>
            </w:tcBorders>
            <w:tcMar>
              <w:left w:w="0" w:type="dxa"/>
              <w:right w:w="0" w:type="dxa"/>
            </w:tcMar>
          </w:tcPr>
          <w:p w:rsidRPr="00F2541A" w:rsidR="00E81CDA" w:rsidRDefault="00E81CDA" w14:paraId="1E1A7811" w14:textId="77777777">
            <w:pPr>
              <w:spacing w:after="0" w:line="240" w:lineRule="auto"/>
              <w:ind w:left="90"/>
              <w:jc w:val="left"/>
              <w:rPr>
                <w:color w:val="000000"/>
              </w:rPr>
            </w:pPr>
            <w:r w:rsidRPr="00F2541A">
              <w:t>Software Developers</w:t>
            </w:r>
          </w:p>
        </w:tc>
        <w:tc>
          <w:tcPr>
            <w:tcW w:w="1915" w:type="dxa"/>
            <w:tcBorders>
              <w:top w:val="single" w:color="CCCCCC" w:sz="5" w:space="0"/>
              <w:left w:val="single" w:color="000000" w:sz="5" w:space="0"/>
              <w:bottom w:val="single" w:color="000000" w:sz="5" w:space="0"/>
              <w:right w:val="single" w:color="000000" w:sz="5" w:space="0"/>
            </w:tcBorders>
            <w:tcMar>
              <w:left w:w="0" w:type="dxa"/>
              <w:right w:w="0" w:type="dxa"/>
            </w:tcMar>
          </w:tcPr>
          <w:p w:rsidRPr="00F2541A" w:rsidR="00E81CDA" w:rsidP="00F2541A" w:rsidRDefault="00E81CDA" w14:paraId="787CDEB1" w14:textId="77777777">
            <w:pPr>
              <w:spacing w:after="0" w:line="240" w:lineRule="auto"/>
              <w:ind w:right="15"/>
              <w:jc w:val="left"/>
              <w:rPr>
                <w:color w:val="000000"/>
              </w:rPr>
            </w:pPr>
            <w:r w:rsidRPr="00F2541A">
              <w:t>Bachelor's degree</w:t>
            </w:r>
          </w:p>
        </w:tc>
        <w:tc>
          <w:tcPr>
            <w:tcW w:w="1915" w:type="dxa"/>
            <w:tcBorders>
              <w:top w:val="single" w:color="CCCCCC" w:sz="5" w:space="0"/>
              <w:left w:val="single" w:color="CCCCCC" w:sz="5" w:space="0"/>
              <w:bottom w:val="single" w:color="000000" w:sz="5" w:space="0"/>
              <w:right w:val="single" w:color="000000" w:sz="5" w:space="0"/>
            </w:tcBorders>
            <w:tcMar>
              <w:left w:w="0" w:type="dxa"/>
              <w:right w:w="0" w:type="dxa"/>
            </w:tcMar>
          </w:tcPr>
          <w:p w:rsidRPr="00F2541A" w:rsidR="00E81CDA" w:rsidP="00F2541A" w:rsidRDefault="00E81CDA" w14:paraId="6978272E" w14:textId="77777777">
            <w:pPr>
              <w:spacing w:after="0" w:line="240" w:lineRule="auto"/>
              <w:ind w:right="15"/>
              <w:jc w:val="left"/>
              <w:rPr>
                <w:color w:val="000000"/>
              </w:rPr>
            </w:pPr>
            <w:r w:rsidRPr="00F2541A">
              <w:t>None</w:t>
            </w:r>
          </w:p>
        </w:tc>
        <w:tc>
          <w:tcPr>
            <w:tcW w:w="1915" w:type="dxa"/>
            <w:tcBorders>
              <w:top w:val="single" w:color="CCCCCC" w:sz="5" w:space="0"/>
              <w:left w:val="single" w:color="CCCCCC" w:sz="5" w:space="0"/>
              <w:bottom w:val="single" w:color="000000" w:sz="5" w:space="0"/>
              <w:right w:val="single" w:color="000000" w:sz="5" w:space="0"/>
            </w:tcBorders>
            <w:tcMar>
              <w:left w:w="0" w:type="dxa"/>
              <w:right w:w="0" w:type="dxa"/>
            </w:tcMar>
          </w:tcPr>
          <w:p w:rsidRPr="00F2541A" w:rsidR="00E81CDA" w:rsidP="00F2541A" w:rsidRDefault="00E81CDA" w14:paraId="41840BB8" w14:textId="77777777">
            <w:pPr>
              <w:spacing w:after="0" w:line="240" w:lineRule="auto"/>
              <w:ind w:right="15"/>
              <w:jc w:val="left"/>
              <w:rPr>
                <w:color w:val="000000"/>
              </w:rPr>
            </w:pPr>
            <w:r w:rsidRPr="00F2541A">
              <w:t>None</w:t>
            </w:r>
          </w:p>
        </w:tc>
      </w:tr>
      <w:tr w:rsidR="00E81CDA" w:rsidTr="00B76CDA" w14:paraId="6D1FA9E1" w14:textId="77777777">
        <w:trPr>
          <w:trHeight w:val="20"/>
          <w:jc w:val="center"/>
        </w:trPr>
        <w:tc>
          <w:tcPr>
            <w:tcW w:w="4246" w:type="dxa"/>
            <w:tcBorders>
              <w:top w:val="single" w:color="CCCCCC" w:sz="5" w:space="0"/>
              <w:left w:val="single" w:color="000000" w:sz="5" w:space="0"/>
              <w:bottom w:val="single" w:color="000000" w:sz="5" w:space="0"/>
              <w:right w:val="single" w:color="000000" w:sz="5" w:space="0"/>
            </w:tcBorders>
            <w:tcMar>
              <w:left w:w="0" w:type="dxa"/>
              <w:right w:w="0" w:type="dxa"/>
            </w:tcMar>
          </w:tcPr>
          <w:p w:rsidRPr="00F2541A" w:rsidR="00E81CDA" w:rsidRDefault="00E81CDA" w14:paraId="1873A3BA" w14:textId="77777777">
            <w:pPr>
              <w:spacing w:after="0" w:line="240" w:lineRule="auto"/>
              <w:ind w:left="90"/>
              <w:jc w:val="left"/>
              <w:rPr>
                <w:color w:val="000000"/>
              </w:rPr>
            </w:pPr>
            <w:r w:rsidRPr="00F2541A">
              <w:t>Software Quality Assurance Analysts and Testers</w:t>
            </w:r>
          </w:p>
        </w:tc>
        <w:tc>
          <w:tcPr>
            <w:tcW w:w="1915" w:type="dxa"/>
            <w:tcBorders>
              <w:top w:val="single" w:color="CCCCCC" w:sz="5" w:space="0"/>
              <w:left w:val="single" w:color="000000" w:sz="5" w:space="0"/>
              <w:bottom w:val="single" w:color="000000" w:sz="5" w:space="0"/>
              <w:right w:val="single" w:color="000000" w:sz="5" w:space="0"/>
            </w:tcBorders>
            <w:tcMar>
              <w:left w:w="0" w:type="dxa"/>
              <w:right w:w="0" w:type="dxa"/>
            </w:tcMar>
          </w:tcPr>
          <w:p w:rsidRPr="00F2541A" w:rsidR="00E81CDA" w:rsidP="00F2541A" w:rsidRDefault="00E81CDA" w14:paraId="275CCFD2" w14:textId="77777777">
            <w:pPr>
              <w:spacing w:after="0" w:line="240" w:lineRule="auto"/>
              <w:ind w:right="15"/>
              <w:jc w:val="left"/>
              <w:rPr>
                <w:color w:val="000000"/>
              </w:rPr>
            </w:pPr>
            <w:r w:rsidRPr="00F2541A">
              <w:t>Bachelor's degree</w:t>
            </w:r>
          </w:p>
        </w:tc>
        <w:tc>
          <w:tcPr>
            <w:tcW w:w="1915" w:type="dxa"/>
            <w:tcBorders>
              <w:top w:val="single" w:color="CCCCCC" w:sz="5" w:space="0"/>
              <w:left w:val="single" w:color="CCCCCC" w:sz="5" w:space="0"/>
              <w:bottom w:val="single" w:color="000000" w:sz="5" w:space="0"/>
              <w:right w:val="single" w:color="000000" w:sz="5" w:space="0"/>
            </w:tcBorders>
            <w:tcMar>
              <w:left w:w="0" w:type="dxa"/>
              <w:right w:w="0" w:type="dxa"/>
            </w:tcMar>
          </w:tcPr>
          <w:p w:rsidRPr="00F2541A" w:rsidR="00E81CDA" w:rsidP="00F2541A" w:rsidRDefault="00E81CDA" w14:paraId="2E9D6D14" w14:textId="77777777">
            <w:pPr>
              <w:spacing w:after="0" w:line="240" w:lineRule="auto"/>
              <w:ind w:right="15"/>
              <w:jc w:val="left"/>
              <w:rPr>
                <w:color w:val="000000"/>
              </w:rPr>
            </w:pPr>
            <w:r w:rsidRPr="00F2541A">
              <w:t>None</w:t>
            </w:r>
          </w:p>
        </w:tc>
        <w:tc>
          <w:tcPr>
            <w:tcW w:w="1915" w:type="dxa"/>
            <w:tcBorders>
              <w:top w:val="single" w:color="CCCCCC" w:sz="5" w:space="0"/>
              <w:left w:val="single" w:color="CCCCCC" w:sz="5" w:space="0"/>
              <w:bottom w:val="single" w:color="000000" w:sz="5" w:space="0"/>
              <w:right w:val="single" w:color="000000" w:sz="5" w:space="0"/>
            </w:tcBorders>
            <w:tcMar>
              <w:left w:w="0" w:type="dxa"/>
              <w:right w:w="0" w:type="dxa"/>
            </w:tcMar>
          </w:tcPr>
          <w:p w:rsidRPr="00F2541A" w:rsidR="00E81CDA" w:rsidP="00F2541A" w:rsidRDefault="00E81CDA" w14:paraId="686E5E2C" w14:textId="77777777">
            <w:pPr>
              <w:spacing w:after="0" w:line="240" w:lineRule="auto"/>
              <w:ind w:right="15"/>
              <w:jc w:val="left"/>
              <w:rPr>
                <w:color w:val="000000"/>
              </w:rPr>
            </w:pPr>
            <w:r w:rsidRPr="00F2541A">
              <w:t>None</w:t>
            </w:r>
          </w:p>
        </w:tc>
      </w:tr>
      <w:tr w:rsidR="00E81CDA" w:rsidTr="00B76CDA" w14:paraId="755C2DE3" w14:textId="77777777">
        <w:trPr>
          <w:trHeight w:val="20"/>
          <w:jc w:val="center"/>
        </w:trPr>
        <w:tc>
          <w:tcPr>
            <w:tcW w:w="4246" w:type="dxa"/>
            <w:tcBorders>
              <w:top w:val="single" w:color="CCCCCC" w:sz="5" w:space="0"/>
              <w:left w:val="single" w:color="000000" w:sz="5" w:space="0"/>
              <w:bottom w:val="single" w:color="000000" w:sz="5" w:space="0"/>
              <w:right w:val="single" w:color="000000" w:sz="5" w:space="0"/>
            </w:tcBorders>
            <w:tcMar>
              <w:left w:w="0" w:type="dxa"/>
              <w:right w:w="0" w:type="dxa"/>
            </w:tcMar>
          </w:tcPr>
          <w:p w:rsidRPr="00F2541A" w:rsidR="00E81CDA" w:rsidRDefault="00E81CDA" w14:paraId="72C50C27" w14:textId="77777777">
            <w:pPr>
              <w:spacing w:after="0" w:line="240" w:lineRule="auto"/>
              <w:ind w:left="90"/>
              <w:jc w:val="left"/>
              <w:rPr>
                <w:color w:val="000000"/>
              </w:rPr>
            </w:pPr>
            <w:r w:rsidRPr="00F2541A">
              <w:t>Electronics Engineers, Except Computer</w:t>
            </w:r>
          </w:p>
        </w:tc>
        <w:tc>
          <w:tcPr>
            <w:tcW w:w="1915" w:type="dxa"/>
            <w:tcBorders>
              <w:top w:val="single" w:color="CCCCCC" w:sz="5" w:space="0"/>
              <w:left w:val="single" w:color="000000" w:sz="5" w:space="0"/>
              <w:bottom w:val="single" w:color="000000" w:sz="5" w:space="0"/>
              <w:right w:val="single" w:color="000000" w:sz="5" w:space="0"/>
            </w:tcBorders>
            <w:tcMar>
              <w:left w:w="0" w:type="dxa"/>
              <w:right w:w="0" w:type="dxa"/>
            </w:tcMar>
          </w:tcPr>
          <w:p w:rsidRPr="00F2541A" w:rsidR="00E81CDA" w:rsidP="00F2541A" w:rsidRDefault="00E81CDA" w14:paraId="0C703845" w14:textId="77777777">
            <w:pPr>
              <w:spacing w:after="0" w:line="240" w:lineRule="auto"/>
              <w:ind w:right="15"/>
              <w:jc w:val="left"/>
              <w:rPr>
                <w:color w:val="000000"/>
              </w:rPr>
            </w:pPr>
            <w:r w:rsidRPr="00F2541A">
              <w:t>Bachelor's degree</w:t>
            </w:r>
          </w:p>
        </w:tc>
        <w:tc>
          <w:tcPr>
            <w:tcW w:w="1915" w:type="dxa"/>
            <w:tcBorders>
              <w:top w:val="single" w:color="CCCCCC" w:sz="5" w:space="0"/>
              <w:left w:val="single" w:color="CCCCCC" w:sz="5" w:space="0"/>
              <w:bottom w:val="single" w:color="000000" w:sz="5" w:space="0"/>
              <w:right w:val="single" w:color="000000" w:sz="5" w:space="0"/>
            </w:tcBorders>
            <w:tcMar>
              <w:left w:w="0" w:type="dxa"/>
              <w:right w:w="0" w:type="dxa"/>
            </w:tcMar>
          </w:tcPr>
          <w:p w:rsidRPr="00F2541A" w:rsidR="00E81CDA" w:rsidP="00F2541A" w:rsidRDefault="00E81CDA" w14:paraId="482B6B89" w14:textId="77777777">
            <w:pPr>
              <w:spacing w:after="0" w:line="240" w:lineRule="auto"/>
              <w:ind w:right="15"/>
              <w:jc w:val="left"/>
              <w:rPr>
                <w:color w:val="000000"/>
              </w:rPr>
            </w:pPr>
            <w:r w:rsidRPr="00F2541A">
              <w:t>None</w:t>
            </w:r>
          </w:p>
        </w:tc>
        <w:tc>
          <w:tcPr>
            <w:tcW w:w="1915" w:type="dxa"/>
            <w:tcBorders>
              <w:top w:val="single" w:color="CCCCCC" w:sz="5" w:space="0"/>
              <w:left w:val="single" w:color="CCCCCC" w:sz="5" w:space="0"/>
              <w:bottom w:val="single" w:color="000000" w:sz="5" w:space="0"/>
              <w:right w:val="single" w:color="000000" w:sz="5" w:space="0"/>
            </w:tcBorders>
            <w:tcMar>
              <w:left w:w="0" w:type="dxa"/>
              <w:right w:w="0" w:type="dxa"/>
            </w:tcMar>
          </w:tcPr>
          <w:p w:rsidRPr="00F2541A" w:rsidR="00E81CDA" w:rsidP="00F2541A" w:rsidRDefault="00E81CDA" w14:paraId="44C930A6" w14:textId="77777777">
            <w:pPr>
              <w:spacing w:after="0" w:line="240" w:lineRule="auto"/>
              <w:ind w:right="15"/>
              <w:jc w:val="left"/>
              <w:rPr>
                <w:color w:val="000000"/>
              </w:rPr>
            </w:pPr>
            <w:r w:rsidRPr="00F2541A">
              <w:t>None</w:t>
            </w:r>
          </w:p>
        </w:tc>
      </w:tr>
      <w:tr w:rsidR="00E81CDA" w:rsidTr="00B76CDA" w14:paraId="4F07A078" w14:textId="77777777">
        <w:trPr>
          <w:trHeight w:val="20"/>
          <w:jc w:val="center"/>
        </w:trPr>
        <w:tc>
          <w:tcPr>
            <w:tcW w:w="4246" w:type="dxa"/>
            <w:tcBorders>
              <w:top w:val="single" w:color="CCCCCC" w:sz="5" w:space="0"/>
              <w:left w:val="single" w:color="000000" w:sz="5" w:space="0"/>
              <w:bottom w:val="single" w:color="000000" w:sz="5" w:space="0"/>
              <w:right w:val="single" w:color="000000" w:sz="5" w:space="0"/>
            </w:tcBorders>
            <w:tcMar>
              <w:left w:w="0" w:type="dxa"/>
              <w:right w:w="0" w:type="dxa"/>
            </w:tcMar>
          </w:tcPr>
          <w:p w:rsidRPr="00F2541A" w:rsidR="00E81CDA" w:rsidRDefault="00E81CDA" w14:paraId="6C5958A5" w14:textId="77777777">
            <w:pPr>
              <w:spacing w:after="0" w:line="240" w:lineRule="auto"/>
              <w:ind w:left="90"/>
              <w:jc w:val="left"/>
              <w:rPr>
                <w:color w:val="000000"/>
              </w:rPr>
            </w:pPr>
            <w:r w:rsidRPr="00F2541A">
              <w:t>Sales Representatives of Services, Except Advertising, Insurance, Financial Services, and Travel</w:t>
            </w:r>
          </w:p>
        </w:tc>
        <w:tc>
          <w:tcPr>
            <w:tcW w:w="1915" w:type="dxa"/>
            <w:tcBorders>
              <w:top w:val="single" w:color="CCCCCC" w:sz="5" w:space="0"/>
              <w:left w:val="single" w:color="000000" w:sz="5" w:space="0"/>
              <w:bottom w:val="single" w:color="000000" w:sz="5" w:space="0"/>
              <w:right w:val="single" w:color="000000" w:sz="5" w:space="0"/>
            </w:tcBorders>
            <w:tcMar>
              <w:left w:w="0" w:type="dxa"/>
              <w:right w:w="0" w:type="dxa"/>
            </w:tcMar>
          </w:tcPr>
          <w:p w:rsidRPr="00F2541A" w:rsidR="00E81CDA" w:rsidP="00F2541A" w:rsidRDefault="00E81CDA" w14:paraId="3AAAA375" w14:textId="77777777">
            <w:pPr>
              <w:spacing w:after="0" w:line="240" w:lineRule="auto"/>
              <w:ind w:right="15"/>
              <w:jc w:val="left"/>
              <w:rPr>
                <w:color w:val="000000"/>
              </w:rPr>
            </w:pPr>
            <w:r w:rsidRPr="00F2541A">
              <w:t>High school diploma or equivalent</w:t>
            </w:r>
          </w:p>
        </w:tc>
        <w:tc>
          <w:tcPr>
            <w:tcW w:w="1915" w:type="dxa"/>
            <w:tcBorders>
              <w:top w:val="single" w:color="CCCCCC" w:sz="5" w:space="0"/>
              <w:left w:val="single" w:color="CCCCCC" w:sz="5" w:space="0"/>
              <w:bottom w:val="single" w:color="000000" w:sz="5" w:space="0"/>
              <w:right w:val="single" w:color="000000" w:sz="5" w:space="0"/>
            </w:tcBorders>
            <w:tcMar>
              <w:left w:w="0" w:type="dxa"/>
              <w:right w:w="0" w:type="dxa"/>
            </w:tcMar>
          </w:tcPr>
          <w:p w:rsidRPr="00F2541A" w:rsidR="00E81CDA" w:rsidP="00F2541A" w:rsidRDefault="00E81CDA" w14:paraId="3F4DA089" w14:textId="77777777">
            <w:pPr>
              <w:spacing w:after="0" w:line="240" w:lineRule="auto"/>
              <w:ind w:right="15"/>
              <w:jc w:val="left"/>
              <w:rPr>
                <w:color w:val="000000"/>
              </w:rPr>
            </w:pPr>
            <w:r w:rsidRPr="00F2541A">
              <w:t>None</w:t>
            </w:r>
          </w:p>
        </w:tc>
        <w:tc>
          <w:tcPr>
            <w:tcW w:w="1915" w:type="dxa"/>
            <w:tcBorders>
              <w:top w:val="single" w:color="CCCCCC" w:sz="5" w:space="0"/>
              <w:left w:val="single" w:color="CCCCCC" w:sz="5" w:space="0"/>
              <w:bottom w:val="single" w:color="000000" w:sz="5" w:space="0"/>
              <w:right w:val="single" w:color="000000" w:sz="5" w:space="0"/>
            </w:tcBorders>
            <w:tcMar>
              <w:left w:w="0" w:type="dxa"/>
              <w:right w:w="0" w:type="dxa"/>
            </w:tcMar>
          </w:tcPr>
          <w:p w:rsidRPr="00F2541A" w:rsidR="00E81CDA" w:rsidP="00F2541A" w:rsidRDefault="00E81CDA" w14:paraId="20148A3A" w14:textId="77777777">
            <w:pPr>
              <w:spacing w:after="0" w:line="240" w:lineRule="auto"/>
              <w:ind w:right="15"/>
              <w:jc w:val="left"/>
              <w:rPr>
                <w:color w:val="000000"/>
              </w:rPr>
            </w:pPr>
            <w:proofErr w:type="gramStart"/>
            <w:r w:rsidRPr="00F2541A">
              <w:t>Moderate-term</w:t>
            </w:r>
            <w:proofErr w:type="gramEnd"/>
          </w:p>
        </w:tc>
      </w:tr>
      <w:tr w:rsidR="00E81CDA" w:rsidTr="00B76CDA" w14:paraId="55C72C22" w14:textId="77777777">
        <w:trPr>
          <w:trHeight w:val="20"/>
          <w:jc w:val="center"/>
        </w:trPr>
        <w:tc>
          <w:tcPr>
            <w:tcW w:w="4246" w:type="dxa"/>
            <w:tcBorders>
              <w:top w:val="single" w:color="CCCCCC" w:sz="5" w:space="0"/>
              <w:left w:val="single" w:color="000000" w:sz="5" w:space="0"/>
              <w:bottom w:val="single" w:color="000000" w:sz="5" w:space="0"/>
              <w:right w:val="single" w:color="000000" w:sz="5" w:space="0"/>
            </w:tcBorders>
            <w:tcMar>
              <w:left w:w="0" w:type="dxa"/>
              <w:right w:w="0" w:type="dxa"/>
            </w:tcMar>
          </w:tcPr>
          <w:p w:rsidRPr="00F2541A" w:rsidR="00E81CDA" w:rsidRDefault="00E81CDA" w14:paraId="72A40DC8" w14:textId="77777777">
            <w:pPr>
              <w:spacing w:after="0" w:line="240" w:lineRule="auto"/>
              <w:ind w:left="90"/>
              <w:jc w:val="left"/>
              <w:rPr>
                <w:color w:val="000000"/>
              </w:rPr>
            </w:pPr>
            <w:r w:rsidRPr="00F2541A">
              <w:t>Customer Service Representatives</w:t>
            </w:r>
          </w:p>
        </w:tc>
        <w:tc>
          <w:tcPr>
            <w:tcW w:w="1915" w:type="dxa"/>
            <w:tcBorders>
              <w:top w:val="single" w:color="CCCCCC" w:sz="5" w:space="0"/>
              <w:left w:val="single" w:color="000000" w:sz="5" w:space="0"/>
              <w:bottom w:val="single" w:color="000000" w:sz="5" w:space="0"/>
              <w:right w:val="single" w:color="000000" w:sz="5" w:space="0"/>
            </w:tcBorders>
            <w:tcMar>
              <w:left w:w="0" w:type="dxa"/>
              <w:right w:w="0" w:type="dxa"/>
            </w:tcMar>
          </w:tcPr>
          <w:p w:rsidRPr="00F2541A" w:rsidR="00E81CDA" w:rsidP="00F2541A" w:rsidRDefault="00E81CDA" w14:paraId="1AB1AAF8" w14:textId="77777777">
            <w:pPr>
              <w:spacing w:after="0" w:line="240" w:lineRule="auto"/>
              <w:ind w:right="15"/>
              <w:jc w:val="left"/>
              <w:rPr>
                <w:color w:val="000000"/>
              </w:rPr>
            </w:pPr>
            <w:r w:rsidRPr="00F2541A">
              <w:t>High school diploma or equivalent</w:t>
            </w:r>
          </w:p>
        </w:tc>
        <w:tc>
          <w:tcPr>
            <w:tcW w:w="1915" w:type="dxa"/>
            <w:tcBorders>
              <w:top w:val="single" w:color="CCCCCC" w:sz="5" w:space="0"/>
              <w:left w:val="single" w:color="CCCCCC" w:sz="5" w:space="0"/>
              <w:bottom w:val="single" w:color="000000" w:sz="5" w:space="0"/>
              <w:right w:val="single" w:color="000000" w:sz="5" w:space="0"/>
            </w:tcBorders>
            <w:tcMar>
              <w:left w:w="0" w:type="dxa"/>
              <w:right w:w="0" w:type="dxa"/>
            </w:tcMar>
          </w:tcPr>
          <w:p w:rsidRPr="00F2541A" w:rsidR="00E81CDA" w:rsidP="00F2541A" w:rsidRDefault="00E81CDA" w14:paraId="2CF8A291" w14:textId="77777777">
            <w:pPr>
              <w:spacing w:after="0" w:line="240" w:lineRule="auto"/>
              <w:ind w:right="15"/>
              <w:jc w:val="left"/>
              <w:rPr>
                <w:color w:val="000000"/>
              </w:rPr>
            </w:pPr>
            <w:r w:rsidRPr="00F2541A">
              <w:t>None</w:t>
            </w:r>
          </w:p>
        </w:tc>
        <w:tc>
          <w:tcPr>
            <w:tcW w:w="1915" w:type="dxa"/>
            <w:tcBorders>
              <w:top w:val="single" w:color="CCCCCC" w:sz="5" w:space="0"/>
              <w:left w:val="single" w:color="CCCCCC" w:sz="5" w:space="0"/>
              <w:bottom w:val="single" w:color="000000" w:sz="5" w:space="0"/>
              <w:right w:val="single" w:color="000000" w:sz="5" w:space="0"/>
            </w:tcBorders>
            <w:tcMar>
              <w:left w:w="0" w:type="dxa"/>
              <w:right w:w="0" w:type="dxa"/>
            </w:tcMar>
          </w:tcPr>
          <w:p w:rsidRPr="00F2541A" w:rsidR="00E81CDA" w:rsidP="00F2541A" w:rsidRDefault="00E81CDA" w14:paraId="59817089" w14:textId="77777777">
            <w:pPr>
              <w:spacing w:after="0" w:line="240" w:lineRule="auto"/>
              <w:ind w:right="15"/>
              <w:jc w:val="left"/>
              <w:rPr>
                <w:color w:val="000000"/>
              </w:rPr>
            </w:pPr>
            <w:r w:rsidRPr="00F2541A">
              <w:t>Short-term</w:t>
            </w:r>
          </w:p>
        </w:tc>
      </w:tr>
      <w:tr w:rsidR="00E81CDA" w:rsidTr="00B76CDA" w14:paraId="29065762" w14:textId="77777777">
        <w:trPr>
          <w:trHeight w:val="20"/>
          <w:jc w:val="center"/>
        </w:trPr>
        <w:tc>
          <w:tcPr>
            <w:tcW w:w="4246" w:type="dxa"/>
            <w:tcBorders>
              <w:top w:val="single" w:color="CCCCCC" w:sz="5" w:space="0"/>
              <w:left w:val="single" w:color="000000" w:sz="5" w:space="0"/>
              <w:bottom w:val="single" w:color="000000" w:sz="5" w:space="0"/>
              <w:right w:val="single" w:color="000000" w:sz="5" w:space="0"/>
            </w:tcBorders>
            <w:tcMar>
              <w:left w:w="0" w:type="dxa"/>
              <w:right w:w="0" w:type="dxa"/>
            </w:tcMar>
          </w:tcPr>
          <w:p w:rsidRPr="00F2541A" w:rsidR="00E81CDA" w:rsidRDefault="00E81CDA" w14:paraId="54F4F190" w14:textId="77777777">
            <w:pPr>
              <w:spacing w:after="0" w:line="240" w:lineRule="auto"/>
              <w:ind w:left="90"/>
              <w:jc w:val="left"/>
              <w:rPr>
                <w:color w:val="000000"/>
              </w:rPr>
            </w:pPr>
            <w:r w:rsidRPr="00F2541A">
              <w:t>Construction Laborers</w:t>
            </w:r>
          </w:p>
        </w:tc>
        <w:tc>
          <w:tcPr>
            <w:tcW w:w="1915" w:type="dxa"/>
            <w:tcBorders>
              <w:top w:val="single" w:color="CCCCCC" w:sz="5" w:space="0"/>
              <w:left w:val="single" w:color="000000" w:sz="5" w:space="0"/>
              <w:bottom w:val="single" w:color="000000" w:sz="5" w:space="0"/>
              <w:right w:val="single" w:color="000000" w:sz="5" w:space="0"/>
            </w:tcBorders>
            <w:tcMar>
              <w:left w:w="0" w:type="dxa"/>
              <w:right w:w="0" w:type="dxa"/>
            </w:tcMar>
          </w:tcPr>
          <w:p w:rsidRPr="00F2541A" w:rsidR="00E81CDA" w:rsidP="00F2541A" w:rsidRDefault="00E81CDA" w14:paraId="53E3F9A7" w14:textId="77777777">
            <w:pPr>
              <w:spacing w:after="0" w:line="240" w:lineRule="auto"/>
              <w:ind w:right="15"/>
              <w:jc w:val="left"/>
              <w:rPr>
                <w:color w:val="000000"/>
              </w:rPr>
            </w:pPr>
            <w:r w:rsidRPr="00F2541A">
              <w:t>No formal educational credential</w:t>
            </w:r>
          </w:p>
        </w:tc>
        <w:tc>
          <w:tcPr>
            <w:tcW w:w="1915" w:type="dxa"/>
            <w:tcBorders>
              <w:top w:val="single" w:color="CCCCCC" w:sz="5" w:space="0"/>
              <w:left w:val="single" w:color="CCCCCC" w:sz="5" w:space="0"/>
              <w:bottom w:val="single" w:color="000000" w:sz="5" w:space="0"/>
              <w:right w:val="single" w:color="000000" w:sz="5" w:space="0"/>
            </w:tcBorders>
            <w:tcMar>
              <w:left w:w="0" w:type="dxa"/>
              <w:right w:w="0" w:type="dxa"/>
            </w:tcMar>
          </w:tcPr>
          <w:p w:rsidRPr="00F2541A" w:rsidR="00E81CDA" w:rsidP="00F2541A" w:rsidRDefault="00E81CDA" w14:paraId="6BED5B6D" w14:textId="77777777">
            <w:pPr>
              <w:spacing w:after="0" w:line="240" w:lineRule="auto"/>
              <w:ind w:right="15"/>
              <w:jc w:val="left"/>
              <w:rPr>
                <w:color w:val="000000"/>
              </w:rPr>
            </w:pPr>
            <w:r w:rsidRPr="00F2541A">
              <w:t>None</w:t>
            </w:r>
          </w:p>
        </w:tc>
        <w:tc>
          <w:tcPr>
            <w:tcW w:w="1915" w:type="dxa"/>
            <w:tcBorders>
              <w:top w:val="single" w:color="CCCCCC" w:sz="5" w:space="0"/>
              <w:left w:val="single" w:color="CCCCCC" w:sz="5" w:space="0"/>
              <w:bottom w:val="single" w:color="000000" w:sz="5" w:space="0"/>
              <w:right w:val="single" w:color="000000" w:sz="5" w:space="0"/>
            </w:tcBorders>
            <w:tcMar>
              <w:left w:w="0" w:type="dxa"/>
              <w:right w:w="0" w:type="dxa"/>
            </w:tcMar>
          </w:tcPr>
          <w:p w:rsidRPr="00F2541A" w:rsidR="00E81CDA" w:rsidP="00F2541A" w:rsidRDefault="00E81CDA" w14:paraId="0BD943AF" w14:textId="77777777">
            <w:pPr>
              <w:spacing w:after="0" w:line="240" w:lineRule="auto"/>
              <w:ind w:right="15"/>
              <w:jc w:val="left"/>
              <w:rPr>
                <w:color w:val="000000"/>
              </w:rPr>
            </w:pPr>
            <w:r w:rsidRPr="00F2541A">
              <w:t>Short-term</w:t>
            </w:r>
          </w:p>
        </w:tc>
      </w:tr>
      <w:tr w:rsidR="00E81CDA" w:rsidTr="00B76CDA" w14:paraId="654E58CA" w14:textId="77777777">
        <w:trPr>
          <w:trHeight w:val="20"/>
          <w:jc w:val="center"/>
        </w:trPr>
        <w:tc>
          <w:tcPr>
            <w:tcW w:w="4246" w:type="dxa"/>
            <w:tcBorders>
              <w:top w:val="single" w:color="CCCCCC" w:sz="5" w:space="0"/>
              <w:left w:val="single" w:color="000000" w:sz="5" w:space="0"/>
              <w:bottom w:val="single" w:color="000000" w:sz="5" w:space="0"/>
              <w:right w:val="single" w:color="000000" w:sz="5" w:space="0"/>
            </w:tcBorders>
            <w:tcMar>
              <w:left w:w="0" w:type="dxa"/>
              <w:right w:w="0" w:type="dxa"/>
            </w:tcMar>
          </w:tcPr>
          <w:p w:rsidRPr="00F2541A" w:rsidR="00E81CDA" w:rsidRDefault="00E81CDA" w14:paraId="73531707" w14:textId="77777777">
            <w:pPr>
              <w:spacing w:after="0" w:line="240" w:lineRule="auto"/>
              <w:ind w:left="90"/>
              <w:jc w:val="left"/>
              <w:rPr>
                <w:color w:val="000000"/>
              </w:rPr>
            </w:pPr>
            <w:r w:rsidRPr="00F2541A">
              <w:t>First-Line Supervisors of Mechanics, Installers, and Repairers</w:t>
            </w:r>
          </w:p>
        </w:tc>
        <w:tc>
          <w:tcPr>
            <w:tcW w:w="1915" w:type="dxa"/>
            <w:tcBorders>
              <w:top w:val="single" w:color="CCCCCC" w:sz="5" w:space="0"/>
              <w:left w:val="single" w:color="000000" w:sz="5" w:space="0"/>
              <w:bottom w:val="single" w:color="000000" w:sz="5" w:space="0"/>
              <w:right w:val="single" w:color="000000" w:sz="5" w:space="0"/>
            </w:tcBorders>
            <w:tcMar>
              <w:left w:w="0" w:type="dxa"/>
              <w:right w:w="0" w:type="dxa"/>
            </w:tcMar>
          </w:tcPr>
          <w:p w:rsidRPr="00F2541A" w:rsidR="00E81CDA" w:rsidP="00F2541A" w:rsidRDefault="00E81CDA" w14:paraId="55A74BDF" w14:textId="77777777">
            <w:pPr>
              <w:spacing w:after="0" w:line="240" w:lineRule="auto"/>
              <w:ind w:right="15"/>
              <w:jc w:val="left"/>
              <w:rPr>
                <w:color w:val="000000"/>
              </w:rPr>
            </w:pPr>
            <w:r w:rsidRPr="00F2541A">
              <w:t>High school diploma or equivalent</w:t>
            </w:r>
          </w:p>
        </w:tc>
        <w:tc>
          <w:tcPr>
            <w:tcW w:w="1915" w:type="dxa"/>
            <w:tcBorders>
              <w:top w:val="single" w:color="CCCCCC" w:sz="5" w:space="0"/>
              <w:left w:val="single" w:color="CCCCCC" w:sz="5" w:space="0"/>
              <w:bottom w:val="single" w:color="000000" w:sz="5" w:space="0"/>
              <w:right w:val="single" w:color="000000" w:sz="5" w:space="0"/>
            </w:tcBorders>
            <w:tcMar>
              <w:left w:w="0" w:type="dxa"/>
              <w:right w:w="0" w:type="dxa"/>
            </w:tcMar>
          </w:tcPr>
          <w:p w:rsidRPr="00F2541A" w:rsidR="00E81CDA" w:rsidP="00F2541A" w:rsidRDefault="00E81CDA" w14:paraId="0E168C3F" w14:textId="77777777">
            <w:pPr>
              <w:spacing w:after="0" w:line="240" w:lineRule="auto"/>
              <w:ind w:right="15"/>
              <w:jc w:val="left"/>
              <w:rPr>
                <w:color w:val="000000"/>
              </w:rPr>
            </w:pPr>
            <w:r w:rsidRPr="00F2541A">
              <w:t>Less than 5 years</w:t>
            </w:r>
          </w:p>
        </w:tc>
        <w:tc>
          <w:tcPr>
            <w:tcW w:w="1915" w:type="dxa"/>
            <w:tcBorders>
              <w:top w:val="single" w:color="CCCCCC" w:sz="5" w:space="0"/>
              <w:left w:val="single" w:color="CCCCCC" w:sz="5" w:space="0"/>
              <w:bottom w:val="single" w:color="000000" w:sz="5" w:space="0"/>
              <w:right w:val="single" w:color="000000" w:sz="5" w:space="0"/>
            </w:tcBorders>
            <w:tcMar>
              <w:left w:w="0" w:type="dxa"/>
              <w:right w:w="0" w:type="dxa"/>
            </w:tcMar>
          </w:tcPr>
          <w:p w:rsidRPr="00F2541A" w:rsidR="00E81CDA" w:rsidP="00F2541A" w:rsidRDefault="00E81CDA" w14:paraId="120F0563" w14:textId="77777777">
            <w:pPr>
              <w:spacing w:after="0" w:line="240" w:lineRule="auto"/>
              <w:ind w:right="15"/>
              <w:jc w:val="left"/>
              <w:rPr>
                <w:color w:val="000000"/>
              </w:rPr>
            </w:pPr>
            <w:r w:rsidRPr="00F2541A">
              <w:t>None</w:t>
            </w:r>
          </w:p>
        </w:tc>
      </w:tr>
      <w:tr w:rsidR="00E81CDA" w:rsidTr="00B76CDA" w14:paraId="225AAB6B" w14:textId="77777777">
        <w:trPr>
          <w:trHeight w:val="20"/>
          <w:jc w:val="center"/>
        </w:trPr>
        <w:tc>
          <w:tcPr>
            <w:tcW w:w="4246" w:type="dxa"/>
            <w:tcBorders>
              <w:top w:val="single" w:color="CCCCCC" w:sz="5" w:space="0"/>
              <w:left w:val="single" w:color="000000" w:sz="5" w:space="0"/>
              <w:bottom w:val="single" w:color="000000" w:sz="5" w:space="0"/>
              <w:right w:val="single" w:color="000000" w:sz="5" w:space="0"/>
            </w:tcBorders>
            <w:tcMar>
              <w:left w:w="0" w:type="dxa"/>
              <w:right w:w="0" w:type="dxa"/>
            </w:tcMar>
          </w:tcPr>
          <w:p w:rsidRPr="00F2541A" w:rsidR="00E81CDA" w:rsidRDefault="00E81CDA" w14:paraId="09B13592" w14:textId="77777777">
            <w:pPr>
              <w:spacing w:after="0" w:line="240" w:lineRule="auto"/>
              <w:ind w:left="90"/>
              <w:jc w:val="left"/>
              <w:rPr>
                <w:color w:val="000000"/>
              </w:rPr>
            </w:pPr>
            <w:r w:rsidRPr="00F2541A">
              <w:t>Telecommunications Equipment Installers and Repairers, Except Line Installers</w:t>
            </w:r>
          </w:p>
        </w:tc>
        <w:tc>
          <w:tcPr>
            <w:tcW w:w="1915" w:type="dxa"/>
            <w:tcBorders>
              <w:top w:val="single" w:color="CCCCCC" w:sz="5" w:space="0"/>
              <w:left w:val="single" w:color="000000" w:sz="5" w:space="0"/>
              <w:bottom w:val="single" w:color="000000" w:sz="5" w:space="0"/>
              <w:right w:val="single" w:color="000000" w:sz="5" w:space="0"/>
            </w:tcBorders>
            <w:tcMar>
              <w:left w:w="0" w:type="dxa"/>
              <w:right w:w="0" w:type="dxa"/>
            </w:tcMar>
          </w:tcPr>
          <w:p w:rsidRPr="00F2541A" w:rsidR="00E81CDA" w:rsidP="00F2541A" w:rsidRDefault="00E81CDA" w14:paraId="6E60E300" w14:textId="77777777">
            <w:pPr>
              <w:spacing w:after="0" w:line="240" w:lineRule="auto"/>
              <w:ind w:right="15"/>
              <w:jc w:val="left"/>
              <w:rPr>
                <w:color w:val="000000"/>
              </w:rPr>
            </w:pPr>
            <w:r w:rsidRPr="00F2541A">
              <w:t>Postsecondary nondegree award</w:t>
            </w:r>
          </w:p>
        </w:tc>
        <w:tc>
          <w:tcPr>
            <w:tcW w:w="1915" w:type="dxa"/>
            <w:tcBorders>
              <w:top w:val="single" w:color="CCCCCC" w:sz="5" w:space="0"/>
              <w:left w:val="single" w:color="CCCCCC" w:sz="5" w:space="0"/>
              <w:bottom w:val="single" w:color="000000" w:sz="5" w:space="0"/>
              <w:right w:val="single" w:color="000000" w:sz="5" w:space="0"/>
            </w:tcBorders>
            <w:tcMar>
              <w:left w:w="0" w:type="dxa"/>
              <w:right w:w="0" w:type="dxa"/>
            </w:tcMar>
          </w:tcPr>
          <w:p w:rsidRPr="00F2541A" w:rsidR="00E81CDA" w:rsidP="00F2541A" w:rsidRDefault="00E81CDA" w14:paraId="15F16359" w14:textId="77777777">
            <w:pPr>
              <w:spacing w:after="0" w:line="240" w:lineRule="auto"/>
              <w:ind w:right="15"/>
              <w:jc w:val="left"/>
              <w:rPr>
                <w:color w:val="000000"/>
              </w:rPr>
            </w:pPr>
            <w:r w:rsidRPr="00F2541A">
              <w:t>None</w:t>
            </w:r>
          </w:p>
        </w:tc>
        <w:tc>
          <w:tcPr>
            <w:tcW w:w="1915" w:type="dxa"/>
            <w:tcBorders>
              <w:top w:val="single" w:color="CCCCCC" w:sz="5" w:space="0"/>
              <w:left w:val="single" w:color="CCCCCC" w:sz="5" w:space="0"/>
              <w:bottom w:val="single" w:color="000000" w:sz="5" w:space="0"/>
              <w:right w:val="single" w:color="000000" w:sz="5" w:space="0"/>
            </w:tcBorders>
            <w:tcMar>
              <w:left w:w="0" w:type="dxa"/>
              <w:right w:w="0" w:type="dxa"/>
            </w:tcMar>
          </w:tcPr>
          <w:p w:rsidRPr="00F2541A" w:rsidR="00E81CDA" w:rsidP="00F2541A" w:rsidRDefault="00E81CDA" w14:paraId="687D19FB" w14:textId="77777777">
            <w:pPr>
              <w:spacing w:after="0" w:line="240" w:lineRule="auto"/>
              <w:ind w:right="15"/>
              <w:jc w:val="left"/>
              <w:rPr>
                <w:color w:val="000000"/>
              </w:rPr>
            </w:pPr>
            <w:proofErr w:type="gramStart"/>
            <w:r w:rsidRPr="00F2541A">
              <w:t>Moderate-term</w:t>
            </w:r>
            <w:proofErr w:type="gramEnd"/>
          </w:p>
        </w:tc>
      </w:tr>
      <w:tr w:rsidR="00E81CDA" w:rsidTr="00B76CDA" w14:paraId="5B77805B" w14:textId="77777777">
        <w:trPr>
          <w:trHeight w:val="20"/>
          <w:jc w:val="center"/>
        </w:trPr>
        <w:tc>
          <w:tcPr>
            <w:tcW w:w="4246" w:type="dxa"/>
            <w:tcBorders>
              <w:top w:val="single" w:color="CCCCCC" w:sz="5" w:space="0"/>
              <w:left w:val="single" w:color="000000" w:sz="5" w:space="0"/>
              <w:bottom w:val="single" w:color="000000" w:sz="5" w:space="0"/>
              <w:right w:val="single" w:color="000000" w:sz="5" w:space="0"/>
            </w:tcBorders>
            <w:tcMar>
              <w:left w:w="0" w:type="dxa"/>
              <w:right w:w="0" w:type="dxa"/>
            </w:tcMar>
          </w:tcPr>
          <w:p w:rsidRPr="00F2541A" w:rsidR="00E81CDA" w:rsidRDefault="00E81CDA" w14:paraId="0B6EFDAB" w14:textId="77777777">
            <w:pPr>
              <w:spacing w:after="0" w:line="240" w:lineRule="auto"/>
              <w:ind w:left="90"/>
              <w:jc w:val="left"/>
              <w:rPr>
                <w:color w:val="000000"/>
              </w:rPr>
            </w:pPr>
            <w:r w:rsidRPr="00F2541A">
              <w:t>Electrical Power-Line Installers and Repairers</w:t>
            </w:r>
          </w:p>
        </w:tc>
        <w:tc>
          <w:tcPr>
            <w:tcW w:w="1915" w:type="dxa"/>
            <w:tcBorders>
              <w:top w:val="single" w:color="CCCCCC" w:sz="5" w:space="0"/>
              <w:left w:val="single" w:color="000000" w:sz="5" w:space="0"/>
              <w:bottom w:val="single" w:color="000000" w:sz="5" w:space="0"/>
              <w:right w:val="single" w:color="000000" w:sz="5" w:space="0"/>
            </w:tcBorders>
            <w:tcMar>
              <w:left w:w="0" w:type="dxa"/>
              <w:right w:w="0" w:type="dxa"/>
            </w:tcMar>
          </w:tcPr>
          <w:p w:rsidRPr="00F2541A" w:rsidR="00E81CDA" w:rsidP="00F2541A" w:rsidRDefault="00E81CDA" w14:paraId="3C063BC6" w14:textId="77777777">
            <w:pPr>
              <w:spacing w:after="0" w:line="240" w:lineRule="auto"/>
              <w:ind w:right="15"/>
              <w:jc w:val="left"/>
              <w:rPr>
                <w:color w:val="000000"/>
              </w:rPr>
            </w:pPr>
            <w:r w:rsidRPr="00F2541A">
              <w:t>High school diploma or equivalent</w:t>
            </w:r>
          </w:p>
        </w:tc>
        <w:tc>
          <w:tcPr>
            <w:tcW w:w="1915" w:type="dxa"/>
            <w:tcBorders>
              <w:top w:val="single" w:color="CCCCCC" w:sz="5" w:space="0"/>
              <w:left w:val="single" w:color="CCCCCC" w:sz="5" w:space="0"/>
              <w:bottom w:val="single" w:color="000000" w:sz="5" w:space="0"/>
              <w:right w:val="single" w:color="000000" w:sz="5" w:space="0"/>
            </w:tcBorders>
            <w:tcMar>
              <w:left w:w="0" w:type="dxa"/>
              <w:right w:w="0" w:type="dxa"/>
            </w:tcMar>
          </w:tcPr>
          <w:p w:rsidRPr="00F2541A" w:rsidR="00E81CDA" w:rsidP="00F2541A" w:rsidRDefault="00E81CDA" w14:paraId="562FECAD" w14:textId="77777777">
            <w:pPr>
              <w:spacing w:after="0" w:line="240" w:lineRule="auto"/>
              <w:ind w:right="15"/>
              <w:jc w:val="left"/>
              <w:rPr>
                <w:color w:val="000000"/>
              </w:rPr>
            </w:pPr>
            <w:r w:rsidRPr="00F2541A">
              <w:t>None</w:t>
            </w:r>
          </w:p>
        </w:tc>
        <w:tc>
          <w:tcPr>
            <w:tcW w:w="1915" w:type="dxa"/>
            <w:tcBorders>
              <w:top w:val="single" w:color="CCCCCC" w:sz="5" w:space="0"/>
              <w:left w:val="single" w:color="CCCCCC" w:sz="5" w:space="0"/>
              <w:bottom w:val="single" w:color="000000" w:sz="5" w:space="0"/>
              <w:right w:val="single" w:color="000000" w:sz="5" w:space="0"/>
            </w:tcBorders>
            <w:tcMar>
              <w:left w:w="0" w:type="dxa"/>
              <w:right w:w="0" w:type="dxa"/>
            </w:tcMar>
          </w:tcPr>
          <w:p w:rsidRPr="00F2541A" w:rsidR="00E81CDA" w:rsidP="00F2541A" w:rsidRDefault="00E81CDA" w14:paraId="07978936" w14:textId="77777777">
            <w:pPr>
              <w:spacing w:after="0" w:line="240" w:lineRule="auto"/>
              <w:ind w:right="15"/>
              <w:jc w:val="left"/>
              <w:rPr>
                <w:color w:val="000000"/>
              </w:rPr>
            </w:pPr>
            <w:r w:rsidRPr="00F2541A">
              <w:t>Long-term</w:t>
            </w:r>
          </w:p>
        </w:tc>
      </w:tr>
      <w:tr w:rsidR="00E81CDA" w:rsidTr="00B76CDA" w14:paraId="7D50D89C" w14:textId="77777777">
        <w:trPr>
          <w:trHeight w:val="20"/>
          <w:jc w:val="center"/>
        </w:trPr>
        <w:tc>
          <w:tcPr>
            <w:tcW w:w="4246" w:type="dxa"/>
            <w:tcBorders>
              <w:top w:val="single" w:color="CCCCCC" w:sz="5" w:space="0"/>
              <w:left w:val="single" w:color="000000" w:sz="5" w:space="0"/>
              <w:bottom w:val="single" w:color="000000" w:sz="5" w:space="0"/>
              <w:right w:val="single" w:color="000000" w:sz="5" w:space="0"/>
            </w:tcBorders>
            <w:tcMar>
              <w:left w:w="0" w:type="dxa"/>
              <w:right w:w="0" w:type="dxa"/>
            </w:tcMar>
          </w:tcPr>
          <w:p w:rsidRPr="00F2541A" w:rsidR="00E81CDA" w:rsidRDefault="00E81CDA" w14:paraId="1284158D" w14:textId="77777777">
            <w:pPr>
              <w:spacing w:after="0" w:line="240" w:lineRule="auto"/>
              <w:ind w:left="90"/>
              <w:jc w:val="left"/>
              <w:rPr>
                <w:color w:val="000000"/>
              </w:rPr>
            </w:pPr>
            <w:r w:rsidRPr="00F2541A">
              <w:t>Telecommunications Line Installers and Repairers</w:t>
            </w:r>
          </w:p>
        </w:tc>
        <w:tc>
          <w:tcPr>
            <w:tcW w:w="1915" w:type="dxa"/>
            <w:tcBorders>
              <w:top w:val="single" w:color="CCCCCC" w:sz="5" w:space="0"/>
              <w:left w:val="single" w:color="000000" w:sz="5" w:space="0"/>
              <w:bottom w:val="single" w:color="000000" w:sz="5" w:space="0"/>
              <w:right w:val="single" w:color="000000" w:sz="5" w:space="0"/>
            </w:tcBorders>
            <w:tcMar>
              <w:left w:w="0" w:type="dxa"/>
              <w:right w:w="0" w:type="dxa"/>
            </w:tcMar>
          </w:tcPr>
          <w:p w:rsidRPr="00F2541A" w:rsidR="00E81CDA" w:rsidP="00F2541A" w:rsidRDefault="00E81CDA" w14:paraId="703B8AAD" w14:textId="77777777">
            <w:pPr>
              <w:spacing w:after="0" w:line="240" w:lineRule="auto"/>
              <w:ind w:right="15"/>
              <w:jc w:val="left"/>
              <w:rPr>
                <w:color w:val="000000"/>
              </w:rPr>
            </w:pPr>
            <w:r w:rsidRPr="00F2541A">
              <w:t>High school diploma or equivalent</w:t>
            </w:r>
          </w:p>
        </w:tc>
        <w:tc>
          <w:tcPr>
            <w:tcW w:w="1915" w:type="dxa"/>
            <w:tcBorders>
              <w:top w:val="single" w:color="CCCCCC" w:sz="5" w:space="0"/>
              <w:left w:val="single" w:color="CCCCCC" w:sz="5" w:space="0"/>
              <w:bottom w:val="single" w:color="000000" w:sz="5" w:space="0"/>
              <w:right w:val="single" w:color="000000" w:sz="5" w:space="0"/>
            </w:tcBorders>
            <w:tcMar>
              <w:left w:w="0" w:type="dxa"/>
              <w:right w:w="0" w:type="dxa"/>
            </w:tcMar>
          </w:tcPr>
          <w:p w:rsidRPr="00F2541A" w:rsidR="00E81CDA" w:rsidP="00F2541A" w:rsidRDefault="00E81CDA" w14:paraId="3744017D" w14:textId="77777777">
            <w:pPr>
              <w:spacing w:after="0" w:line="240" w:lineRule="auto"/>
              <w:ind w:right="15"/>
              <w:jc w:val="left"/>
              <w:rPr>
                <w:color w:val="000000"/>
              </w:rPr>
            </w:pPr>
            <w:r w:rsidRPr="00F2541A">
              <w:t>None</w:t>
            </w:r>
          </w:p>
        </w:tc>
        <w:tc>
          <w:tcPr>
            <w:tcW w:w="1915" w:type="dxa"/>
            <w:tcBorders>
              <w:top w:val="single" w:color="CCCCCC" w:sz="5" w:space="0"/>
              <w:left w:val="single" w:color="CCCCCC" w:sz="5" w:space="0"/>
              <w:bottom w:val="single" w:color="000000" w:sz="5" w:space="0"/>
              <w:right w:val="single" w:color="000000" w:sz="5" w:space="0"/>
            </w:tcBorders>
            <w:tcMar>
              <w:left w:w="0" w:type="dxa"/>
              <w:right w:w="0" w:type="dxa"/>
            </w:tcMar>
          </w:tcPr>
          <w:p w:rsidRPr="00F2541A" w:rsidR="00E81CDA" w:rsidP="00F2541A" w:rsidRDefault="00E81CDA" w14:paraId="46F9EEF4" w14:textId="77777777">
            <w:pPr>
              <w:spacing w:after="0" w:line="240" w:lineRule="auto"/>
              <w:ind w:right="15"/>
              <w:jc w:val="left"/>
              <w:rPr>
                <w:color w:val="000000"/>
              </w:rPr>
            </w:pPr>
            <w:r w:rsidRPr="00F2541A">
              <w:t>Long-term</w:t>
            </w:r>
          </w:p>
        </w:tc>
      </w:tr>
    </w:tbl>
    <w:p w:rsidR="00E81CDA" w:rsidP="00E81CDA" w:rsidRDefault="00E81CDA" w14:paraId="2192CDF0" w14:textId="77777777">
      <w:pPr>
        <w:rPr>
          <w:i/>
          <w:sz w:val="20"/>
          <w:szCs w:val="20"/>
        </w:rPr>
      </w:pPr>
      <w:r>
        <w:rPr>
          <w:i/>
          <w:sz w:val="20"/>
          <w:szCs w:val="20"/>
        </w:rPr>
        <w:t xml:space="preserve">Source: </w:t>
      </w:r>
      <w:proofErr w:type="spellStart"/>
      <w:r>
        <w:rPr>
          <w:i/>
          <w:sz w:val="20"/>
          <w:szCs w:val="20"/>
        </w:rPr>
        <w:t>Lightcast</w:t>
      </w:r>
      <w:proofErr w:type="spellEnd"/>
      <w:r>
        <w:rPr>
          <w:i/>
          <w:sz w:val="20"/>
          <w:szCs w:val="20"/>
        </w:rPr>
        <w:t xml:space="preserve"> </w:t>
      </w:r>
      <w:proofErr w:type="spellStart"/>
      <w:r>
        <w:rPr>
          <w:i/>
          <w:sz w:val="20"/>
          <w:szCs w:val="20"/>
        </w:rPr>
        <w:t>Datarun</w:t>
      </w:r>
      <w:proofErr w:type="spellEnd"/>
      <w:r>
        <w:rPr>
          <w:i/>
          <w:sz w:val="20"/>
          <w:szCs w:val="20"/>
        </w:rPr>
        <w:t xml:space="preserve"> 2023.3</w:t>
      </w:r>
    </w:p>
    <w:p w:rsidR="00E81CDA" w:rsidP="00E81CDA" w:rsidRDefault="00E81CDA" w14:paraId="17F32E02" w14:textId="7F57AB1C">
      <w:r>
        <w:t xml:space="preserve">A key workforce strategy for filling new roles, retaining existing employees, marketing career opportunities to new recruits, and leveraging on-the-job training opportunities is to define career pathways. Occupations that require more experience and qualifications can sometimes be filled by promotions, thereby transferring the process of bringing new people into the industry to roles that require less previous experience or fewer qualifications. </w:t>
      </w:r>
    </w:p>
    <w:p w:rsidR="00E81CDA" w:rsidP="00E81CDA" w:rsidRDefault="00E81CDA" w14:paraId="6738B095" w14:textId="77777777">
      <w:pPr>
        <w:rPr>
          <w:i/>
          <w:sz w:val="20"/>
          <w:szCs w:val="20"/>
        </w:rPr>
      </w:pPr>
      <w:r>
        <w:t xml:space="preserve">For example, a customer service representative will naturally learn the essential terminology, basic structure of an ISP and broadband network, and customer-facing soft skills through working in a customer service environment and responding to customer calls. With the right lexicon and customer-facing skills honed virtually, the training required to then start doing in-home installations becomes less onerous than training someone with no experience in ISP customer service. From there, that worker may wish to seek more training and transition again to various forms of higher-paid outside plant (OSP) work—such as fiber splicing—and after a few years, may become a supervisor of an OSP team. These growth paths are not right for everyone and may not be possible in every ISP environment; however, when they are possible, it is beneficial to employers and employees to promote occupational advancement within a company. </w:t>
      </w:r>
    </w:p>
    <w:p w:rsidR="00E81CDA" w:rsidP="006F78D2" w:rsidRDefault="00E81CDA" w14:paraId="04DB2444" w14:textId="77777777">
      <w:pPr>
        <w:pStyle w:val="Heading3"/>
        <w:numPr>
          <w:ilvl w:val="2"/>
          <w:numId w:val="23"/>
        </w:numPr>
      </w:pPr>
      <w:bookmarkStart w:name="_heading=h.bo9llx1nf2w3" w:colFirst="0" w:colLast="0" w:id="188"/>
      <w:bookmarkStart w:name="_Toc150852661" w:id="189"/>
      <w:bookmarkEnd w:id="188"/>
      <w:r>
        <w:t>Current unemployment metrics</w:t>
      </w:r>
      <w:bookmarkEnd w:id="189"/>
    </w:p>
    <w:p w:rsidR="00E81CDA" w:rsidP="00E81CDA" w:rsidRDefault="00E81CDA" w14:paraId="660AF9E6" w14:textId="48266982">
      <w:r>
        <w:t xml:space="preserve">Though unemployment numbers are only aggregated at more general occupation classification levels, some inferences can be made as to how current unemployment numbers may impact </w:t>
      </w:r>
      <w:r w:rsidR="00F66087">
        <w:t xml:space="preserve">the </w:t>
      </w:r>
      <w:r>
        <w:t xml:space="preserve">ability to fill open positions in broadband construction. </w:t>
      </w:r>
    </w:p>
    <w:p w:rsidR="00E81CDA" w:rsidP="00E81CDA" w:rsidRDefault="00E81CDA" w14:paraId="4E21EB68" w14:textId="5D93854A">
      <w:r>
        <w:t xml:space="preserve">The chart below outlines the total number of unemployed workers in Alabama by major occupation category, the share of all unemployed people in Alabama represented by that category, and the comparable percentage of all unemployed people in that category for the nation. In other words, while 5 percent of unemployed people in Alabama are from the </w:t>
      </w:r>
      <w:r>
        <w:rPr>
          <w:i/>
        </w:rPr>
        <w:t>Construction and Extraction</w:t>
      </w:r>
      <w:r>
        <w:t xml:space="preserve"> occupations, 13 percent of people nationally who are unemployed are from that category, showing a proportionally smaller availability of those workers in Alabama compared to the nation. </w:t>
      </w:r>
    </w:p>
    <w:p w:rsidR="00E81CDA" w:rsidP="00E81CDA" w:rsidRDefault="00E81CDA" w14:paraId="0650E27B" w14:textId="065CD3EE">
      <w:pPr>
        <w:pStyle w:val="Caption"/>
      </w:pPr>
      <w:bookmarkStart w:name="_heading=h.lnxbz9" w:colFirst="0" w:colLast="0" w:id="190"/>
      <w:bookmarkStart w:name="_Toc150852788" w:id="191"/>
      <w:bookmarkEnd w:id="190"/>
      <w:r>
        <w:t xml:space="preserve">Table </w:t>
      </w:r>
      <w:r w:rsidR="00597437">
        <w:fldChar w:fldCharType="begin"/>
      </w:r>
      <w:r w:rsidR="00597437">
        <w:instrText xml:space="preserve"> SEQ Table \* ARABIC </w:instrText>
      </w:r>
      <w:r w:rsidR="00597437">
        <w:fldChar w:fldCharType="separate"/>
      </w:r>
      <w:r w:rsidR="00444AF1">
        <w:rPr>
          <w:noProof/>
        </w:rPr>
        <w:t>13</w:t>
      </w:r>
      <w:r w:rsidR="00597437">
        <w:rPr>
          <w:noProof/>
        </w:rPr>
        <w:fldChar w:fldCharType="end"/>
      </w:r>
      <w:r>
        <w:t xml:space="preserve">: </w:t>
      </w:r>
      <w:r w:rsidRPr="00D36D9E">
        <w:t>Unemployment for occupations impacted by broadband investment</w:t>
      </w:r>
      <w:bookmarkEnd w:id="191"/>
    </w:p>
    <w:tbl>
      <w:tblPr>
        <w:tblW w:w="9360" w:type="dxa"/>
        <w:tblInd w:w="-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4805"/>
        <w:gridCol w:w="1350"/>
        <w:gridCol w:w="1620"/>
        <w:gridCol w:w="1585"/>
      </w:tblGrid>
      <w:tr w:rsidR="006039E0" w:rsidTr="00C75FFF" w14:paraId="66AE4EB4" w14:textId="77777777">
        <w:trPr>
          <w:trHeight w:val="576"/>
        </w:trPr>
        <w:tc>
          <w:tcPr>
            <w:tcW w:w="4805" w:type="dxa"/>
            <w:tcBorders>
              <w:right w:val="single" w:color="FFFFFF" w:themeColor="background1" w:sz="4" w:space="0"/>
            </w:tcBorders>
            <w:shd w:val="clear" w:color="auto" w:fill="0A2458"/>
            <w:tcMar>
              <w:top w:w="0" w:type="dxa"/>
              <w:left w:w="40" w:type="dxa"/>
              <w:bottom w:w="0" w:type="dxa"/>
              <w:right w:w="40" w:type="dxa"/>
            </w:tcMar>
          </w:tcPr>
          <w:p w:rsidRPr="001D7B2F" w:rsidR="00E81CDA" w:rsidRDefault="00E81CDA" w14:paraId="680D3929" w14:textId="77777777">
            <w:pPr>
              <w:keepNext/>
              <w:keepLines/>
              <w:spacing w:after="0" w:line="240" w:lineRule="auto"/>
              <w:ind w:left="90"/>
              <w:jc w:val="left"/>
            </w:pPr>
            <w:r w:rsidRPr="001D7B2F">
              <w:t>Occupation</w:t>
            </w:r>
          </w:p>
        </w:tc>
        <w:tc>
          <w:tcPr>
            <w:tcW w:w="1350" w:type="dxa"/>
            <w:tcBorders>
              <w:left w:val="single" w:color="FFFFFF" w:themeColor="background1" w:sz="4" w:space="0"/>
              <w:right w:val="single" w:color="FFFFFF" w:themeColor="background1" w:sz="4" w:space="0"/>
            </w:tcBorders>
            <w:shd w:val="clear" w:color="auto" w:fill="0A2458"/>
            <w:tcMar>
              <w:top w:w="0" w:type="dxa"/>
              <w:left w:w="40" w:type="dxa"/>
              <w:bottom w:w="0" w:type="dxa"/>
              <w:right w:w="40" w:type="dxa"/>
            </w:tcMar>
          </w:tcPr>
          <w:p w:rsidRPr="001D7B2F" w:rsidR="00E81CDA" w:rsidP="004B46FE" w:rsidRDefault="00E81CDA" w14:paraId="42398270" w14:textId="2FA6513A">
            <w:pPr>
              <w:keepNext/>
              <w:keepLines/>
              <w:spacing w:after="0" w:line="240" w:lineRule="auto"/>
              <w:jc w:val="left"/>
            </w:pPr>
            <w:r w:rsidRPr="001D7B2F">
              <w:t>Unemployed in Alabama (April 2023)</w:t>
            </w:r>
          </w:p>
        </w:tc>
        <w:tc>
          <w:tcPr>
            <w:tcW w:w="1620" w:type="dxa"/>
            <w:tcBorders>
              <w:left w:val="single" w:color="FFFFFF" w:themeColor="background1" w:sz="4" w:space="0"/>
              <w:right w:val="single" w:color="FFFFFF" w:themeColor="background1" w:sz="4" w:space="0"/>
            </w:tcBorders>
            <w:shd w:val="clear" w:color="auto" w:fill="0A2458"/>
            <w:tcMar>
              <w:top w:w="0" w:type="dxa"/>
              <w:left w:w="40" w:type="dxa"/>
              <w:bottom w:w="0" w:type="dxa"/>
              <w:right w:w="40" w:type="dxa"/>
            </w:tcMar>
          </w:tcPr>
          <w:p w:rsidRPr="001D7B2F" w:rsidR="00E81CDA" w:rsidP="004B46FE" w:rsidRDefault="00E81CDA" w14:paraId="334DE84B" w14:textId="71C66DE8">
            <w:pPr>
              <w:keepNext/>
              <w:keepLines/>
              <w:spacing w:after="0" w:line="240" w:lineRule="auto"/>
              <w:jc w:val="left"/>
            </w:pPr>
            <w:r w:rsidRPr="001D7B2F">
              <w:rPr>
                <w:bCs/>
              </w:rPr>
              <w:t xml:space="preserve">% of </w:t>
            </w:r>
            <w:r w:rsidR="001D7B2F">
              <w:rPr>
                <w:bCs/>
              </w:rPr>
              <w:t>s</w:t>
            </w:r>
            <w:r w:rsidRPr="001D7B2F">
              <w:rPr>
                <w:bCs/>
              </w:rPr>
              <w:t xml:space="preserve">tate </w:t>
            </w:r>
            <w:r w:rsidR="001D7B2F">
              <w:rPr>
                <w:bCs/>
              </w:rPr>
              <w:t>u</w:t>
            </w:r>
            <w:r w:rsidRPr="001D7B2F">
              <w:rPr>
                <w:bCs/>
              </w:rPr>
              <w:t>nemployment</w:t>
            </w:r>
          </w:p>
        </w:tc>
        <w:tc>
          <w:tcPr>
            <w:tcW w:w="1585" w:type="dxa"/>
            <w:tcBorders>
              <w:left w:val="single" w:color="FFFFFF" w:themeColor="background1" w:sz="4" w:space="0"/>
            </w:tcBorders>
            <w:shd w:val="clear" w:color="auto" w:fill="0A2458"/>
            <w:tcMar>
              <w:top w:w="0" w:type="dxa"/>
              <w:left w:w="40" w:type="dxa"/>
              <w:bottom w:w="0" w:type="dxa"/>
              <w:right w:w="40" w:type="dxa"/>
            </w:tcMar>
          </w:tcPr>
          <w:p w:rsidRPr="001D7B2F" w:rsidR="00E81CDA" w:rsidP="004B46FE" w:rsidRDefault="00E81CDA" w14:paraId="4ED54469" w14:textId="5DD9030D">
            <w:pPr>
              <w:keepNext/>
              <w:keepLines/>
              <w:spacing w:after="0" w:line="240" w:lineRule="auto"/>
              <w:jc w:val="left"/>
            </w:pPr>
            <w:r w:rsidRPr="001D7B2F">
              <w:rPr>
                <w:bCs/>
              </w:rPr>
              <w:t xml:space="preserve">% of </w:t>
            </w:r>
            <w:r w:rsidR="001D7B2F">
              <w:rPr>
                <w:bCs/>
              </w:rPr>
              <w:t>n</w:t>
            </w:r>
            <w:r w:rsidRPr="001D7B2F">
              <w:rPr>
                <w:bCs/>
              </w:rPr>
              <w:t xml:space="preserve">ational </w:t>
            </w:r>
            <w:r w:rsidR="001D7B2F">
              <w:rPr>
                <w:bCs/>
              </w:rPr>
              <w:t>u</w:t>
            </w:r>
            <w:r w:rsidRPr="001D7B2F">
              <w:rPr>
                <w:bCs/>
              </w:rPr>
              <w:t>nemployment</w:t>
            </w:r>
          </w:p>
        </w:tc>
      </w:tr>
      <w:tr w:rsidR="006A438E" w:rsidTr="00636BD9" w14:paraId="61EC913C" w14:textId="77777777">
        <w:trPr>
          <w:trHeight w:val="20"/>
        </w:trPr>
        <w:tc>
          <w:tcPr>
            <w:tcW w:w="4805" w:type="dxa"/>
            <w:shd w:val="clear" w:color="auto" w:fill="auto"/>
            <w:tcMar>
              <w:top w:w="0" w:type="dxa"/>
              <w:left w:w="40" w:type="dxa"/>
              <w:bottom w:w="0" w:type="dxa"/>
              <w:right w:w="40" w:type="dxa"/>
            </w:tcMar>
          </w:tcPr>
          <w:p w:rsidRPr="001D7B2F" w:rsidR="00E81CDA" w:rsidP="00636BD9" w:rsidRDefault="00E81CDA" w14:paraId="480E3212" w14:textId="77777777">
            <w:pPr>
              <w:keepNext/>
              <w:keepLines/>
              <w:spacing w:after="0" w:line="240" w:lineRule="auto"/>
              <w:ind w:left="86"/>
              <w:jc w:val="left"/>
              <w:rPr>
                <w:b/>
                <w:u w:val="single"/>
              </w:rPr>
            </w:pPr>
            <w:r w:rsidRPr="001D7B2F">
              <w:rPr>
                <w:b/>
                <w:u w:val="single"/>
              </w:rPr>
              <w:t>Business and Financial Operations Occupations</w:t>
            </w:r>
          </w:p>
          <w:p w:rsidRPr="001D7B2F" w:rsidR="00E81CDA" w:rsidP="00636BD9" w:rsidRDefault="00E81CDA" w14:paraId="63A3BED8" w14:textId="77777777">
            <w:pPr>
              <w:keepNext/>
              <w:keepLines/>
              <w:spacing w:after="0" w:line="240" w:lineRule="auto"/>
              <w:ind w:left="86"/>
              <w:jc w:val="left"/>
            </w:pPr>
            <w:r w:rsidRPr="001D7B2F">
              <w:t>Project Management Specialists</w:t>
            </w:r>
          </w:p>
          <w:p w:rsidRPr="001D7B2F" w:rsidR="00E81CDA" w:rsidP="00636BD9" w:rsidRDefault="00E81CDA" w14:paraId="1BDD4A4D" w14:textId="77777777">
            <w:pPr>
              <w:keepNext/>
              <w:keepLines/>
              <w:spacing w:after="0" w:line="240" w:lineRule="auto"/>
              <w:ind w:left="86"/>
              <w:jc w:val="left"/>
            </w:pPr>
            <w:r w:rsidRPr="001D7B2F">
              <w:t>Business Operations Specialists, All Other</w:t>
            </w:r>
          </w:p>
        </w:tc>
        <w:tc>
          <w:tcPr>
            <w:tcW w:w="1350" w:type="dxa"/>
            <w:tcBorders>
              <w:top w:val="single" w:color="000000" w:sz="5" w:space="0"/>
              <w:left w:val="single" w:color="000000" w:sz="5" w:space="0"/>
              <w:bottom w:val="single" w:color="000000" w:sz="5" w:space="0"/>
              <w:right w:val="single" w:color="000000" w:sz="5" w:space="0"/>
            </w:tcBorders>
            <w:tcMar>
              <w:left w:w="0" w:type="dxa"/>
              <w:right w:w="0" w:type="dxa"/>
            </w:tcMar>
          </w:tcPr>
          <w:p w:rsidRPr="001D7B2F" w:rsidR="00E81CDA" w:rsidP="00636BD9" w:rsidRDefault="00E81CDA" w14:paraId="137819AF" w14:textId="77777777">
            <w:pPr>
              <w:spacing w:after="0" w:line="240" w:lineRule="auto"/>
              <w:ind w:left="86" w:right="75"/>
              <w:jc w:val="left"/>
              <w:rPr>
                <w:color w:val="000000"/>
              </w:rPr>
            </w:pPr>
            <w:r w:rsidRPr="001D7B2F">
              <w:t>1,738</w:t>
            </w:r>
          </w:p>
        </w:tc>
        <w:tc>
          <w:tcPr>
            <w:tcW w:w="1620" w:type="dxa"/>
            <w:tcBorders>
              <w:top w:val="single" w:color="000000" w:sz="5" w:space="0"/>
              <w:left w:val="single" w:color="CCCCCC" w:sz="5" w:space="0"/>
              <w:bottom w:val="single" w:color="000000" w:sz="5" w:space="0"/>
              <w:right w:val="single" w:color="000000" w:sz="5" w:space="0"/>
            </w:tcBorders>
            <w:tcMar>
              <w:left w:w="0" w:type="dxa"/>
              <w:right w:w="0" w:type="dxa"/>
            </w:tcMar>
          </w:tcPr>
          <w:p w:rsidRPr="001D7B2F" w:rsidR="00E81CDA" w:rsidP="00636BD9" w:rsidRDefault="00E81CDA" w14:paraId="017DFA69" w14:textId="77777777">
            <w:pPr>
              <w:spacing w:after="0" w:line="240" w:lineRule="auto"/>
              <w:ind w:left="86" w:right="75"/>
              <w:jc w:val="left"/>
              <w:rPr>
                <w:color w:val="000000"/>
              </w:rPr>
            </w:pPr>
            <w:r w:rsidRPr="001D7B2F">
              <w:t>4%</w:t>
            </w:r>
          </w:p>
        </w:tc>
        <w:tc>
          <w:tcPr>
            <w:tcW w:w="1585" w:type="dxa"/>
            <w:tcBorders>
              <w:top w:val="single" w:color="000000" w:sz="5" w:space="0"/>
              <w:left w:val="single" w:color="CCCCCC" w:sz="5" w:space="0"/>
              <w:bottom w:val="single" w:color="000000" w:sz="5" w:space="0"/>
              <w:right w:val="single" w:color="000000" w:sz="5" w:space="0"/>
            </w:tcBorders>
            <w:tcMar>
              <w:left w:w="0" w:type="dxa"/>
              <w:right w:w="0" w:type="dxa"/>
            </w:tcMar>
          </w:tcPr>
          <w:p w:rsidRPr="001D7B2F" w:rsidR="00E81CDA" w:rsidP="00636BD9" w:rsidRDefault="00E81CDA" w14:paraId="58FC4B96" w14:textId="77777777">
            <w:pPr>
              <w:spacing w:after="0" w:line="240" w:lineRule="auto"/>
              <w:ind w:left="86" w:right="75"/>
              <w:jc w:val="left"/>
            </w:pPr>
            <w:r w:rsidRPr="001D7B2F">
              <w:t>6%</w:t>
            </w:r>
          </w:p>
        </w:tc>
      </w:tr>
      <w:tr w:rsidR="006039E0" w:rsidTr="00636BD9" w14:paraId="04FF6C2B" w14:textId="77777777">
        <w:trPr>
          <w:trHeight w:val="20"/>
        </w:trPr>
        <w:tc>
          <w:tcPr>
            <w:tcW w:w="4805" w:type="dxa"/>
            <w:shd w:val="clear" w:color="auto" w:fill="auto"/>
            <w:tcMar>
              <w:top w:w="0" w:type="dxa"/>
              <w:left w:w="40" w:type="dxa"/>
              <w:bottom w:w="0" w:type="dxa"/>
              <w:right w:w="40" w:type="dxa"/>
            </w:tcMar>
          </w:tcPr>
          <w:p w:rsidRPr="001D7B2F" w:rsidR="00E81CDA" w:rsidP="00636BD9" w:rsidRDefault="00E81CDA" w14:paraId="4B8C84A3" w14:textId="77777777">
            <w:pPr>
              <w:keepNext/>
              <w:keepLines/>
              <w:spacing w:after="0" w:line="240" w:lineRule="auto"/>
              <w:ind w:left="86"/>
              <w:jc w:val="left"/>
              <w:rPr>
                <w:b/>
                <w:u w:val="single"/>
              </w:rPr>
            </w:pPr>
            <w:r w:rsidRPr="001D7B2F">
              <w:rPr>
                <w:b/>
                <w:u w:val="single"/>
              </w:rPr>
              <w:t>Computer and Mathematical Occupations</w:t>
            </w:r>
          </w:p>
          <w:p w:rsidRPr="001D7B2F" w:rsidR="00E81CDA" w:rsidP="00636BD9" w:rsidRDefault="00E81CDA" w14:paraId="68C932E2" w14:textId="77777777">
            <w:pPr>
              <w:keepNext/>
              <w:keepLines/>
              <w:spacing w:after="0" w:line="240" w:lineRule="auto"/>
              <w:ind w:left="86"/>
              <w:jc w:val="left"/>
            </w:pPr>
            <w:r w:rsidRPr="001D7B2F">
              <w:t>Software Developers</w:t>
            </w:r>
          </w:p>
          <w:p w:rsidRPr="001D7B2F" w:rsidR="00E81CDA" w:rsidP="00636BD9" w:rsidRDefault="00E81CDA" w14:paraId="09B207DC" w14:textId="77777777">
            <w:pPr>
              <w:keepNext/>
              <w:keepLines/>
              <w:spacing w:after="0" w:line="240" w:lineRule="auto"/>
              <w:ind w:left="86"/>
              <w:jc w:val="left"/>
            </w:pPr>
            <w:r w:rsidRPr="001D7B2F">
              <w:t>Software Quality Assurance Analysts and Testers</w:t>
            </w:r>
          </w:p>
        </w:tc>
        <w:tc>
          <w:tcPr>
            <w:tcW w:w="1350" w:type="dxa"/>
            <w:tcBorders>
              <w:top w:val="single" w:color="CCCCCC" w:sz="5" w:space="0"/>
              <w:left w:val="single" w:color="000000" w:sz="5" w:space="0"/>
              <w:bottom w:val="single" w:color="000000" w:sz="5" w:space="0"/>
              <w:right w:val="single" w:color="000000" w:sz="5" w:space="0"/>
            </w:tcBorders>
            <w:tcMar>
              <w:left w:w="0" w:type="dxa"/>
              <w:right w:w="0" w:type="dxa"/>
            </w:tcMar>
          </w:tcPr>
          <w:p w:rsidRPr="001D7B2F" w:rsidR="00E81CDA" w:rsidP="00636BD9" w:rsidRDefault="00E81CDA" w14:paraId="0DE42ACA" w14:textId="77777777">
            <w:pPr>
              <w:spacing w:after="0" w:line="240" w:lineRule="auto"/>
              <w:ind w:left="86" w:right="75"/>
              <w:jc w:val="left"/>
              <w:rPr>
                <w:color w:val="000000"/>
              </w:rPr>
            </w:pPr>
            <w:r w:rsidRPr="001D7B2F">
              <w:t>610</w:t>
            </w:r>
          </w:p>
        </w:tc>
        <w:tc>
          <w:tcPr>
            <w:tcW w:w="1620" w:type="dxa"/>
            <w:tcBorders>
              <w:top w:val="single" w:color="CCCCCC" w:sz="5" w:space="0"/>
              <w:left w:val="single" w:color="CCCCCC" w:sz="5" w:space="0"/>
              <w:bottom w:val="single" w:color="000000" w:sz="5" w:space="0"/>
              <w:right w:val="single" w:color="000000" w:sz="5" w:space="0"/>
            </w:tcBorders>
            <w:tcMar>
              <w:left w:w="0" w:type="dxa"/>
              <w:right w:w="0" w:type="dxa"/>
            </w:tcMar>
          </w:tcPr>
          <w:p w:rsidRPr="001D7B2F" w:rsidR="00E81CDA" w:rsidP="00636BD9" w:rsidRDefault="00E81CDA" w14:paraId="054A2CC7" w14:textId="77777777">
            <w:pPr>
              <w:spacing w:after="0" w:line="240" w:lineRule="auto"/>
              <w:ind w:left="86" w:right="75"/>
              <w:jc w:val="left"/>
              <w:rPr>
                <w:color w:val="000000"/>
              </w:rPr>
            </w:pPr>
            <w:r w:rsidRPr="001D7B2F">
              <w:t>2%</w:t>
            </w:r>
          </w:p>
        </w:tc>
        <w:tc>
          <w:tcPr>
            <w:tcW w:w="1585" w:type="dxa"/>
            <w:tcBorders>
              <w:top w:val="single" w:color="CCCCCC" w:sz="5" w:space="0"/>
              <w:left w:val="single" w:color="CCCCCC" w:sz="5" w:space="0"/>
              <w:bottom w:val="single" w:color="000000" w:sz="5" w:space="0"/>
              <w:right w:val="single" w:color="000000" w:sz="5" w:space="0"/>
            </w:tcBorders>
            <w:tcMar>
              <w:left w:w="0" w:type="dxa"/>
              <w:right w:w="0" w:type="dxa"/>
            </w:tcMar>
          </w:tcPr>
          <w:p w:rsidRPr="001D7B2F" w:rsidR="00E81CDA" w:rsidP="00636BD9" w:rsidRDefault="00E81CDA" w14:paraId="09A473E9" w14:textId="77777777">
            <w:pPr>
              <w:spacing w:after="0" w:line="240" w:lineRule="auto"/>
              <w:ind w:left="86" w:right="75"/>
              <w:jc w:val="left"/>
            </w:pPr>
            <w:r w:rsidRPr="001D7B2F">
              <w:t>3%</w:t>
            </w:r>
          </w:p>
        </w:tc>
      </w:tr>
      <w:tr w:rsidR="006039E0" w:rsidTr="00636BD9" w14:paraId="19A986AB" w14:textId="77777777">
        <w:trPr>
          <w:trHeight w:val="20"/>
        </w:trPr>
        <w:tc>
          <w:tcPr>
            <w:tcW w:w="4805" w:type="dxa"/>
            <w:shd w:val="clear" w:color="auto" w:fill="auto"/>
            <w:tcMar>
              <w:top w:w="0" w:type="dxa"/>
              <w:left w:w="40" w:type="dxa"/>
              <w:bottom w:w="0" w:type="dxa"/>
              <w:right w:w="40" w:type="dxa"/>
            </w:tcMar>
          </w:tcPr>
          <w:p w:rsidRPr="001D7B2F" w:rsidR="00E81CDA" w:rsidP="00636BD9" w:rsidRDefault="00E81CDA" w14:paraId="55E55BC7" w14:textId="77777777">
            <w:pPr>
              <w:keepNext/>
              <w:keepLines/>
              <w:spacing w:after="0" w:line="240" w:lineRule="auto"/>
              <w:ind w:left="86"/>
              <w:jc w:val="left"/>
              <w:rPr>
                <w:b/>
                <w:u w:val="single"/>
              </w:rPr>
            </w:pPr>
            <w:r w:rsidRPr="001D7B2F">
              <w:rPr>
                <w:b/>
                <w:u w:val="single"/>
              </w:rPr>
              <w:t>Architecture and Engineering Occupations</w:t>
            </w:r>
          </w:p>
          <w:p w:rsidRPr="001D7B2F" w:rsidR="00E81CDA" w:rsidP="00636BD9" w:rsidRDefault="00E81CDA" w14:paraId="5AFEB6EF" w14:textId="77777777">
            <w:pPr>
              <w:keepNext/>
              <w:keepLines/>
              <w:spacing w:after="0" w:line="240" w:lineRule="auto"/>
              <w:ind w:left="86"/>
              <w:jc w:val="left"/>
            </w:pPr>
            <w:r w:rsidRPr="001D7B2F">
              <w:t>Electronics Engineers, Except Computer</w:t>
            </w:r>
          </w:p>
        </w:tc>
        <w:tc>
          <w:tcPr>
            <w:tcW w:w="1350" w:type="dxa"/>
            <w:tcBorders>
              <w:top w:val="single" w:color="CCCCCC" w:sz="5" w:space="0"/>
              <w:left w:val="single" w:color="000000" w:sz="5" w:space="0"/>
              <w:bottom w:val="single" w:color="000000" w:sz="5" w:space="0"/>
              <w:right w:val="single" w:color="000000" w:sz="5" w:space="0"/>
            </w:tcBorders>
            <w:tcMar>
              <w:left w:w="0" w:type="dxa"/>
              <w:right w:w="0" w:type="dxa"/>
            </w:tcMar>
          </w:tcPr>
          <w:p w:rsidRPr="001D7B2F" w:rsidR="00E81CDA" w:rsidP="00636BD9" w:rsidRDefault="00E81CDA" w14:paraId="78BCE043" w14:textId="77777777">
            <w:pPr>
              <w:spacing w:after="0" w:line="240" w:lineRule="auto"/>
              <w:ind w:left="86" w:right="75"/>
              <w:jc w:val="left"/>
              <w:rPr>
                <w:color w:val="000000"/>
              </w:rPr>
            </w:pPr>
            <w:r w:rsidRPr="001D7B2F">
              <w:t>585</w:t>
            </w:r>
          </w:p>
        </w:tc>
        <w:tc>
          <w:tcPr>
            <w:tcW w:w="1620" w:type="dxa"/>
            <w:tcBorders>
              <w:top w:val="single" w:color="CCCCCC" w:sz="5" w:space="0"/>
              <w:left w:val="single" w:color="CCCCCC" w:sz="5" w:space="0"/>
              <w:bottom w:val="single" w:color="000000" w:sz="5" w:space="0"/>
              <w:right w:val="single" w:color="000000" w:sz="5" w:space="0"/>
            </w:tcBorders>
            <w:tcMar>
              <w:left w:w="0" w:type="dxa"/>
              <w:right w:w="0" w:type="dxa"/>
            </w:tcMar>
          </w:tcPr>
          <w:p w:rsidRPr="001D7B2F" w:rsidR="00E81CDA" w:rsidP="00636BD9" w:rsidRDefault="00E81CDA" w14:paraId="00F46AB2" w14:textId="77777777">
            <w:pPr>
              <w:spacing w:after="0" w:line="240" w:lineRule="auto"/>
              <w:ind w:left="86" w:right="75"/>
              <w:jc w:val="left"/>
              <w:rPr>
                <w:color w:val="000000"/>
              </w:rPr>
            </w:pPr>
            <w:r w:rsidRPr="001D7B2F">
              <w:t>1%</w:t>
            </w:r>
          </w:p>
        </w:tc>
        <w:tc>
          <w:tcPr>
            <w:tcW w:w="1585" w:type="dxa"/>
            <w:tcBorders>
              <w:top w:val="single" w:color="CCCCCC" w:sz="5" w:space="0"/>
              <w:left w:val="single" w:color="CCCCCC" w:sz="5" w:space="0"/>
              <w:bottom w:val="single" w:color="000000" w:sz="5" w:space="0"/>
              <w:right w:val="single" w:color="000000" w:sz="5" w:space="0"/>
            </w:tcBorders>
            <w:tcMar>
              <w:left w:w="0" w:type="dxa"/>
              <w:right w:w="0" w:type="dxa"/>
            </w:tcMar>
          </w:tcPr>
          <w:p w:rsidRPr="001D7B2F" w:rsidR="00E81CDA" w:rsidP="00636BD9" w:rsidRDefault="00E81CDA" w14:paraId="3BADE7FC" w14:textId="77777777">
            <w:pPr>
              <w:spacing w:after="0" w:line="240" w:lineRule="auto"/>
              <w:ind w:left="86" w:right="75"/>
              <w:jc w:val="left"/>
            </w:pPr>
            <w:r w:rsidRPr="001D7B2F">
              <w:t>1%</w:t>
            </w:r>
          </w:p>
        </w:tc>
      </w:tr>
      <w:tr w:rsidR="006039E0" w:rsidTr="00636BD9" w14:paraId="3E7136B3" w14:textId="77777777">
        <w:trPr>
          <w:trHeight w:val="20"/>
        </w:trPr>
        <w:tc>
          <w:tcPr>
            <w:tcW w:w="4805" w:type="dxa"/>
            <w:shd w:val="clear" w:color="auto" w:fill="auto"/>
            <w:tcMar>
              <w:top w:w="0" w:type="dxa"/>
              <w:left w:w="40" w:type="dxa"/>
              <w:bottom w:w="0" w:type="dxa"/>
              <w:right w:w="40" w:type="dxa"/>
            </w:tcMar>
          </w:tcPr>
          <w:p w:rsidRPr="001D7B2F" w:rsidR="00E81CDA" w:rsidP="00636BD9" w:rsidRDefault="00E81CDA" w14:paraId="179FFE14" w14:textId="77777777">
            <w:pPr>
              <w:keepNext/>
              <w:keepLines/>
              <w:spacing w:after="0" w:line="240" w:lineRule="auto"/>
              <w:ind w:left="86"/>
              <w:jc w:val="left"/>
              <w:rPr>
                <w:b/>
                <w:u w:val="single"/>
              </w:rPr>
            </w:pPr>
            <w:r w:rsidRPr="001D7B2F">
              <w:rPr>
                <w:b/>
                <w:u w:val="single"/>
              </w:rPr>
              <w:t>Sales and Related Occupations</w:t>
            </w:r>
          </w:p>
          <w:p w:rsidRPr="001D7B2F" w:rsidR="00E81CDA" w:rsidP="00636BD9" w:rsidRDefault="00E81CDA" w14:paraId="6FE30254" w14:textId="77777777">
            <w:pPr>
              <w:keepNext/>
              <w:keepLines/>
              <w:spacing w:after="0" w:line="240" w:lineRule="auto"/>
              <w:ind w:left="86"/>
              <w:jc w:val="left"/>
            </w:pPr>
            <w:r w:rsidRPr="001D7B2F">
              <w:t>Sales Representatives of Services</w:t>
            </w:r>
          </w:p>
        </w:tc>
        <w:tc>
          <w:tcPr>
            <w:tcW w:w="1350" w:type="dxa"/>
            <w:tcBorders>
              <w:top w:val="single" w:color="CCCCCC" w:sz="5" w:space="0"/>
              <w:left w:val="single" w:color="000000" w:sz="5" w:space="0"/>
              <w:bottom w:val="single" w:color="000000" w:sz="5" w:space="0"/>
              <w:right w:val="single" w:color="000000" w:sz="5" w:space="0"/>
            </w:tcBorders>
            <w:tcMar>
              <w:left w:w="0" w:type="dxa"/>
              <w:right w:w="0" w:type="dxa"/>
            </w:tcMar>
          </w:tcPr>
          <w:p w:rsidRPr="001D7B2F" w:rsidR="00E81CDA" w:rsidP="00636BD9" w:rsidRDefault="00E81CDA" w14:paraId="72DD5224" w14:textId="77777777">
            <w:pPr>
              <w:spacing w:after="0" w:line="240" w:lineRule="auto"/>
              <w:ind w:left="86" w:right="75"/>
              <w:jc w:val="left"/>
              <w:rPr>
                <w:color w:val="000000"/>
              </w:rPr>
            </w:pPr>
            <w:r w:rsidRPr="001D7B2F">
              <w:t>3,175</w:t>
            </w:r>
          </w:p>
        </w:tc>
        <w:tc>
          <w:tcPr>
            <w:tcW w:w="1620" w:type="dxa"/>
            <w:tcBorders>
              <w:top w:val="single" w:color="CCCCCC" w:sz="5" w:space="0"/>
              <w:left w:val="single" w:color="CCCCCC" w:sz="5" w:space="0"/>
              <w:bottom w:val="single" w:color="000000" w:sz="5" w:space="0"/>
              <w:right w:val="single" w:color="000000" w:sz="5" w:space="0"/>
            </w:tcBorders>
            <w:tcMar>
              <w:left w:w="0" w:type="dxa"/>
              <w:right w:w="0" w:type="dxa"/>
            </w:tcMar>
          </w:tcPr>
          <w:p w:rsidRPr="001D7B2F" w:rsidR="00E81CDA" w:rsidP="00636BD9" w:rsidRDefault="00E81CDA" w14:paraId="2FA51236" w14:textId="77777777">
            <w:pPr>
              <w:spacing w:after="0" w:line="240" w:lineRule="auto"/>
              <w:ind w:left="86" w:right="75"/>
              <w:jc w:val="left"/>
              <w:rPr>
                <w:color w:val="000000"/>
              </w:rPr>
            </w:pPr>
            <w:r w:rsidRPr="001D7B2F">
              <w:t>8%</w:t>
            </w:r>
          </w:p>
        </w:tc>
        <w:tc>
          <w:tcPr>
            <w:tcW w:w="1585" w:type="dxa"/>
            <w:tcBorders>
              <w:top w:val="single" w:color="CCCCCC" w:sz="5" w:space="0"/>
              <w:left w:val="single" w:color="CCCCCC" w:sz="5" w:space="0"/>
              <w:bottom w:val="single" w:color="000000" w:sz="5" w:space="0"/>
              <w:right w:val="single" w:color="000000" w:sz="5" w:space="0"/>
            </w:tcBorders>
            <w:tcMar>
              <w:left w:w="0" w:type="dxa"/>
              <w:right w:w="0" w:type="dxa"/>
            </w:tcMar>
          </w:tcPr>
          <w:p w:rsidRPr="001D7B2F" w:rsidR="00E81CDA" w:rsidP="00636BD9" w:rsidRDefault="00E81CDA" w14:paraId="6AB86114" w14:textId="77777777">
            <w:pPr>
              <w:spacing w:after="0" w:line="240" w:lineRule="auto"/>
              <w:ind w:left="86" w:right="75"/>
              <w:jc w:val="left"/>
            </w:pPr>
            <w:r w:rsidRPr="001D7B2F">
              <w:t>8%</w:t>
            </w:r>
          </w:p>
        </w:tc>
      </w:tr>
      <w:tr w:rsidR="006039E0" w:rsidTr="00636BD9" w14:paraId="4B2363D0" w14:textId="77777777">
        <w:trPr>
          <w:trHeight w:val="20"/>
        </w:trPr>
        <w:tc>
          <w:tcPr>
            <w:tcW w:w="4805" w:type="dxa"/>
            <w:shd w:val="clear" w:color="auto" w:fill="auto"/>
            <w:tcMar>
              <w:top w:w="0" w:type="dxa"/>
              <w:left w:w="40" w:type="dxa"/>
              <w:bottom w:w="0" w:type="dxa"/>
              <w:right w:w="40" w:type="dxa"/>
            </w:tcMar>
          </w:tcPr>
          <w:p w:rsidRPr="001D7B2F" w:rsidR="00E81CDA" w:rsidP="00636BD9" w:rsidRDefault="00E81CDA" w14:paraId="184C433A" w14:textId="77777777">
            <w:pPr>
              <w:keepNext/>
              <w:keepLines/>
              <w:spacing w:after="0" w:line="240" w:lineRule="auto"/>
              <w:ind w:left="86"/>
              <w:jc w:val="left"/>
              <w:rPr>
                <w:b/>
                <w:u w:val="single"/>
              </w:rPr>
            </w:pPr>
            <w:r w:rsidRPr="001D7B2F">
              <w:rPr>
                <w:b/>
                <w:u w:val="single"/>
              </w:rPr>
              <w:t>Office and Administrative Support Occupations</w:t>
            </w:r>
          </w:p>
          <w:p w:rsidRPr="001D7B2F" w:rsidR="00E81CDA" w:rsidP="00636BD9" w:rsidRDefault="00E81CDA" w14:paraId="40BBC583" w14:textId="77777777">
            <w:pPr>
              <w:keepNext/>
              <w:keepLines/>
              <w:spacing w:after="0" w:line="240" w:lineRule="auto"/>
              <w:ind w:left="86"/>
              <w:jc w:val="left"/>
            </w:pPr>
            <w:r w:rsidRPr="001D7B2F">
              <w:t>Customer Service Representatives</w:t>
            </w:r>
          </w:p>
        </w:tc>
        <w:tc>
          <w:tcPr>
            <w:tcW w:w="1350" w:type="dxa"/>
            <w:tcBorders>
              <w:top w:val="single" w:color="CCCCCC" w:sz="5" w:space="0"/>
              <w:left w:val="single" w:color="000000" w:sz="5" w:space="0"/>
              <w:bottom w:val="single" w:color="000000" w:sz="5" w:space="0"/>
              <w:right w:val="single" w:color="000000" w:sz="5" w:space="0"/>
            </w:tcBorders>
            <w:tcMar>
              <w:left w:w="0" w:type="dxa"/>
              <w:right w:w="0" w:type="dxa"/>
            </w:tcMar>
          </w:tcPr>
          <w:p w:rsidRPr="001D7B2F" w:rsidR="00E81CDA" w:rsidP="00636BD9" w:rsidRDefault="00E81CDA" w14:paraId="7E950A54" w14:textId="77777777">
            <w:pPr>
              <w:spacing w:after="0" w:line="240" w:lineRule="auto"/>
              <w:ind w:left="86" w:right="75"/>
              <w:jc w:val="left"/>
              <w:rPr>
                <w:color w:val="000000"/>
              </w:rPr>
            </w:pPr>
            <w:r w:rsidRPr="001D7B2F">
              <w:t>7,849</w:t>
            </w:r>
          </w:p>
        </w:tc>
        <w:tc>
          <w:tcPr>
            <w:tcW w:w="1620" w:type="dxa"/>
            <w:tcBorders>
              <w:top w:val="single" w:color="CCCCCC" w:sz="5" w:space="0"/>
              <w:left w:val="single" w:color="CCCCCC" w:sz="5" w:space="0"/>
              <w:bottom w:val="single" w:color="000000" w:sz="5" w:space="0"/>
              <w:right w:val="single" w:color="000000" w:sz="5" w:space="0"/>
            </w:tcBorders>
            <w:tcMar>
              <w:left w:w="0" w:type="dxa"/>
              <w:right w:w="0" w:type="dxa"/>
            </w:tcMar>
          </w:tcPr>
          <w:p w:rsidRPr="001D7B2F" w:rsidR="00E81CDA" w:rsidP="00636BD9" w:rsidRDefault="00E81CDA" w14:paraId="36BA2D41" w14:textId="77777777">
            <w:pPr>
              <w:spacing w:after="0" w:line="240" w:lineRule="auto"/>
              <w:ind w:left="86" w:right="75"/>
              <w:jc w:val="left"/>
              <w:rPr>
                <w:color w:val="000000"/>
              </w:rPr>
            </w:pPr>
            <w:r w:rsidRPr="001D7B2F">
              <w:t>20%</w:t>
            </w:r>
          </w:p>
        </w:tc>
        <w:tc>
          <w:tcPr>
            <w:tcW w:w="1585" w:type="dxa"/>
            <w:tcBorders>
              <w:top w:val="single" w:color="CCCCCC" w:sz="5" w:space="0"/>
              <w:left w:val="single" w:color="CCCCCC" w:sz="5" w:space="0"/>
              <w:bottom w:val="single" w:color="000000" w:sz="5" w:space="0"/>
              <w:right w:val="single" w:color="000000" w:sz="5" w:space="0"/>
            </w:tcBorders>
            <w:tcMar>
              <w:left w:w="0" w:type="dxa"/>
              <w:right w:w="0" w:type="dxa"/>
            </w:tcMar>
          </w:tcPr>
          <w:p w:rsidRPr="001D7B2F" w:rsidR="00E81CDA" w:rsidP="00636BD9" w:rsidRDefault="00E81CDA" w14:paraId="1F66F074" w14:textId="77777777">
            <w:pPr>
              <w:spacing w:after="0" w:line="240" w:lineRule="auto"/>
              <w:ind w:left="86" w:right="75"/>
              <w:jc w:val="left"/>
            </w:pPr>
            <w:r w:rsidRPr="001D7B2F">
              <w:t>13%</w:t>
            </w:r>
          </w:p>
        </w:tc>
      </w:tr>
      <w:tr w:rsidR="006039E0" w:rsidTr="00636BD9" w14:paraId="6DDC1CF6" w14:textId="77777777">
        <w:trPr>
          <w:trHeight w:val="20"/>
        </w:trPr>
        <w:tc>
          <w:tcPr>
            <w:tcW w:w="4805" w:type="dxa"/>
            <w:shd w:val="clear" w:color="auto" w:fill="auto"/>
            <w:tcMar>
              <w:top w:w="0" w:type="dxa"/>
              <w:left w:w="40" w:type="dxa"/>
              <w:bottom w:w="0" w:type="dxa"/>
              <w:right w:w="40" w:type="dxa"/>
            </w:tcMar>
          </w:tcPr>
          <w:p w:rsidRPr="001D7B2F" w:rsidR="00E81CDA" w:rsidP="00636BD9" w:rsidRDefault="00E81CDA" w14:paraId="27B8FBF4" w14:textId="77777777">
            <w:pPr>
              <w:keepNext/>
              <w:keepLines/>
              <w:spacing w:after="0" w:line="240" w:lineRule="auto"/>
              <w:ind w:left="86"/>
              <w:jc w:val="left"/>
              <w:rPr>
                <w:b/>
                <w:u w:val="single"/>
              </w:rPr>
            </w:pPr>
            <w:r w:rsidRPr="001D7B2F">
              <w:rPr>
                <w:b/>
                <w:u w:val="single"/>
              </w:rPr>
              <w:t>Construction and Extraction Occupations</w:t>
            </w:r>
          </w:p>
          <w:p w:rsidRPr="001D7B2F" w:rsidR="00E81CDA" w:rsidP="00636BD9" w:rsidRDefault="00E81CDA" w14:paraId="7EA68DDD" w14:textId="77777777">
            <w:pPr>
              <w:keepNext/>
              <w:keepLines/>
              <w:spacing w:after="0" w:line="240" w:lineRule="auto"/>
              <w:ind w:left="86"/>
              <w:jc w:val="left"/>
            </w:pPr>
            <w:r w:rsidRPr="001D7B2F">
              <w:t>Construction Laborers</w:t>
            </w:r>
          </w:p>
        </w:tc>
        <w:tc>
          <w:tcPr>
            <w:tcW w:w="1350" w:type="dxa"/>
            <w:tcBorders>
              <w:top w:val="single" w:color="CCCCCC" w:sz="5" w:space="0"/>
              <w:left w:val="single" w:color="000000" w:sz="5" w:space="0"/>
              <w:bottom w:val="single" w:color="000000" w:sz="5" w:space="0"/>
              <w:right w:val="single" w:color="000000" w:sz="5" w:space="0"/>
            </w:tcBorders>
            <w:tcMar>
              <w:left w:w="0" w:type="dxa"/>
              <w:right w:w="0" w:type="dxa"/>
            </w:tcMar>
          </w:tcPr>
          <w:p w:rsidRPr="001D7B2F" w:rsidR="00E81CDA" w:rsidP="00636BD9" w:rsidRDefault="00E81CDA" w14:paraId="569D4966" w14:textId="77777777">
            <w:pPr>
              <w:spacing w:after="0" w:line="240" w:lineRule="auto"/>
              <w:ind w:left="86" w:right="75"/>
              <w:jc w:val="left"/>
              <w:rPr>
                <w:color w:val="000000"/>
              </w:rPr>
            </w:pPr>
            <w:r w:rsidRPr="001D7B2F">
              <w:t>2,159</w:t>
            </w:r>
          </w:p>
        </w:tc>
        <w:tc>
          <w:tcPr>
            <w:tcW w:w="1620" w:type="dxa"/>
            <w:tcBorders>
              <w:top w:val="single" w:color="CCCCCC" w:sz="5" w:space="0"/>
              <w:left w:val="single" w:color="CCCCCC" w:sz="5" w:space="0"/>
              <w:bottom w:val="single" w:color="000000" w:sz="5" w:space="0"/>
              <w:right w:val="single" w:color="000000" w:sz="5" w:space="0"/>
            </w:tcBorders>
            <w:tcMar>
              <w:left w:w="0" w:type="dxa"/>
              <w:right w:w="0" w:type="dxa"/>
            </w:tcMar>
          </w:tcPr>
          <w:p w:rsidRPr="001D7B2F" w:rsidR="00E81CDA" w:rsidP="00636BD9" w:rsidRDefault="00E81CDA" w14:paraId="6B15C078" w14:textId="77777777">
            <w:pPr>
              <w:spacing w:after="0" w:line="240" w:lineRule="auto"/>
              <w:ind w:left="86" w:right="75"/>
              <w:jc w:val="left"/>
              <w:rPr>
                <w:color w:val="000000"/>
              </w:rPr>
            </w:pPr>
            <w:r w:rsidRPr="001D7B2F">
              <w:t>5%</w:t>
            </w:r>
          </w:p>
        </w:tc>
        <w:tc>
          <w:tcPr>
            <w:tcW w:w="1585" w:type="dxa"/>
            <w:tcBorders>
              <w:top w:val="single" w:color="CCCCCC" w:sz="5" w:space="0"/>
              <w:left w:val="single" w:color="CCCCCC" w:sz="5" w:space="0"/>
              <w:bottom w:val="single" w:color="000000" w:sz="5" w:space="0"/>
              <w:right w:val="single" w:color="000000" w:sz="5" w:space="0"/>
            </w:tcBorders>
            <w:tcMar>
              <w:left w:w="0" w:type="dxa"/>
              <w:right w:w="0" w:type="dxa"/>
            </w:tcMar>
          </w:tcPr>
          <w:p w:rsidRPr="001D7B2F" w:rsidR="00E81CDA" w:rsidP="00636BD9" w:rsidRDefault="00E81CDA" w14:paraId="3C85A372" w14:textId="77777777">
            <w:pPr>
              <w:spacing w:after="0" w:line="240" w:lineRule="auto"/>
              <w:ind w:left="86" w:right="75"/>
              <w:jc w:val="left"/>
            </w:pPr>
            <w:r w:rsidRPr="001D7B2F">
              <w:t>13%</w:t>
            </w:r>
          </w:p>
        </w:tc>
      </w:tr>
      <w:tr w:rsidR="006039E0" w:rsidTr="00636BD9" w14:paraId="1627C0D5" w14:textId="77777777">
        <w:trPr>
          <w:trHeight w:val="20"/>
        </w:trPr>
        <w:tc>
          <w:tcPr>
            <w:tcW w:w="4805" w:type="dxa"/>
            <w:shd w:val="clear" w:color="auto" w:fill="auto"/>
            <w:tcMar>
              <w:top w:w="0" w:type="dxa"/>
              <w:left w:w="40" w:type="dxa"/>
              <w:bottom w:w="0" w:type="dxa"/>
              <w:right w:w="40" w:type="dxa"/>
            </w:tcMar>
          </w:tcPr>
          <w:p w:rsidRPr="001D7B2F" w:rsidR="00E81CDA" w:rsidP="00636BD9" w:rsidRDefault="00E81CDA" w14:paraId="304FED53" w14:textId="77777777">
            <w:pPr>
              <w:keepNext/>
              <w:keepLines/>
              <w:spacing w:after="0" w:line="240" w:lineRule="auto"/>
              <w:ind w:left="86"/>
              <w:jc w:val="left"/>
              <w:rPr>
                <w:b/>
                <w:u w:val="single"/>
              </w:rPr>
            </w:pPr>
            <w:r w:rsidRPr="001D7B2F">
              <w:rPr>
                <w:b/>
                <w:u w:val="single"/>
              </w:rPr>
              <w:t>Installation, Maintenance, and Repair Occupations</w:t>
            </w:r>
          </w:p>
          <w:p w:rsidRPr="001D7B2F" w:rsidR="00E81CDA" w:rsidP="00636BD9" w:rsidRDefault="00E81CDA" w14:paraId="0550489F" w14:textId="77777777">
            <w:pPr>
              <w:keepNext/>
              <w:keepLines/>
              <w:spacing w:after="0" w:line="240" w:lineRule="auto"/>
              <w:ind w:left="86"/>
              <w:jc w:val="left"/>
            </w:pPr>
            <w:r w:rsidRPr="001D7B2F">
              <w:t>First-Line Supervisors of Mechanics, Installers, and Repairers</w:t>
            </w:r>
          </w:p>
          <w:p w:rsidRPr="001D7B2F" w:rsidR="00E81CDA" w:rsidP="00636BD9" w:rsidRDefault="00E81CDA" w14:paraId="73FEA977" w14:textId="77777777">
            <w:pPr>
              <w:keepNext/>
              <w:keepLines/>
              <w:spacing w:after="0" w:line="240" w:lineRule="auto"/>
              <w:ind w:left="86"/>
              <w:jc w:val="left"/>
            </w:pPr>
            <w:r w:rsidRPr="001D7B2F">
              <w:t>Telecommunications Equipment Installers and Repairers</w:t>
            </w:r>
          </w:p>
          <w:p w:rsidRPr="001D7B2F" w:rsidR="00E81CDA" w:rsidP="00636BD9" w:rsidRDefault="00E81CDA" w14:paraId="0BB832CB" w14:textId="77777777">
            <w:pPr>
              <w:keepNext/>
              <w:keepLines/>
              <w:spacing w:after="0" w:line="240" w:lineRule="auto"/>
              <w:ind w:left="86"/>
              <w:jc w:val="left"/>
            </w:pPr>
            <w:r w:rsidRPr="001D7B2F">
              <w:t>Electrical Power-Line Installers and Repairers</w:t>
            </w:r>
          </w:p>
          <w:p w:rsidRPr="001D7B2F" w:rsidR="00E81CDA" w:rsidP="00636BD9" w:rsidRDefault="00E81CDA" w14:paraId="34815343" w14:textId="77777777">
            <w:pPr>
              <w:keepNext/>
              <w:keepLines/>
              <w:spacing w:after="0" w:line="240" w:lineRule="auto"/>
              <w:ind w:left="86"/>
              <w:jc w:val="left"/>
            </w:pPr>
            <w:r w:rsidRPr="001D7B2F">
              <w:t>Telecommunications Line Installers and Repairers</w:t>
            </w:r>
          </w:p>
        </w:tc>
        <w:tc>
          <w:tcPr>
            <w:tcW w:w="1350" w:type="dxa"/>
            <w:tcBorders>
              <w:top w:val="single" w:color="CCCCCC" w:sz="5" w:space="0"/>
              <w:left w:val="single" w:color="000000" w:sz="5" w:space="0"/>
              <w:bottom w:val="single" w:color="000000" w:sz="5" w:space="0"/>
              <w:right w:val="single" w:color="000000" w:sz="5" w:space="0"/>
            </w:tcBorders>
            <w:tcMar>
              <w:left w:w="0" w:type="dxa"/>
              <w:right w:w="0" w:type="dxa"/>
            </w:tcMar>
          </w:tcPr>
          <w:p w:rsidRPr="001D7B2F" w:rsidR="00E81CDA" w:rsidP="00636BD9" w:rsidRDefault="00E81CDA" w14:paraId="6064100C" w14:textId="77777777">
            <w:pPr>
              <w:spacing w:after="0" w:line="240" w:lineRule="auto"/>
              <w:ind w:left="86" w:right="75"/>
              <w:jc w:val="left"/>
              <w:rPr>
                <w:color w:val="000000"/>
              </w:rPr>
            </w:pPr>
            <w:r w:rsidRPr="001D7B2F">
              <w:t>1,442</w:t>
            </w:r>
          </w:p>
        </w:tc>
        <w:tc>
          <w:tcPr>
            <w:tcW w:w="1620" w:type="dxa"/>
            <w:tcBorders>
              <w:top w:val="single" w:color="CCCCCC" w:sz="5" w:space="0"/>
              <w:left w:val="single" w:color="CCCCCC" w:sz="5" w:space="0"/>
              <w:bottom w:val="single" w:color="000000" w:sz="5" w:space="0"/>
              <w:right w:val="single" w:color="000000" w:sz="5" w:space="0"/>
            </w:tcBorders>
            <w:tcMar>
              <w:left w:w="0" w:type="dxa"/>
              <w:right w:w="0" w:type="dxa"/>
            </w:tcMar>
          </w:tcPr>
          <w:p w:rsidRPr="001D7B2F" w:rsidR="00E81CDA" w:rsidP="00636BD9" w:rsidRDefault="00E81CDA" w14:paraId="79C88CF9" w14:textId="77777777">
            <w:pPr>
              <w:spacing w:after="0" w:line="240" w:lineRule="auto"/>
              <w:ind w:left="86" w:right="75"/>
              <w:jc w:val="left"/>
              <w:rPr>
                <w:color w:val="000000"/>
              </w:rPr>
            </w:pPr>
            <w:r w:rsidRPr="001D7B2F">
              <w:t>4%</w:t>
            </w:r>
          </w:p>
        </w:tc>
        <w:tc>
          <w:tcPr>
            <w:tcW w:w="1585" w:type="dxa"/>
            <w:tcBorders>
              <w:top w:val="single" w:color="CCCCCC" w:sz="5" w:space="0"/>
              <w:left w:val="single" w:color="CCCCCC" w:sz="5" w:space="0"/>
              <w:bottom w:val="single" w:color="000000" w:sz="5" w:space="0"/>
              <w:right w:val="single" w:color="000000" w:sz="5" w:space="0"/>
            </w:tcBorders>
            <w:tcMar>
              <w:left w:w="0" w:type="dxa"/>
              <w:right w:w="0" w:type="dxa"/>
            </w:tcMar>
          </w:tcPr>
          <w:p w:rsidRPr="001D7B2F" w:rsidR="00E81CDA" w:rsidP="00636BD9" w:rsidRDefault="00E81CDA" w14:paraId="1DD52CE3" w14:textId="77777777">
            <w:pPr>
              <w:spacing w:after="0" w:line="240" w:lineRule="auto"/>
              <w:ind w:left="86" w:right="75"/>
              <w:jc w:val="left"/>
            </w:pPr>
            <w:r w:rsidRPr="001D7B2F">
              <w:t>4%</w:t>
            </w:r>
          </w:p>
        </w:tc>
      </w:tr>
    </w:tbl>
    <w:p w:rsidR="00E81CDA" w:rsidP="009C264E" w:rsidRDefault="00E81CDA" w14:paraId="0E1D5FFB" w14:textId="77777777">
      <w:pPr>
        <w:rPr>
          <w:i/>
          <w:sz w:val="20"/>
          <w:szCs w:val="20"/>
          <w:highlight w:val="yellow"/>
        </w:rPr>
      </w:pPr>
      <w:r>
        <w:rPr>
          <w:i/>
          <w:sz w:val="20"/>
          <w:szCs w:val="20"/>
        </w:rPr>
        <w:t xml:space="preserve">Source: </w:t>
      </w:r>
      <w:proofErr w:type="spellStart"/>
      <w:r>
        <w:rPr>
          <w:i/>
          <w:sz w:val="20"/>
          <w:szCs w:val="20"/>
        </w:rPr>
        <w:t>Lightcast</w:t>
      </w:r>
      <w:proofErr w:type="spellEnd"/>
      <w:r>
        <w:rPr>
          <w:i/>
          <w:sz w:val="20"/>
          <w:szCs w:val="20"/>
        </w:rPr>
        <w:t xml:space="preserve"> </w:t>
      </w:r>
      <w:proofErr w:type="spellStart"/>
      <w:r>
        <w:rPr>
          <w:i/>
          <w:sz w:val="20"/>
          <w:szCs w:val="20"/>
        </w:rPr>
        <w:t>Datarun</w:t>
      </w:r>
      <w:proofErr w:type="spellEnd"/>
      <w:r>
        <w:rPr>
          <w:i/>
          <w:sz w:val="20"/>
          <w:szCs w:val="20"/>
        </w:rPr>
        <w:t xml:space="preserve"> 2023.3</w:t>
      </w:r>
    </w:p>
    <w:p w:rsidR="00E81CDA" w:rsidP="00E81CDA" w:rsidRDefault="00E81CDA" w14:paraId="17F7E74B" w14:textId="0C4D9C0A">
      <w:r>
        <w:t>This analysis suggests that</w:t>
      </w:r>
      <w:r w:rsidR="00EA7CE7">
        <w:t>,</w:t>
      </w:r>
      <w:r>
        <w:t xml:space="preserve"> in Alabama, some roles such as </w:t>
      </w:r>
      <w:r>
        <w:rPr>
          <w:i/>
        </w:rPr>
        <w:t>Office and Administrative Support Occupations</w:t>
      </w:r>
      <w:r>
        <w:t xml:space="preserve"> have higher proportional unemployment, and therefore open roles in that category may be easier to fill. Conversely, occupations in </w:t>
      </w:r>
      <w:r>
        <w:rPr>
          <w:i/>
        </w:rPr>
        <w:t>Architecture and Engineering Occupations</w:t>
      </w:r>
      <w:r>
        <w:t xml:space="preserve"> and </w:t>
      </w:r>
      <w:r>
        <w:rPr>
          <w:i/>
        </w:rPr>
        <w:t>Installation, Maintenance, and Repair</w:t>
      </w:r>
      <w:r>
        <w:t xml:space="preserve">, which include much of the telecommunications and construction roles that will be needed for BEAD deployments, comprise a low proportion of the unemployed workforce in the nation, and an equally low percent of the unemployed workforce in Alabama, further indicating that these roles will be harder to fill. </w:t>
      </w:r>
    </w:p>
    <w:p w:rsidR="00E81CDA" w:rsidP="00E81CDA" w:rsidRDefault="00E81CDA" w14:paraId="1C70EA2F" w14:textId="77777777">
      <w:bookmarkStart w:name="_heading=h.a6etuggv5yvb" w:colFirst="0" w:colLast="0" w:id="192"/>
      <w:bookmarkEnd w:id="192"/>
      <w:r>
        <w:t xml:space="preserve">Staffing shortages can also be examined via job postings. The chart below outlines average monthly postings versus average monthly hires. Hiring data are calculated using a combination of </w:t>
      </w:r>
      <w:proofErr w:type="spellStart"/>
      <w:r>
        <w:t>Lightcast</w:t>
      </w:r>
      <w:proofErr w:type="spellEnd"/>
      <w:r>
        <w:t xml:space="preserve"> jobs data, information on separation rates from the Bureau of Labor Statistics (BLS), and industry-based hiring data from the Census Bureau.</w:t>
      </w:r>
    </w:p>
    <w:p w:rsidR="00E81CDA" w:rsidP="00E81CDA" w:rsidRDefault="00E81CDA" w14:paraId="32D4E0EC" w14:textId="3932A474">
      <w:pPr>
        <w:pStyle w:val="Caption"/>
      </w:pPr>
      <w:bookmarkStart w:name="_Toc150852789" w:id="193"/>
      <w:r>
        <w:t xml:space="preserve">Table </w:t>
      </w:r>
      <w:r w:rsidR="00597437">
        <w:fldChar w:fldCharType="begin"/>
      </w:r>
      <w:r w:rsidR="00597437">
        <w:instrText xml:space="preserve"> SEQ Table \* ARABIC </w:instrText>
      </w:r>
      <w:r w:rsidR="00597437">
        <w:fldChar w:fldCharType="separate"/>
      </w:r>
      <w:r w:rsidR="00444AF1">
        <w:rPr>
          <w:noProof/>
        </w:rPr>
        <w:t>14</w:t>
      </w:r>
      <w:r w:rsidR="00597437">
        <w:rPr>
          <w:noProof/>
        </w:rPr>
        <w:fldChar w:fldCharType="end"/>
      </w:r>
      <w:r>
        <w:t xml:space="preserve">: </w:t>
      </w:r>
      <w:r w:rsidRPr="006008E3">
        <w:t>Occupations impacted by broadband investment, job postings vs. hires (2022)</w:t>
      </w:r>
      <w:bookmarkEnd w:id="193"/>
    </w:p>
    <w:tbl>
      <w:tblPr>
        <w:tblW w:w="95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600" w:firstRow="0" w:lastRow="0" w:firstColumn="0" w:lastColumn="0" w:noHBand="1" w:noVBand="1"/>
      </w:tblPr>
      <w:tblGrid>
        <w:gridCol w:w="5070"/>
        <w:gridCol w:w="2235"/>
        <w:gridCol w:w="2235"/>
      </w:tblGrid>
      <w:tr w:rsidR="00E81CDA" w:rsidTr="00DA4E1D" w14:paraId="175488B0" w14:textId="77777777">
        <w:trPr>
          <w:trHeight w:val="576"/>
          <w:tblHeader/>
          <w:jc w:val="center"/>
        </w:trPr>
        <w:tc>
          <w:tcPr>
            <w:tcW w:w="5070" w:type="dxa"/>
            <w:tcBorders>
              <w:left w:val="single" w:color="000000" w:sz="6" w:space="0"/>
              <w:bottom w:val="single" w:color="000000" w:sz="6" w:space="0"/>
              <w:right w:val="single" w:color="FFFFFF" w:themeColor="background1" w:sz="6" w:space="0"/>
            </w:tcBorders>
            <w:shd w:val="clear" w:color="auto" w:fill="0A2458"/>
            <w:tcMar>
              <w:top w:w="0" w:type="dxa"/>
              <w:left w:w="40" w:type="dxa"/>
              <w:bottom w:w="0" w:type="dxa"/>
              <w:right w:w="40" w:type="dxa"/>
            </w:tcMar>
          </w:tcPr>
          <w:p w:rsidR="00E81CDA" w:rsidRDefault="00E81CDA" w14:paraId="2BC57B07" w14:textId="77777777">
            <w:pPr>
              <w:keepNext/>
              <w:spacing w:after="0" w:line="240" w:lineRule="auto"/>
              <w:ind w:left="90"/>
              <w:jc w:val="left"/>
            </w:pPr>
            <w:r w:rsidRPr="00AA3293">
              <w:t>Occupation</w:t>
            </w:r>
          </w:p>
        </w:tc>
        <w:tc>
          <w:tcPr>
            <w:tcW w:w="2235" w:type="dxa"/>
            <w:tcBorders>
              <w:left w:val="single" w:color="FFFFFF" w:themeColor="background1" w:sz="6" w:space="0"/>
              <w:bottom w:val="single" w:color="000000" w:sz="6" w:space="0"/>
              <w:right w:val="single" w:color="FFFFFF" w:themeColor="background1" w:sz="6" w:space="0"/>
            </w:tcBorders>
            <w:shd w:val="clear" w:color="auto" w:fill="0A2458"/>
            <w:tcMar>
              <w:top w:w="0" w:type="dxa"/>
              <w:left w:w="40" w:type="dxa"/>
              <w:bottom w:w="0" w:type="dxa"/>
              <w:right w:w="40" w:type="dxa"/>
            </w:tcMar>
          </w:tcPr>
          <w:p w:rsidRPr="00AA3293" w:rsidR="00E81CDA" w:rsidP="009579A1" w:rsidRDefault="00E81CDA" w14:paraId="520D8559" w14:textId="32C69647">
            <w:pPr>
              <w:keepNext/>
              <w:spacing w:after="0" w:line="240" w:lineRule="auto"/>
              <w:jc w:val="left"/>
            </w:pPr>
            <w:r w:rsidRPr="00AA3293">
              <w:rPr>
                <w:bCs/>
              </w:rPr>
              <w:t xml:space="preserve">Avg </w:t>
            </w:r>
            <w:r w:rsidR="00B90228">
              <w:rPr>
                <w:bCs/>
              </w:rPr>
              <w:t>m</w:t>
            </w:r>
            <w:r w:rsidRPr="00AA3293">
              <w:rPr>
                <w:bCs/>
              </w:rPr>
              <w:t xml:space="preserve">onthly </w:t>
            </w:r>
            <w:r w:rsidR="00B90228">
              <w:rPr>
                <w:bCs/>
              </w:rPr>
              <w:t>p</w:t>
            </w:r>
            <w:r w:rsidRPr="00AA3293">
              <w:rPr>
                <w:bCs/>
              </w:rPr>
              <w:t xml:space="preserve">ostings </w:t>
            </w:r>
          </w:p>
          <w:p w:rsidR="00E81CDA" w:rsidP="009579A1" w:rsidRDefault="00E81CDA" w14:paraId="6BC17DF2" w14:textId="775E28EB">
            <w:pPr>
              <w:keepNext/>
              <w:spacing w:after="0" w:line="240" w:lineRule="auto"/>
              <w:jc w:val="left"/>
            </w:pPr>
            <w:r w:rsidRPr="00AA3293">
              <w:t xml:space="preserve">(Jan </w:t>
            </w:r>
            <w:r w:rsidR="00910315">
              <w:t>-</w:t>
            </w:r>
            <w:r w:rsidRPr="00AA3293">
              <w:t xml:space="preserve"> Dec 2022)</w:t>
            </w:r>
          </w:p>
        </w:tc>
        <w:tc>
          <w:tcPr>
            <w:tcW w:w="2235" w:type="dxa"/>
            <w:tcBorders>
              <w:left w:val="single" w:color="FFFFFF" w:themeColor="background1" w:sz="6" w:space="0"/>
              <w:bottom w:val="single" w:color="000000" w:sz="6" w:space="0"/>
              <w:right w:val="single" w:color="000000" w:sz="6" w:space="0"/>
            </w:tcBorders>
            <w:shd w:val="clear" w:color="auto" w:fill="0A2458"/>
            <w:tcMar>
              <w:top w:w="0" w:type="dxa"/>
              <w:left w:w="40" w:type="dxa"/>
              <w:bottom w:w="0" w:type="dxa"/>
              <w:right w:w="40" w:type="dxa"/>
            </w:tcMar>
          </w:tcPr>
          <w:p w:rsidRPr="00AA3293" w:rsidR="00E81CDA" w:rsidP="009579A1" w:rsidRDefault="00E81CDA" w14:paraId="7909AC37" w14:textId="33BE3A8F">
            <w:pPr>
              <w:keepNext/>
              <w:spacing w:after="0" w:line="240" w:lineRule="auto"/>
              <w:jc w:val="left"/>
            </w:pPr>
            <w:r w:rsidRPr="00AA3293">
              <w:rPr>
                <w:bCs/>
              </w:rPr>
              <w:t xml:space="preserve">Avg </w:t>
            </w:r>
            <w:r w:rsidR="00B90228">
              <w:rPr>
                <w:bCs/>
              </w:rPr>
              <w:t>m</w:t>
            </w:r>
            <w:r w:rsidRPr="00AA3293">
              <w:rPr>
                <w:bCs/>
              </w:rPr>
              <w:t xml:space="preserve">onthly </w:t>
            </w:r>
            <w:r w:rsidR="00B90228">
              <w:rPr>
                <w:bCs/>
              </w:rPr>
              <w:t>h</w:t>
            </w:r>
            <w:r w:rsidRPr="00AA3293">
              <w:rPr>
                <w:bCs/>
              </w:rPr>
              <w:t>ires</w:t>
            </w:r>
          </w:p>
          <w:p w:rsidR="00E81CDA" w:rsidP="009579A1" w:rsidRDefault="00E81CDA" w14:paraId="0320AB33" w14:textId="74C8B7A5">
            <w:pPr>
              <w:keepNext/>
              <w:spacing w:after="0" w:line="240" w:lineRule="auto"/>
              <w:jc w:val="left"/>
            </w:pPr>
            <w:r w:rsidRPr="00AA3293">
              <w:t xml:space="preserve">(Jan </w:t>
            </w:r>
            <w:r w:rsidR="00910315">
              <w:t>-</w:t>
            </w:r>
            <w:r w:rsidRPr="00AA3293">
              <w:t xml:space="preserve"> Dec 2022)</w:t>
            </w:r>
          </w:p>
        </w:tc>
      </w:tr>
      <w:tr w:rsidR="00E81CDA" w:rsidTr="00B90228" w14:paraId="7B82651A" w14:textId="77777777">
        <w:trPr>
          <w:trHeight w:val="20"/>
          <w:jc w:val="center"/>
        </w:trPr>
        <w:tc>
          <w:tcPr>
            <w:tcW w:w="5070" w:type="dxa"/>
            <w:tcBorders>
              <w:top w:val="single" w:color="000000" w:sz="5" w:space="0"/>
              <w:left w:val="single" w:color="000000" w:sz="5" w:space="0"/>
              <w:bottom w:val="single" w:color="000000" w:sz="5" w:space="0"/>
              <w:right w:val="single" w:color="000000" w:sz="5" w:space="0"/>
            </w:tcBorders>
            <w:tcMar>
              <w:left w:w="0" w:type="dxa"/>
              <w:right w:w="0" w:type="dxa"/>
            </w:tcMar>
          </w:tcPr>
          <w:p w:rsidRPr="00AA3293" w:rsidR="00E81CDA" w:rsidP="00B90228" w:rsidRDefault="00E81CDA" w14:paraId="210C9485" w14:textId="77777777">
            <w:pPr>
              <w:spacing w:after="0" w:line="240" w:lineRule="auto"/>
              <w:ind w:left="86"/>
              <w:jc w:val="left"/>
              <w:rPr>
                <w:color w:val="000000"/>
              </w:rPr>
            </w:pPr>
            <w:r w:rsidRPr="00AA3293">
              <w:t>Project Management Specialists</w:t>
            </w:r>
          </w:p>
        </w:tc>
        <w:tc>
          <w:tcPr>
            <w:tcW w:w="2235" w:type="dxa"/>
            <w:tcBorders>
              <w:top w:val="single" w:color="000000" w:sz="5" w:space="0"/>
              <w:left w:val="single" w:color="000000" w:sz="5" w:space="0"/>
              <w:bottom w:val="single" w:color="000000" w:sz="5" w:space="0"/>
              <w:right w:val="single" w:color="000000" w:sz="5" w:space="0"/>
            </w:tcBorders>
            <w:tcMar>
              <w:left w:w="0" w:type="dxa"/>
              <w:right w:w="0" w:type="dxa"/>
            </w:tcMar>
          </w:tcPr>
          <w:p w:rsidRPr="00AA3293" w:rsidR="00E81CDA" w:rsidP="00B90228" w:rsidRDefault="00E81CDA" w14:paraId="7AAA6EDB" w14:textId="77777777">
            <w:pPr>
              <w:spacing w:after="0" w:line="240" w:lineRule="auto"/>
              <w:ind w:left="86" w:right="90"/>
              <w:jc w:val="left"/>
            </w:pPr>
            <w:r w:rsidRPr="00AA3293">
              <w:t>215</w:t>
            </w:r>
          </w:p>
        </w:tc>
        <w:tc>
          <w:tcPr>
            <w:tcW w:w="2235" w:type="dxa"/>
            <w:tcBorders>
              <w:top w:val="single" w:color="000000" w:sz="5" w:space="0"/>
              <w:left w:val="single" w:color="CCCCCC" w:sz="5" w:space="0"/>
              <w:bottom w:val="single" w:color="000000" w:sz="5" w:space="0"/>
              <w:right w:val="single" w:color="000000" w:sz="5" w:space="0"/>
            </w:tcBorders>
            <w:tcMar>
              <w:left w:w="0" w:type="dxa"/>
              <w:right w:w="0" w:type="dxa"/>
            </w:tcMar>
          </w:tcPr>
          <w:p w:rsidRPr="00AA3293" w:rsidR="00E81CDA" w:rsidP="00B90228" w:rsidRDefault="00E81CDA" w14:paraId="776BBEC4" w14:textId="77777777">
            <w:pPr>
              <w:spacing w:after="0" w:line="240" w:lineRule="auto"/>
              <w:ind w:left="86" w:right="90"/>
              <w:jc w:val="left"/>
            </w:pPr>
            <w:r w:rsidRPr="00AA3293">
              <w:t>276</w:t>
            </w:r>
          </w:p>
        </w:tc>
      </w:tr>
      <w:tr w:rsidR="00E81CDA" w:rsidTr="00B90228" w14:paraId="64A54D38" w14:textId="77777777">
        <w:trPr>
          <w:trHeight w:val="20"/>
          <w:jc w:val="center"/>
        </w:trPr>
        <w:tc>
          <w:tcPr>
            <w:tcW w:w="5070" w:type="dxa"/>
            <w:tcBorders>
              <w:top w:val="single" w:color="CCCCCC" w:sz="5" w:space="0"/>
              <w:left w:val="single" w:color="000000" w:sz="5" w:space="0"/>
              <w:bottom w:val="single" w:color="000000" w:sz="5" w:space="0"/>
              <w:right w:val="single" w:color="000000" w:sz="5" w:space="0"/>
            </w:tcBorders>
            <w:tcMar>
              <w:left w:w="0" w:type="dxa"/>
              <w:right w:w="0" w:type="dxa"/>
            </w:tcMar>
          </w:tcPr>
          <w:p w:rsidRPr="00AA3293" w:rsidR="00E81CDA" w:rsidP="00B90228" w:rsidRDefault="00E81CDA" w14:paraId="546D990B" w14:textId="77777777">
            <w:pPr>
              <w:spacing w:after="0" w:line="240" w:lineRule="auto"/>
              <w:ind w:left="86"/>
              <w:jc w:val="left"/>
              <w:rPr>
                <w:color w:val="000000"/>
              </w:rPr>
            </w:pPr>
            <w:r w:rsidRPr="00AA3293">
              <w:t>Business Operations Specialists, All Other</w:t>
            </w:r>
          </w:p>
        </w:tc>
        <w:tc>
          <w:tcPr>
            <w:tcW w:w="2235" w:type="dxa"/>
            <w:tcBorders>
              <w:top w:val="single" w:color="CCCCCC" w:sz="5" w:space="0"/>
              <w:left w:val="single" w:color="000000" w:sz="5" w:space="0"/>
              <w:bottom w:val="single" w:color="000000" w:sz="5" w:space="0"/>
              <w:right w:val="single" w:color="000000" w:sz="5" w:space="0"/>
            </w:tcBorders>
            <w:tcMar>
              <w:left w:w="0" w:type="dxa"/>
              <w:right w:w="0" w:type="dxa"/>
            </w:tcMar>
          </w:tcPr>
          <w:p w:rsidRPr="00AA3293" w:rsidR="00E81CDA" w:rsidP="00B90228" w:rsidRDefault="00E81CDA" w14:paraId="0B952BEB" w14:textId="77777777">
            <w:pPr>
              <w:spacing w:after="0" w:line="240" w:lineRule="auto"/>
              <w:ind w:left="86" w:right="90"/>
              <w:jc w:val="left"/>
            </w:pPr>
            <w:r w:rsidRPr="00AA3293">
              <w:t>66</w:t>
            </w:r>
          </w:p>
        </w:tc>
        <w:tc>
          <w:tcPr>
            <w:tcW w:w="223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A3293" w:rsidR="00E81CDA" w:rsidP="00B90228" w:rsidRDefault="00E81CDA" w14:paraId="74C27F94" w14:textId="77777777">
            <w:pPr>
              <w:spacing w:after="0" w:line="240" w:lineRule="auto"/>
              <w:ind w:left="86" w:right="90"/>
              <w:jc w:val="left"/>
            </w:pPr>
            <w:r w:rsidRPr="00AA3293">
              <w:t>422</w:t>
            </w:r>
          </w:p>
        </w:tc>
      </w:tr>
      <w:tr w:rsidR="00E81CDA" w:rsidTr="00B90228" w14:paraId="61C170EB" w14:textId="77777777">
        <w:trPr>
          <w:trHeight w:val="20"/>
          <w:jc w:val="center"/>
        </w:trPr>
        <w:tc>
          <w:tcPr>
            <w:tcW w:w="5070" w:type="dxa"/>
            <w:tcBorders>
              <w:top w:val="single" w:color="CCCCCC" w:sz="5" w:space="0"/>
              <w:left w:val="single" w:color="000000" w:sz="5" w:space="0"/>
              <w:bottom w:val="single" w:color="000000" w:sz="5" w:space="0"/>
              <w:right w:val="single" w:color="000000" w:sz="5" w:space="0"/>
            </w:tcBorders>
            <w:tcMar>
              <w:left w:w="0" w:type="dxa"/>
              <w:right w:w="0" w:type="dxa"/>
            </w:tcMar>
          </w:tcPr>
          <w:p w:rsidRPr="00AA3293" w:rsidR="00E81CDA" w:rsidP="00B90228" w:rsidRDefault="00E81CDA" w14:paraId="3490524F" w14:textId="77777777">
            <w:pPr>
              <w:spacing w:after="0" w:line="240" w:lineRule="auto"/>
              <w:ind w:left="86"/>
              <w:jc w:val="left"/>
              <w:rPr>
                <w:color w:val="000000"/>
              </w:rPr>
            </w:pPr>
            <w:r w:rsidRPr="00AA3293">
              <w:t>Software Developers</w:t>
            </w:r>
          </w:p>
        </w:tc>
        <w:tc>
          <w:tcPr>
            <w:tcW w:w="2235" w:type="dxa"/>
            <w:tcBorders>
              <w:top w:val="single" w:color="CCCCCC" w:sz="5" w:space="0"/>
              <w:left w:val="single" w:color="000000" w:sz="5" w:space="0"/>
              <w:bottom w:val="single" w:color="000000" w:sz="5" w:space="0"/>
              <w:right w:val="single" w:color="000000" w:sz="5" w:space="0"/>
            </w:tcBorders>
            <w:tcMar>
              <w:left w:w="0" w:type="dxa"/>
              <w:right w:w="0" w:type="dxa"/>
            </w:tcMar>
          </w:tcPr>
          <w:p w:rsidRPr="00AA3293" w:rsidR="00E81CDA" w:rsidP="00B90228" w:rsidRDefault="00E81CDA" w14:paraId="1FB268EF" w14:textId="77777777">
            <w:pPr>
              <w:spacing w:after="0" w:line="240" w:lineRule="auto"/>
              <w:ind w:left="86" w:right="90"/>
              <w:jc w:val="left"/>
            </w:pPr>
            <w:r w:rsidRPr="00AA3293">
              <w:t>928</w:t>
            </w:r>
          </w:p>
        </w:tc>
        <w:tc>
          <w:tcPr>
            <w:tcW w:w="223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A3293" w:rsidR="00E81CDA" w:rsidP="00B90228" w:rsidRDefault="00E81CDA" w14:paraId="1A705033" w14:textId="77777777">
            <w:pPr>
              <w:spacing w:after="0" w:line="240" w:lineRule="auto"/>
              <w:ind w:left="86" w:right="90"/>
              <w:jc w:val="left"/>
            </w:pPr>
            <w:r w:rsidRPr="00AA3293">
              <w:t>665</w:t>
            </w:r>
          </w:p>
        </w:tc>
      </w:tr>
      <w:tr w:rsidR="00E81CDA" w:rsidTr="00B90228" w14:paraId="6D76BB6C" w14:textId="77777777">
        <w:trPr>
          <w:trHeight w:val="20"/>
          <w:jc w:val="center"/>
        </w:trPr>
        <w:tc>
          <w:tcPr>
            <w:tcW w:w="5070" w:type="dxa"/>
            <w:tcBorders>
              <w:top w:val="single" w:color="CCCCCC" w:sz="5" w:space="0"/>
              <w:left w:val="single" w:color="000000" w:sz="5" w:space="0"/>
              <w:bottom w:val="single" w:color="000000" w:sz="5" w:space="0"/>
              <w:right w:val="single" w:color="000000" w:sz="5" w:space="0"/>
            </w:tcBorders>
            <w:tcMar>
              <w:left w:w="0" w:type="dxa"/>
              <w:right w:w="0" w:type="dxa"/>
            </w:tcMar>
          </w:tcPr>
          <w:p w:rsidRPr="00AA3293" w:rsidR="00E81CDA" w:rsidP="00B90228" w:rsidRDefault="00E81CDA" w14:paraId="5515D0A5" w14:textId="77777777">
            <w:pPr>
              <w:spacing w:after="0" w:line="240" w:lineRule="auto"/>
              <w:ind w:left="86"/>
              <w:jc w:val="left"/>
              <w:rPr>
                <w:color w:val="000000"/>
              </w:rPr>
            </w:pPr>
            <w:r w:rsidRPr="00AA3293">
              <w:t>Software Quality Assurance Analysts and Testers</w:t>
            </w:r>
          </w:p>
        </w:tc>
        <w:tc>
          <w:tcPr>
            <w:tcW w:w="2235" w:type="dxa"/>
            <w:tcBorders>
              <w:top w:val="single" w:color="CCCCCC" w:sz="5" w:space="0"/>
              <w:left w:val="single" w:color="000000" w:sz="5" w:space="0"/>
              <w:bottom w:val="single" w:color="000000" w:sz="5" w:space="0"/>
              <w:right w:val="single" w:color="000000" w:sz="5" w:space="0"/>
            </w:tcBorders>
            <w:tcMar>
              <w:left w:w="0" w:type="dxa"/>
              <w:right w:w="0" w:type="dxa"/>
            </w:tcMar>
          </w:tcPr>
          <w:p w:rsidRPr="00AA3293" w:rsidR="00E81CDA" w:rsidP="00B90228" w:rsidRDefault="00E81CDA" w14:paraId="40F22BA6" w14:textId="77777777">
            <w:pPr>
              <w:spacing w:after="0" w:line="240" w:lineRule="auto"/>
              <w:ind w:left="86" w:right="90"/>
              <w:jc w:val="left"/>
            </w:pPr>
            <w:r w:rsidRPr="00AA3293">
              <w:t>121</w:t>
            </w:r>
          </w:p>
        </w:tc>
        <w:tc>
          <w:tcPr>
            <w:tcW w:w="223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A3293" w:rsidR="00E81CDA" w:rsidP="00B90228" w:rsidRDefault="00E81CDA" w14:paraId="258153C0" w14:textId="77777777">
            <w:pPr>
              <w:spacing w:after="0" w:line="240" w:lineRule="auto"/>
              <w:ind w:left="86" w:right="90"/>
              <w:jc w:val="left"/>
            </w:pPr>
            <w:r w:rsidRPr="00AA3293">
              <w:t>80</w:t>
            </w:r>
          </w:p>
        </w:tc>
      </w:tr>
      <w:tr w:rsidR="00E81CDA" w:rsidTr="00B90228" w14:paraId="213F20C2" w14:textId="77777777">
        <w:trPr>
          <w:trHeight w:val="20"/>
          <w:jc w:val="center"/>
        </w:trPr>
        <w:tc>
          <w:tcPr>
            <w:tcW w:w="5070" w:type="dxa"/>
            <w:tcBorders>
              <w:top w:val="single" w:color="CCCCCC" w:sz="5" w:space="0"/>
              <w:left w:val="single" w:color="000000" w:sz="5" w:space="0"/>
              <w:bottom w:val="single" w:color="000000" w:sz="5" w:space="0"/>
              <w:right w:val="single" w:color="000000" w:sz="5" w:space="0"/>
            </w:tcBorders>
            <w:tcMar>
              <w:left w:w="0" w:type="dxa"/>
              <w:right w:w="0" w:type="dxa"/>
            </w:tcMar>
          </w:tcPr>
          <w:p w:rsidRPr="00AA3293" w:rsidR="00E81CDA" w:rsidP="00B90228" w:rsidRDefault="00E81CDA" w14:paraId="7F0113CB" w14:textId="77777777">
            <w:pPr>
              <w:spacing w:after="0" w:line="240" w:lineRule="auto"/>
              <w:ind w:left="86"/>
              <w:jc w:val="left"/>
              <w:rPr>
                <w:color w:val="000000"/>
              </w:rPr>
            </w:pPr>
            <w:r w:rsidRPr="00AA3293">
              <w:t>Electronics Engineers, Except Computer</w:t>
            </w:r>
          </w:p>
        </w:tc>
        <w:tc>
          <w:tcPr>
            <w:tcW w:w="2235" w:type="dxa"/>
            <w:tcBorders>
              <w:top w:val="single" w:color="CCCCCC" w:sz="5" w:space="0"/>
              <w:left w:val="single" w:color="000000" w:sz="5" w:space="0"/>
              <w:bottom w:val="single" w:color="000000" w:sz="5" w:space="0"/>
              <w:right w:val="single" w:color="000000" w:sz="5" w:space="0"/>
            </w:tcBorders>
            <w:tcMar>
              <w:left w:w="0" w:type="dxa"/>
              <w:right w:w="0" w:type="dxa"/>
            </w:tcMar>
          </w:tcPr>
          <w:p w:rsidRPr="00AA3293" w:rsidR="00E81CDA" w:rsidP="00B90228" w:rsidRDefault="00E81CDA" w14:paraId="676152CC" w14:textId="77777777">
            <w:pPr>
              <w:spacing w:after="0" w:line="240" w:lineRule="auto"/>
              <w:ind w:left="86" w:right="90"/>
              <w:jc w:val="left"/>
            </w:pPr>
            <w:r w:rsidRPr="00AA3293">
              <w:t>33</w:t>
            </w:r>
          </w:p>
        </w:tc>
        <w:tc>
          <w:tcPr>
            <w:tcW w:w="223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A3293" w:rsidR="00E81CDA" w:rsidP="00B90228" w:rsidRDefault="00E81CDA" w14:paraId="1BB24649" w14:textId="77777777">
            <w:pPr>
              <w:spacing w:after="0" w:line="240" w:lineRule="auto"/>
              <w:ind w:left="86" w:right="90"/>
              <w:jc w:val="left"/>
            </w:pPr>
            <w:r w:rsidRPr="00AA3293">
              <w:t>57</w:t>
            </w:r>
          </w:p>
        </w:tc>
      </w:tr>
      <w:tr w:rsidR="00E81CDA" w:rsidTr="00B90228" w14:paraId="66355492" w14:textId="77777777">
        <w:trPr>
          <w:trHeight w:val="20"/>
          <w:jc w:val="center"/>
        </w:trPr>
        <w:tc>
          <w:tcPr>
            <w:tcW w:w="5070" w:type="dxa"/>
            <w:tcBorders>
              <w:top w:val="single" w:color="CCCCCC" w:sz="5" w:space="0"/>
              <w:left w:val="single" w:color="000000" w:sz="5" w:space="0"/>
              <w:bottom w:val="single" w:color="000000" w:sz="5" w:space="0"/>
              <w:right w:val="single" w:color="000000" w:sz="5" w:space="0"/>
            </w:tcBorders>
            <w:tcMar>
              <w:left w:w="0" w:type="dxa"/>
              <w:right w:w="0" w:type="dxa"/>
            </w:tcMar>
          </w:tcPr>
          <w:p w:rsidRPr="00AA3293" w:rsidR="00E81CDA" w:rsidP="00B90228" w:rsidRDefault="00E81CDA" w14:paraId="0DD87BD6" w14:textId="77777777">
            <w:pPr>
              <w:spacing w:after="0" w:line="240" w:lineRule="auto"/>
              <w:ind w:left="86"/>
              <w:jc w:val="left"/>
              <w:rPr>
                <w:color w:val="000000"/>
              </w:rPr>
            </w:pPr>
            <w:r w:rsidRPr="00AA3293">
              <w:t>Sales Representatives of Services, Except Advertising, Insurance, Financial Services, and Travel</w:t>
            </w:r>
          </w:p>
        </w:tc>
        <w:tc>
          <w:tcPr>
            <w:tcW w:w="2235" w:type="dxa"/>
            <w:tcBorders>
              <w:top w:val="single" w:color="CCCCCC" w:sz="5" w:space="0"/>
              <w:left w:val="single" w:color="000000" w:sz="5" w:space="0"/>
              <w:bottom w:val="single" w:color="000000" w:sz="5" w:space="0"/>
              <w:right w:val="single" w:color="000000" w:sz="5" w:space="0"/>
            </w:tcBorders>
            <w:tcMar>
              <w:left w:w="0" w:type="dxa"/>
              <w:right w:w="0" w:type="dxa"/>
            </w:tcMar>
          </w:tcPr>
          <w:p w:rsidRPr="00AA3293" w:rsidR="00E81CDA" w:rsidP="00B90228" w:rsidRDefault="00E81CDA" w14:paraId="45136D8D" w14:textId="77777777">
            <w:pPr>
              <w:spacing w:after="0" w:line="240" w:lineRule="auto"/>
              <w:ind w:left="86" w:right="90"/>
              <w:jc w:val="left"/>
            </w:pPr>
            <w:r w:rsidRPr="00AA3293">
              <w:t>99</w:t>
            </w:r>
          </w:p>
        </w:tc>
        <w:tc>
          <w:tcPr>
            <w:tcW w:w="223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A3293" w:rsidR="00E81CDA" w:rsidP="00B90228" w:rsidRDefault="00E81CDA" w14:paraId="155E8587" w14:textId="77777777">
            <w:pPr>
              <w:spacing w:after="0" w:line="240" w:lineRule="auto"/>
              <w:ind w:left="86" w:right="90"/>
              <w:jc w:val="left"/>
            </w:pPr>
            <w:r w:rsidRPr="00AA3293">
              <w:t>789</w:t>
            </w:r>
          </w:p>
        </w:tc>
      </w:tr>
      <w:tr w:rsidR="00E81CDA" w:rsidTr="00B90228" w14:paraId="7008140A" w14:textId="77777777">
        <w:trPr>
          <w:trHeight w:val="20"/>
          <w:jc w:val="center"/>
        </w:trPr>
        <w:tc>
          <w:tcPr>
            <w:tcW w:w="5070" w:type="dxa"/>
            <w:tcBorders>
              <w:top w:val="single" w:color="CCCCCC" w:sz="5" w:space="0"/>
              <w:left w:val="single" w:color="000000" w:sz="5" w:space="0"/>
              <w:bottom w:val="single" w:color="000000" w:sz="5" w:space="0"/>
              <w:right w:val="single" w:color="000000" w:sz="5" w:space="0"/>
            </w:tcBorders>
            <w:tcMar>
              <w:left w:w="0" w:type="dxa"/>
              <w:right w:w="0" w:type="dxa"/>
            </w:tcMar>
          </w:tcPr>
          <w:p w:rsidRPr="00AA3293" w:rsidR="00E81CDA" w:rsidP="00B90228" w:rsidRDefault="00E81CDA" w14:paraId="26FA5EA6" w14:textId="77777777">
            <w:pPr>
              <w:spacing w:after="0" w:line="240" w:lineRule="auto"/>
              <w:ind w:left="86"/>
              <w:jc w:val="left"/>
              <w:rPr>
                <w:color w:val="000000"/>
              </w:rPr>
            </w:pPr>
            <w:r w:rsidRPr="00AA3293">
              <w:t>Customer Service Representatives</w:t>
            </w:r>
          </w:p>
        </w:tc>
        <w:tc>
          <w:tcPr>
            <w:tcW w:w="2235" w:type="dxa"/>
            <w:tcBorders>
              <w:top w:val="single" w:color="CCCCCC" w:sz="5" w:space="0"/>
              <w:left w:val="single" w:color="000000" w:sz="5" w:space="0"/>
              <w:bottom w:val="single" w:color="000000" w:sz="5" w:space="0"/>
              <w:right w:val="single" w:color="000000" w:sz="5" w:space="0"/>
            </w:tcBorders>
            <w:tcMar>
              <w:left w:w="0" w:type="dxa"/>
              <w:right w:w="0" w:type="dxa"/>
            </w:tcMar>
          </w:tcPr>
          <w:p w:rsidRPr="00AA3293" w:rsidR="00E81CDA" w:rsidP="00B90228" w:rsidRDefault="00E81CDA" w14:paraId="6E0DD893" w14:textId="77777777">
            <w:pPr>
              <w:spacing w:after="0" w:line="240" w:lineRule="auto"/>
              <w:ind w:left="86" w:right="90"/>
              <w:jc w:val="left"/>
            </w:pPr>
            <w:r w:rsidRPr="00AA3293">
              <w:t>939</w:t>
            </w:r>
          </w:p>
        </w:tc>
        <w:tc>
          <w:tcPr>
            <w:tcW w:w="223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A3293" w:rsidR="00E81CDA" w:rsidP="00B90228" w:rsidRDefault="00E81CDA" w14:paraId="243A6A2D" w14:textId="77777777">
            <w:pPr>
              <w:spacing w:after="0" w:line="240" w:lineRule="auto"/>
              <w:ind w:left="86" w:right="90"/>
              <w:jc w:val="left"/>
            </w:pPr>
            <w:r w:rsidRPr="00AA3293">
              <w:t>3,202</w:t>
            </w:r>
          </w:p>
        </w:tc>
      </w:tr>
      <w:tr w:rsidR="00E81CDA" w:rsidTr="00B90228" w14:paraId="17F60F2B" w14:textId="77777777">
        <w:trPr>
          <w:trHeight w:val="20"/>
          <w:jc w:val="center"/>
        </w:trPr>
        <w:tc>
          <w:tcPr>
            <w:tcW w:w="5070" w:type="dxa"/>
            <w:tcBorders>
              <w:top w:val="single" w:color="CCCCCC" w:sz="5" w:space="0"/>
              <w:left w:val="single" w:color="000000" w:sz="5" w:space="0"/>
              <w:bottom w:val="single" w:color="000000" w:sz="5" w:space="0"/>
              <w:right w:val="single" w:color="000000" w:sz="5" w:space="0"/>
            </w:tcBorders>
            <w:tcMar>
              <w:left w:w="0" w:type="dxa"/>
              <w:right w:w="0" w:type="dxa"/>
            </w:tcMar>
          </w:tcPr>
          <w:p w:rsidRPr="00AA3293" w:rsidR="00E81CDA" w:rsidP="00B90228" w:rsidRDefault="00E81CDA" w14:paraId="00F5BFB8" w14:textId="77777777">
            <w:pPr>
              <w:spacing w:after="0" w:line="240" w:lineRule="auto"/>
              <w:ind w:left="86"/>
              <w:jc w:val="left"/>
              <w:rPr>
                <w:color w:val="000000"/>
              </w:rPr>
            </w:pPr>
            <w:r w:rsidRPr="00AA3293">
              <w:t>Construction Laborers</w:t>
            </w:r>
          </w:p>
        </w:tc>
        <w:tc>
          <w:tcPr>
            <w:tcW w:w="2235" w:type="dxa"/>
            <w:tcBorders>
              <w:top w:val="single" w:color="CCCCCC" w:sz="5" w:space="0"/>
              <w:left w:val="single" w:color="000000" w:sz="5" w:space="0"/>
              <w:bottom w:val="single" w:color="000000" w:sz="5" w:space="0"/>
              <w:right w:val="single" w:color="000000" w:sz="5" w:space="0"/>
            </w:tcBorders>
            <w:tcMar>
              <w:left w:w="0" w:type="dxa"/>
              <w:right w:w="0" w:type="dxa"/>
            </w:tcMar>
          </w:tcPr>
          <w:p w:rsidRPr="00AA3293" w:rsidR="00E81CDA" w:rsidP="00B90228" w:rsidRDefault="00E81CDA" w14:paraId="6EC8A186" w14:textId="77777777">
            <w:pPr>
              <w:spacing w:after="0" w:line="240" w:lineRule="auto"/>
              <w:ind w:left="86" w:right="90"/>
              <w:jc w:val="left"/>
            </w:pPr>
            <w:r w:rsidRPr="00AA3293">
              <w:t>202</w:t>
            </w:r>
          </w:p>
        </w:tc>
        <w:tc>
          <w:tcPr>
            <w:tcW w:w="223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A3293" w:rsidR="00E81CDA" w:rsidP="00B90228" w:rsidRDefault="00E81CDA" w14:paraId="21E98DEA" w14:textId="77777777">
            <w:pPr>
              <w:spacing w:after="0" w:line="240" w:lineRule="auto"/>
              <w:ind w:left="86" w:right="90"/>
              <w:jc w:val="left"/>
            </w:pPr>
            <w:r w:rsidRPr="00AA3293">
              <w:t>1,347</w:t>
            </w:r>
          </w:p>
        </w:tc>
      </w:tr>
      <w:tr w:rsidR="00E81CDA" w:rsidTr="00B90228" w14:paraId="52EBB004" w14:textId="77777777">
        <w:trPr>
          <w:trHeight w:val="20"/>
          <w:jc w:val="center"/>
        </w:trPr>
        <w:tc>
          <w:tcPr>
            <w:tcW w:w="5070" w:type="dxa"/>
            <w:tcBorders>
              <w:top w:val="single" w:color="CCCCCC" w:sz="5" w:space="0"/>
              <w:left w:val="single" w:color="000000" w:sz="5" w:space="0"/>
              <w:bottom w:val="single" w:color="000000" w:sz="5" w:space="0"/>
              <w:right w:val="single" w:color="000000" w:sz="5" w:space="0"/>
            </w:tcBorders>
            <w:tcMar>
              <w:left w:w="0" w:type="dxa"/>
              <w:right w:w="0" w:type="dxa"/>
            </w:tcMar>
          </w:tcPr>
          <w:p w:rsidRPr="00AA3293" w:rsidR="00E81CDA" w:rsidP="00B90228" w:rsidRDefault="00E81CDA" w14:paraId="55B0B132" w14:textId="77777777">
            <w:pPr>
              <w:spacing w:after="0" w:line="240" w:lineRule="auto"/>
              <w:ind w:left="86"/>
              <w:jc w:val="left"/>
              <w:rPr>
                <w:color w:val="000000"/>
              </w:rPr>
            </w:pPr>
            <w:r w:rsidRPr="00AA3293">
              <w:t>First-Line Supervisors of Mechanics, Installers, and Repairers</w:t>
            </w:r>
          </w:p>
        </w:tc>
        <w:tc>
          <w:tcPr>
            <w:tcW w:w="2235" w:type="dxa"/>
            <w:tcBorders>
              <w:top w:val="single" w:color="CCCCCC" w:sz="5" w:space="0"/>
              <w:left w:val="single" w:color="000000" w:sz="5" w:space="0"/>
              <w:bottom w:val="single" w:color="000000" w:sz="5" w:space="0"/>
              <w:right w:val="single" w:color="000000" w:sz="5" w:space="0"/>
            </w:tcBorders>
            <w:tcMar>
              <w:left w:w="0" w:type="dxa"/>
              <w:right w:w="0" w:type="dxa"/>
            </w:tcMar>
          </w:tcPr>
          <w:p w:rsidRPr="00AA3293" w:rsidR="00E81CDA" w:rsidP="00B90228" w:rsidRDefault="00E81CDA" w14:paraId="768ABD6D" w14:textId="77777777">
            <w:pPr>
              <w:spacing w:after="0" w:line="240" w:lineRule="auto"/>
              <w:ind w:left="86" w:right="90"/>
              <w:jc w:val="left"/>
            </w:pPr>
            <w:r w:rsidRPr="00AA3293">
              <w:t>233</w:t>
            </w:r>
          </w:p>
        </w:tc>
        <w:tc>
          <w:tcPr>
            <w:tcW w:w="223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A3293" w:rsidR="00E81CDA" w:rsidP="00B90228" w:rsidRDefault="00E81CDA" w14:paraId="4391FEE0" w14:textId="77777777">
            <w:pPr>
              <w:spacing w:after="0" w:line="240" w:lineRule="auto"/>
              <w:ind w:left="86" w:right="90"/>
              <w:jc w:val="left"/>
            </w:pPr>
            <w:r w:rsidRPr="00AA3293">
              <w:t>542</w:t>
            </w:r>
          </w:p>
        </w:tc>
      </w:tr>
      <w:tr w:rsidR="00E81CDA" w:rsidTr="00B90228" w14:paraId="275FA7B3" w14:textId="77777777">
        <w:trPr>
          <w:trHeight w:val="20"/>
          <w:jc w:val="center"/>
        </w:trPr>
        <w:tc>
          <w:tcPr>
            <w:tcW w:w="5070" w:type="dxa"/>
            <w:tcBorders>
              <w:top w:val="single" w:color="CCCCCC" w:sz="5" w:space="0"/>
              <w:left w:val="single" w:color="000000" w:sz="5" w:space="0"/>
              <w:bottom w:val="single" w:color="000000" w:sz="5" w:space="0"/>
              <w:right w:val="single" w:color="000000" w:sz="5" w:space="0"/>
            </w:tcBorders>
            <w:tcMar>
              <w:left w:w="0" w:type="dxa"/>
              <w:right w:w="0" w:type="dxa"/>
            </w:tcMar>
          </w:tcPr>
          <w:p w:rsidRPr="00AA3293" w:rsidR="00E81CDA" w:rsidP="00B90228" w:rsidRDefault="00E81CDA" w14:paraId="36CC5EB9" w14:textId="77777777">
            <w:pPr>
              <w:spacing w:after="0" w:line="240" w:lineRule="auto"/>
              <w:ind w:left="86"/>
              <w:jc w:val="left"/>
              <w:rPr>
                <w:color w:val="000000"/>
              </w:rPr>
            </w:pPr>
            <w:r w:rsidRPr="00AA3293">
              <w:t>Telecommunications Equipment Installers and Repairers, Except Line Installers</w:t>
            </w:r>
          </w:p>
        </w:tc>
        <w:tc>
          <w:tcPr>
            <w:tcW w:w="2235" w:type="dxa"/>
            <w:tcBorders>
              <w:top w:val="single" w:color="CCCCCC" w:sz="5" w:space="0"/>
              <w:left w:val="single" w:color="000000" w:sz="5" w:space="0"/>
              <w:bottom w:val="single" w:color="000000" w:sz="5" w:space="0"/>
              <w:right w:val="single" w:color="000000" w:sz="5" w:space="0"/>
            </w:tcBorders>
            <w:tcMar>
              <w:left w:w="0" w:type="dxa"/>
              <w:right w:w="0" w:type="dxa"/>
            </w:tcMar>
          </w:tcPr>
          <w:p w:rsidRPr="00AA3293" w:rsidR="00E81CDA" w:rsidP="00B90228" w:rsidRDefault="00E81CDA" w14:paraId="595AADCE" w14:textId="77777777">
            <w:pPr>
              <w:spacing w:after="0" w:line="240" w:lineRule="auto"/>
              <w:ind w:left="86" w:right="90"/>
              <w:jc w:val="left"/>
            </w:pPr>
            <w:r w:rsidRPr="00AA3293">
              <w:t>100</w:t>
            </w:r>
          </w:p>
        </w:tc>
        <w:tc>
          <w:tcPr>
            <w:tcW w:w="223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A3293" w:rsidR="00E81CDA" w:rsidP="00B90228" w:rsidRDefault="00E81CDA" w14:paraId="06CAA66F" w14:textId="77777777">
            <w:pPr>
              <w:spacing w:after="0" w:line="240" w:lineRule="auto"/>
              <w:ind w:left="86" w:right="90"/>
              <w:jc w:val="left"/>
            </w:pPr>
            <w:r w:rsidRPr="00AA3293">
              <w:t>166</w:t>
            </w:r>
          </w:p>
        </w:tc>
      </w:tr>
      <w:tr w:rsidR="00E81CDA" w:rsidTr="00B90228" w14:paraId="311C4340" w14:textId="77777777">
        <w:trPr>
          <w:trHeight w:val="20"/>
          <w:jc w:val="center"/>
        </w:trPr>
        <w:tc>
          <w:tcPr>
            <w:tcW w:w="5070" w:type="dxa"/>
            <w:tcBorders>
              <w:top w:val="single" w:color="CCCCCC" w:sz="5" w:space="0"/>
              <w:left w:val="single" w:color="000000" w:sz="5" w:space="0"/>
              <w:bottom w:val="single" w:color="000000" w:sz="5" w:space="0"/>
              <w:right w:val="single" w:color="000000" w:sz="5" w:space="0"/>
            </w:tcBorders>
            <w:tcMar>
              <w:left w:w="0" w:type="dxa"/>
              <w:right w:w="0" w:type="dxa"/>
            </w:tcMar>
          </w:tcPr>
          <w:p w:rsidRPr="00AA3293" w:rsidR="00E81CDA" w:rsidP="00B90228" w:rsidRDefault="00E81CDA" w14:paraId="1BB13A6C" w14:textId="77777777">
            <w:pPr>
              <w:spacing w:after="0" w:line="240" w:lineRule="auto"/>
              <w:ind w:left="86"/>
              <w:jc w:val="left"/>
              <w:rPr>
                <w:color w:val="000000"/>
              </w:rPr>
            </w:pPr>
            <w:r w:rsidRPr="00AA3293">
              <w:t>Electrical Power-Line Installers and Repairers</w:t>
            </w:r>
          </w:p>
        </w:tc>
        <w:tc>
          <w:tcPr>
            <w:tcW w:w="2235" w:type="dxa"/>
            <w:tcBorders>
              <w:top w:val="single" w:color="CCCCCC" w:sz="5" w:space="0"/>
              <w:left w:val="single" w:color="000000" w:sz="5" w:space="0"/>
              <w:bottom w:val="single" w:color="000000" w:sz="5" w:space="0"/>
              <w:right w:val="single" w:color="000000" w:sz="5" w:space="0"/>
            </w:tcBorders>
            <w:tcMar>
              <w:left w:w="0" w:type="dxa"/>
              <w:right w:w="0" w:type="dxa"/>
            </w:tcMar>
          </w:tcPr>
          <w:p w:rsidRPr="00AA3293" w:rsidR="00E81CDA" w:rsidP="00B90228" w:rsidRDefault="00E81CDA" w14:paraId="791B0424" w14:textId="77777777">
            <w:pPr>
              <w:spacing w:after="0" w:line="240" w:lineRule="auto"/>
              <w:ind w:left="86" w:right="90"/>
              <w:jc w:val="left"/>
            </w:pPr>
            <w:r w:rsidRPr="00AA3293">
              <w:t>33</w:t>
            </w:r>
          </w:p>
        </w:tc>
        <w:tc>
          <w:tcPr>
            <w:tcW w:w="223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A3293" w:rsidR="00E81CDA" w:rsidP="00B90228" w:rsidRDefault="00E81CDA" w14:paraId="1C7AE127" w14:textId="77777777">
            <w:pPr>
              <w:spacing w:after="0" w:line="240" w:lineRule="auto"/>
              <w:ind w:left="86" w:right="90"/>
              <w:jc w:val="left"/>
            </w:pPr>
            <w:r w:rsidRPr="00AA3293">
              <w:t>119</w:t>
            </w:r>
          </w:p>
        </w:tc>
      </w:tr>
      <w:tr w:rsidR="00E81CDA" w:rsidTr="00B90228" w14:paraId="1B896DD7" w14:textId="77777777">
        <w:trPr>
          <w:trHeight w:val="20"/>
          <w:jc w:val="center"/>
        </w:trPr>
        <w:tc>
          <w:tcPr>
            <w:tcW w:w="5070" w:type="dxa"/>
            <w:tcBorders>
              <w:top w:val="single" w:color="CCCCCC" w:sz="5" w:space="0"/>
              <w:left w:val="single" w:color="000000" w:sz="5" w:space="0"/>
              <w:bottom w:val="single" w:color="000000" w:sz="5" w:space="0"/>
              <w:right w:val="single" w:color="000000" w:sz="5" w:space="0"/>
            </w:tcBorders>
            <w:tcMar>
              <w:left w:w="0" w:type="dxa"/>
              <w:right w:w="0" w:type="dxa"/>
            </w:tcMar>
          </w:tcPr>
          <w:p w:rsidRPr="00AA3293" w:rsidR="00E81CDA" w:rsidP="009C264E" w:rsidRDefault="00E81CDA" w14:paraId="244CBCED" w14:textId="77777777">
            <w:pPr>
              <w:keepNext/>
              <w:spacing w:after="0" w:line="240" w:lineRule="auto"/>
              <w:ind w:left="86"/>
              <w:jc w:val="left"/>
              <w:rPr>
                <w:color w:val="000000"/>
              </w:rPr>
            </w:pPr>
            <w:r w:rsidRPr="00AA3293">
              <w:t>Telecommunications Line Installers and Repairers</w:t>
            </w:r>
          </w:p>
        </w:tc>
        <w:tc>
          <w:tcPr>
            <w:tcW w:w="2235" w:type="dxa"/>
            <w:tcBorders>
              <w:top w:val="single" w:color="CCCCCC" w:sz="5" w:space="0"/>
              <w:left w:val="single" w:color="000000" w:sz="5" w:space="0"/>
              <w:bottom w:val="single" w:color="000000" w:sz="5" w:space="0"/>
              <w:right w:val="single" w:color="000000" w:sz="5" w:space="0"/>
            </w:tcBorders>
            <w:tcMar>
              <w:left w:w="0" w:type="dxa"/>
              <w:right w:w="0" w:type="dxa"/>
            </w:tcMar>
          </w:tcPr>
          <w:p w:rsidRPr="00AA3293" w:rsidR="00E81CDA" w:rsidP="00B90228" w:rsidRDefault="00E81CDA" w14:paraId="2EF89F4C" w14:textId="77777777">
            <w:pPr>
              <w:spacing w:after="0" w:line="240" w:lineRule="auto"/>
              <w:ind w:left="86" w:right="90"/>
              <w:jc w:val="left"/>
            </w:pPr>
            <w:r w:rsidRPr="00AA3293">
              <w:t>60</w:t>
            </w:r>
          </w:p>
        </w:tc>
        <w:tc>
          <w:tcPr>
            <w:tcW w:w="2235" w:type="dxa"/>
            <w:tcBorders>
              <w:top w:val="single" w:color="CCCCCC" w:sz="5" w:space="0"/>
              <w:left w:val="single" w:color="CCCCCC" w:sz="5" w:space="0"/>
              <w:bottom w:val="single" w:color="000000" w:sz="5" w:space="0"/>
              <w:right w:val="single" w:color="000000" w:sz="5" w:space="0"/>
            </w:tcBorders>
            <w:tcMar>
              <w:left w:w="0" w:type="dxa"/>
              <w:right w:w="0" w:type="dxa"/>
            </w:tcMar>
          </w:tcPr>
          <w:p w:rsidRPr="00AA3293" w:rsidR="00E81CDA" w:rsidP="00B90228" w:rsidRDefault="00E81CDA" w14:paraId="1304003A" w14:textId="77777777">
            <w:pPr>
              <w:spacing w:after="0" w:line="240" w:lineRule="auto"/>
              <w:ind w:left="86" w:right="90"/>
              <w:jc w:val="left"/>
            </w:pPr>
            <w:r w:rsidRPr="00AA3293">
              <w:t>107</w:t>
            </w:r>
          </w:p>
        </w:tc>
      </w:tr>
    </w:tbl>
    <w:p w:rsidR="00E81CDA" w:rsidP="009C264E" w:rsidRDefault="00E81CDA" w14:paraId="02479080" w14:textId="77777777">
      <w:pPr>
        <w:rPr>
          <w:highlight w:val="yellow"/>
        </w:rPr>
      </w:pPr>
      <w:bookmarkStart w:name="_heading=h.kbj7vsukc0bn" w:colFirst="0" w:colLast="0" w:id="194"/>
      <w:bookmarkEnd w:id="194"/>
      <w:r>
        <w:rPr>
          <w:i/>
          <w:sz w:val="20"/>
          <w:szCs w:val="20"/>
        </w:rPr>
        <w:t xml:space="preserve">Source: </w:t>
      </w:r>
      <w:proofErr w:type="spellStart"/>
      <w:r>
        <w:rPr>
          <w:i/>
          <w:sz w:val="20"/>
          <w:szCs w:val="20"/>
        </w:rPr>
        <w:t>Lightcast</w:t>
      </w:r>
      <w:proofErr w:type="spellEnd"/>
      <w:r>
        <w:rPr>
          <w:i/>
          <w:sz w:val="20"/>
          <w:szCs w:val="20"/>
        </w:rPr>
        <w:t xml:space="preserve"> </w:t>
      </w:r>
      <w:proofErr w:type="spellStart"/>
      <w:r>
        <w:rPr>
          <w:i/>
          <w:sz w:val="20"/>
          <w:szCs w:val="20"/>
        </w:rPr>
        <w:t>Datarun</w:t>
      </w:r>
      <w:proofErr w:type="spellEnd"/>
      <w:r>
        <w:rPr>
          <w:i/>
          <w:sz w:val="20"/>
          <w:szCs w:val="20"/>
        </w:rPr>
        <w:t xml:space="preserve"> 2023.3</w:t>
      </w:r>
    </w:p>
    <w:p w:rsidR="00E81CDA" w:rsidP="00E81CDA" w:rsidRDefault="00E81CDA" w14:paraId="0E7F253E" w14:textId="77777777">
      <w:bookmarkStart w:name="_heading=h.qlhl03dg812t" w:colFirst="0" w:colLast="0" w:id="195"/>
      <w:bookmarkEnd w:id="195"/>
      <w:r>
        <w:t xml:space="preserve">One challenge of using job postings alone to quantify the hiring gaps is that hiring does not happen on a 1:1 ratio with postings. Within many occupations, more hiring is happening than job postings are listed, suggesting that hiring occurs via direct recruitment, re-hires, contractors, unions, career fairs, or directly from training or educational programs. In addition, it is common for large firms to use one posting to hire multiple roles at the same position and at the same time. That said, postings and hiring are a useful way to understand almost in real time what specific roles are the most sought after and needed across the state. </w:t>
      </w:r>
    </w:p>
    <w:p w:rsidR="00E81CDA" w:rsidP="006F78D2" w:rsidRDefault="00E81CDA" w14:paraId="3EC46B7B" w14:textId="77777777">
      <w:pPr>
        <w:pStyle w:val="Heading3"/>
        <w:numPr>
          <w:ilvl w:val="2"/>
          <w:numId w:val="23"/>
        </w:numPr>
      </w:pPr>
      <w:bookmarkStart w:name="_heading=h.qfytmvz2npqu" w:colFirst="0" w:colLast="0" w:id="196"/>
      <w:bookmarkStart w:name="_Toc150852662" w:id="197"/>
      <w:bookmarkEnd w:id="196"/>
      <w:r>
        <w:t>Current training programs at public institutions in Alabama</w:t>
      </w:r>
      <w:bookmarkEnd w:id="197"/>
    </w:p>
    <w:p w:rsidR="00E81CDA" w:rsidP="006A6D12" w:rsidRDefault="00E81CDA" w14:paraId="105C21C2" w14:textId="1598AE5F">
      <w:r>
        <w:t>Developing a diverse and highly skilled workforce to meet the needs above requires a coordinated effort across the public and private sector</w:t>
      </w:r>
      <w:r w:rsidR="007D5657">
        <w:t>s</w:t>
      </w:r>
      <w:r>
        <w:t>. There are numerous examples of technical colleges that have created and grown programs to meet the needs of the construction workforce</w:t>
      </w:r>
      <w:r w:rsidR="00A11D28">
        <w:t xml:space="preserve"> and </w:t>
      </w:r>
      <w:r>
        <w:t xml:space="preserve">robust training programs at public institutions are </w:t>
      </w:r>
      <w:r w:rsidR="00BE4DA0">
        <w:t xml:space="preserve">already </w:t>
      </w:r>
      <w:r>
        <w:t>present in Alabama.</w:t>
      </w:r>
      <w:r w:rsidR="009D5862">
        <w:rPr>
          <w:rStyle w:val="FootnoteReference"/>
        </w:rPr>
        <w:footnoteReference w:id="67"/>
      </w:r>
      <w:r>
        <w:t xml:space="preserve"> </w:t>
      </w:r>
    </w:p>
    <w:p w:rsidR="00E81CDA" w:rsidP="00455C41" w:rsidRDefault="00E81CDA" w14:paraId="0458919C" w14:textId="6B3878A6">
      <w:r>
        <w:t xml:space="preserve">The following is a list of institutions and relevant graduates generated by accessing the </w:t>
      </w:r>
      <w:bookmarkStart w:name="_Hlk150354692" w:id="198"/>
      <w:r>
        <w:t>Integrated Postsecondary Education Data System (IPEDS)</w:t>
      </w:r>
      <w:bookmarkEnd w:id="198"/>
      <w:r>
        <w:t>.</w:t>
      </w:r>
      <w:r>
        <w:rPr>
          <w:rStyle w:val="FootnoteReference"/>
        </w:rPr>
        <w:footnoteReference w:id="68"/>
      </w:r>
      <w:r>
        <w:t xml:space="preserve"> </w:t>
      </w:r>
    </w:p>
    <w:p w:rsidR="00E81CDA" w:rsidP="00E81CDA" w:rsidRDefault="00E81CDA" w14:paraId="54D6B5AF" w14:textId="0EB0982B">
      <w:pPr>
        <w:pStyle w:val="Caption"/>
      </w:pPr>
      <w:bookmarkStart w:name="_Toc150852790" w:id="199"/>
      <w:r>
        <w:t xml:space="preserve">Table </w:t>
      </w:r>
      <w:r w:rsidR="00597437">
        <w:fldChar w:fldCharType="begin"/>
      </w:r>
      <w:r w:rsidR="00597437">
        <w:instrText xml:space="preserve"> SEQ Table \* ARABIC </w:instrText>
      </w:r>
      <w:r w:rsidR="00597437">
        <w:fldChar w:fldCharType="separate"/>
      </w:r>
      <w:r w:rsidR="00444AF1">
        <w:rPr>
          <w:noProof/>
        </w:rPr>
        <w:t>15</w:t>
      </w:r>
      <w:r w:rsidR="00597437">
        <w:rPr>
          <w:noProof/>
        </w:rPr>
        <w:fldChar w:fldCharType="end"/>
      </w:r>
      <w:r>
        <w:t xml:space="preserve">: </w:t>
      </w:r>
      <w:r w:rsidRPr="00A02510">
        <w:t>Broadband workforce training programs at public higher education institutions</w:t>
      </w:r>
      <w:bookmarkEnd w:id="199"/>
    </w:p>
    <w:tbl>
      <w:tblPr>
        <w:tblStyle w:val="TableGrid"/>
        <w:tblW w:w="9085" w:type="dxa"/>
        <w:jc w:val="center"/>
        <w:tblLayout w:type="fixed"/>
        <w:tblLook w:val="0600" w:firstRow="0" w:lastRow="0" w:firstColumn="0" w:lastColumn="0" w:noHBand="1" w:noVBand="1"/>
      </w:tblPr>
      <w:tblGrid>
        <w:gridCol w:w="1705"/>
        <w:gridCol w:w="2430"/>
        <w:gridCol w:w="2160"/>
        <w:gridCol w:w="1280"/>
        <w:gridCol w:w="1510"/>
      </w:tblGrid>
      <w:tr w:rsidR="00052A3C" w:rsidTr="00F67449" w14:paraId="6516B67D" w14:textId="77777777">
        <w:trPr>
          <w:trHeight w:val="525"/>
          <w:tblHeader/>
          <w:jc w:val="center"/>
        </w:trPr>
        <w:tc>
          <w:tcPr>
            <w:tcW w:w="1705" w:type="dxa"/>
            <w:tcBorders>
              <w:right w:val="single" w:color="FFFFFF" w:themeColor="background1" w:sz="4" w:space="0"/>
            </w:tcBorders>
            <w:shd w:val="clear" w:color="auto" w:fill="0A2458"/>
          </w:tcPr>
          <w:p w:rsidRPr="009E330A" w:rsidR="00E81CDA" w:rsidP="00CB47DF" w:rsidRDefault="00E81CDA" w14:paraId="4C04D443" w14:textId="77777777">
            <w:pPr>
              <w:widowControl/>
              <w:jc w:val="left"/>
              <w:rPr>
                <w:sz w:val="22"/>
                <w:szCs w:val="22"/>
              </w:rPr>
            </w:pPr>
            <w:r w:rsidRPr="009E330A">
              <w:rPr>
                <w:sz w:val="22"/>
                <w:szCs w:val="22"/>
              </w:rPr>
              <w:t>Institution</w:t>
            </w:r>
          </w:p>
        </w:tc>
        <w:tc>
          <w:tcPr>
            <w:tcW w:w="2430" w:type="dxa"/>
            <w:tcBorders>
              <w:left w:val="single" w:color="FFFFFF" w:themeColor="background1" w:sz="4" w:space="0"/>
              <w:right w:val="single" w:color="FFFFFF" w:themeColor="background1" w:sz="4" w:space="0"/>
            </w:tcBorders>
            <w:shd w:val="clear" w:color="auto" w:fill="0A2458"/>
          </w:tcPr>
          <w:p w:rsidRPr="009E330A" w:rsidR="00E81CDA" w:rsidP="00CB47DF" w:rsidRDefault="00E81CDA" w14:paraId="704FF870" w14:textId="77777777">
            <w:pPr>
              <w:widowControl/>
              <w:jc w:val="left"/>
              <w:rPr>
                <w:sz w:val="22"/>
                <w:szCs w:val="22"/>
              </w:rPr>
            </w:pPr>
            <w:r w:rsidRPr="009E330A">
              <w:rPr>
                <w:sz w:val="22"/>
                <w:szCs w:val="22"/>
              </w:rPr>
              <w:t>Degrees</w:t>
            </w:r>
          </w:p>
        </w:tc>
        <w:tc>
          <w:tcPr>
            <w:tcW w:w="2160" w:type="dxa"/>
            <w:tcBorders>
              <w:left w:val="single" w:color="FFFFFF" w:themeColor="background1" w:sz="4" w:space="0"/>
              <w:right w:val="single" w:color="FFFFFF" w:themeColor="background1" w:sz="4" w:space="0"/>
            </w:tcBorders>
            <w:shd w:val="clear" w:color="auto" w:fill="0A2458"/>
          </w:tcPr>
          <w:p w:rsidRPr="009E330A" w:rsidR="00E81CDA" w:rsidP="00CB47DF" w:rsidRDefault="00E81CDA" w14:paraId="46FAC252" w14:textId="77777777">
            <w:pPr>
              <w:widowControl/>
              <w:jc w:val="left"/>
              <w:rPr>
                <w:sz w:val="22"/>
                <w:szCs w:val="22"/>
              </w:rPr>
            </w:pPr>
            <w:r w:rsidRPr="009E330A">
              <w:rPr>
                <w:sz w:val="22"/>
                <w:szCs w:val="22"/>
              </w:rPr>
              <w:t>Associated occupations</w:t>
            </w:r>
          </w:p>
        </w:tc>
        <w:tc>
          <w:tcPr>
            <w:tcW w:w="1280" w:type="dxa"/>
            <w:tcBorders>
              <w:left w:val="single" w:color="FFFFFF" w:themeColor="background1" w:sz="4" w:space="0"/>
              <w:right w:val="single" w:color="FFFFFF" w:themeColor="background1" w:sz="4" w:space="0"/>
            </w:tcBorders>
            <w:shd w:val="clear" w:color="auto" w:fill="0A2458"/>
          </w:tcPr>
          <w:p w:rsidRPr="009E330A" w:rsidR="00E81CDA" w:rsidP="00CB47DF" w:rsidRDefault="00E81CDA" w14:paraId="1CFD9158" w14:textId="77777777">
            <w:pPr>
              <w:widowControl/>
              <w:jc w:val="left"/>
              <w:rPr>
                <w:sz w:val="22"/>
                <w:szCs w:val="22"/>
              </w:rPr>
            </w:pPr>
            <w:r w:rsidRPr="009E330A">
              <w:rPr>
                <w:sz w:val="22"/>
                <w:szCs w:val="22"/>
              </w:rPr>
              <w:t>County</w:t>
            </w:r>
          </w:p>
        </w:tc>
        <w:tc>
          <w:tcPr>
            <w:tcW w:w="1510" w:type="dxa"/>
            <w:tcBorders>
              <w:left w:val="single" w:color="FFFFFF" w:themeColor="background1" w:sz="4" w:space="0"/>
            </w:tcBorders>
            <w:shd w:val="clear" w:color="auto" w:fill="0A2458"/>
          </w:tcPr>
          <w:p w:rsidRPr="009E330A" w:rsidR="00E81CDA" w:rsidP="00CB47DF" w:rsidRDefault="00E81CDA" w14:paraId="46BD905F" w14:textId="77777777">
            <w:pPr>
              <w:widowControl/>
              <w:jc w:val="left"/>
              <w:rPr>
                <w:sz w:val="22"/>
                <w:szCs w:val="22"/>
              </w:rPr>
            </w:pPr>
            <w:r w:rsidRPr="009E330A">
              <w:rPr>
                <w:sz w:val="22"/>
                <w:szCs w:val="22"/>
              </w:rPr>
              <w:t>Number of degrees</w:t>
            </w:r>
          </w:p>
          <w:p w:rsidRPr="009E330A" w:rsidR="00E81CDA" w:rsidP="00CB47DF" w:rsidRDefault="00E81CDA" w14:paraId="71585736" w14:textId="77777777">
            <w:pPr>
              <w:widowControl/>
              <w:jc w:val="left"/>
              <w:rPr>
                <w:sz w:val="22"/>
                <w:szCs w:val="22"/>
              </w:rPr>
            </w:pPr>
            <w:r w:rsidRPr="009E330A">
              <w:rPr>
                <w:sz w:val="22"/>
                <w:szCs w:val="22"/>
              </w:rPr>
              <w:t>granted in 2022</w:t>
            </w:r>
          </w:p>
        </w:tc>
      </w:tr>
      <w:tr w:rsidR="00E81CDA" w:rsidTr="009E330A" w14:paraId="4A67E653" w14:textId="77777777">
        <w:trPr>
          <w:trHeight w:val="315"/>
          <w:jc w:val="center"/>
        </w:trPr>
        <w:tc>
          <w:tcPr>
            <w:tcW w:w="1705" w:type="dxa"/>
          </w:tcPr>
          <w:p w:rsidRPr="009E330A" w:rsidR="00E81CDA" w:rsidP="00CB47DF" w:rsidRDefault="00E81CDA" w14:paraId="3363CDA0" w14:textId="77777777">
            <w:pPr>
              <w:widowControl/>
              <w:jc w:val="left"/>
              <w:rPr>
                <w:sz w:val="22"/>
                <w:szCs w:val="22"/>
              </w:rPr>
            </w:pPr>
            <w:r w:rsidRPr="009E330A">
              <w:rPr>
                <w:sz w:val="22"/>
                <w:szCs w:val="22"/>
              </w:rPr>
              <w:t>Alabama A &amp; M University</w:t>
            </w:r>
          </w:p>
        </w:tc>
        <w:tc>
          <w:tcPr>
            <w:tcW w:w="2430" w:type="dxa"/>
          </w:tcPr>
          <w:p w:rsidRPr="009E330A" w:rsidR="00E81CDA" w:rsidP="00CB47DF" w:rsidRDefault="00E81CDA" w14:paraId="16D44267" w14:textId="77777777">
            <w:pPr>
              <w:widowControl/>
              <w:jc w:val="left"/>
              <w:rPr>
                <w:sz w:val="22"/>
                <w:szCs w:val="22"/>
              </w:rPr>
            </w:pPr>
            <w:r w:rsidRPr="009E330A">
              <w:rPr>
                <w:sz w:val="22"/>
                <w:szCs w:val="22"/>
              </w:rPr>
              <w:t>Electrical and Electronics Engineering</w:t>
            </w:r>
          </w:p>
        </w:tc>
        <w:tc>
          <w:tcPr>
            <w:tcW w:w="2160" w:type="dxa"/>
          </w:tcPr>
          <w:p w:rsidRPr="009E330A" w:rsidR="00E81CDA" w:rsidP="00CB47DF" w:rsidRDefault="00E81CDA" w14:paraId="680423A3" w14:textId="77777777">
            <w:pPr>
              <w:widowControl/>
              <w:jc w:val="left"/>
              <w:rPr>
                <w:sz w:val="22"/>
                <w:szCs w:val="22"/>
              </w:rPr>
            </w:pPr>
            <w:r w:rsidRPr="009E330A">
              <w:rPr>
                <w:sz w:val="22"/>
                <w:szCs w:val="22"/>
              </w:rPr>
              <w:t>Electronics Engineers, Except Computer</w:t>
            </w:r>
          </w:p>
        </w:tc>
        <w:tc>
          <w:tcPr>
            <w:tcW w:w="1280" w:type="dxa"/>
          </w:tcPr>
          <w:p w:rsidRPr="009E330A" w:rsidR="00E81CDA" w:rsidP="00CB47DF" w:rsidRDefault="00E81CDA" w14:paraId="01D8033A" w14:textId="67C296CC">
            <w:pPr>
              <w:widowControl/>
              <w:jc w:val="left"/>
              <w:rPr>
                <w:sz w:val="22"/>
                <w:szCs w:val="22"/>
              </w:rPr>
            </w:pPr>
            <w:r w:rsidRPr="009E330A">
              <w:rPr>
                <w:sz w:val="22"/>
                <w:szCs w:val="22"/>
              </w:rPr>
              <w:t xml:space="preserve">Madison </w:t>
            </w:r>
          </w:p>
        </w:tc>
        <w:tc>
          <w:tcPr>
            <w:tcW w:w="1510" w:type="dxa"/>
          </w:tcPr>
          <w:p w:rsidRPr="009E330A" w:rsidR="00E81CDA" w:rsidP="00CB47DF" w:rsidRDefault="00E81CDA" w14:paraId="570087D5" w14:textId="77777777">
            <w:pPr>
              <w:widowControl/>
              <w:jc w:val="left"/>
              <w:rPr>
                <w:sz w:val="22"/>
                <w:szCs w:val="22"/>
              </w:rPr>
            </w:pPr>
            <w:r w:rsidRPr="009E330A">
              <w:rPr>
                <w:sz w:val="22"/>
                <w:szCs w:val="22"/>
              </w:rPr>
              <w:t>18</w:t>
            </w:r>
          </w:p>
        </w:tc>
      </w:tr>
      <w:tr w:rsidR="00E81CDA" w:rsidTr="009E330A" w14:paraId="1A545B57" w14:textId="77777777">
        <w:trPr>
          <w:trHeight w:val="315"/>
          <w:jc w:val="center"/>
        </w:trPr>
        <w:tc>
          <w:tcPr>
            <w:tcW w:w="1705" w:type="dxa"/>
          </w:tcPr>
          <w:p w:rsidRPr="009E330A" w:rsidR="00E81CDA" w:rsidP="00CB47DF" w:rsidRDefault="00E81CDA" w14:paraId="0EFBD6DF" w14:textId="77777777">
            <w:pPr>
              <w:widowControl/>
              <w:jc w:val="left"/>
              <w:rPr>
                <w:sz w:val="22"/>
                <w:szCs w:val="22"/>
              </w:rPr>
            </w:pPr>
            <w:r w:rsidRPr="009E330A">
              <w:rPr>
                <w:sz w:val="22"/>
                <w:szCs w:val="22"/>
              </w:rPr>
              <w:t>Auburn University</w:t>
            </w:r>
          </w:p>
        </w:tc>
        <w:tc>
          <w:tcPr>
            <w:tcW w:w="2430" w:type="dxa"/>
          </w:tcPr>
          <w:p w:rsidRPr="009E330A" w:rsidR="00E81CDA" w:rsidP="00CB47DF" w:rsidRDefault="00E81CDA" w14:paraId="6E6EDEE2" w14:textId="77777777">
            <w:pPr>
              <w:widowControl/>
              <w:jc w:val="left"/>
              <w:rPr>
                <w:sz w:val="22"/>
                <w:szCs w:val="22"/>
              </w:rPr>
            </w:pPr>
            <w:r w:rsidRPr="009E330A">
              <w:rPr>
                <w:sz w:val="22"/>
                <w:szCs w:val="22"/>
              </w:rPr>
              <w:t>Electrical and Electronics Engineering</w:t>
            </w:r>
          </w:p>
        </w:tc>
        <w:tc>
          <w:tcPr>
            <w:tcW w:w="2160" w:type="dxa"/>
          </w:tcPr>
          <w:p w:rsidRPr="009E330A" w:rsidR="00E81CDA" w:rsidP="00CB47DF" w:rsidRDefault="00E81CDA" w14:paraId="2E6974F2" w14:textId="77777777">
            <w:pPr>
              <w:widowControl/>
              <w:jc w:val="left"/>
              <w:rPr>
                <w:sz w:val="22"/>
                <w:szCs w:val="22"/>
              </w:rPr>
            </w:pPr>
            <w:r w:rsidRPr="009E330A">
              <w:rPr>
                <w:sz w:val="22"/>
                <w:szCs w:val="22"/>
              </w:rPr>
              <w:t>Electronics Engineers, Except Computer</w:t>
            </w:r>
          </w:p>
        </w:tc>
        <w:tc>
          <w:tcPr>
            <w:tcW w:w="1280" w:type="dxa"/>
          </w:tcPr>
          <w:p w:rsidRPr="009E330A" w:rsidR="00E81CDA" w:rsidP="00CB47DF" w:rsidRDefault="00E81CDA" w14:paraId="1EB830AC" w14:textId="58A27466">
            <w:pPr>
              <w:widowControl/>
              <w:jc w:val="left"/>
              <w:rPr>
                <w:sz w:val="22"/>
                <w:szCs w:val="22"/>
              </w:rPr>
            </w:pPr>
            <w:r w:rsidRPr="009E330A">
              <w:rPr>
                <w:sz w:val="22"/>
                <w:szCs w:val="22"/>
              </w:rPr>
              <w:t xml:space="preserve">Lee </w:t>
            </w:r>
          </w:p>
        </w:tc>
        <w:tc>
          <w:tcPr>
            <w:tcW w:w="1510" w:type="dxa"/>
          </w:tcPr>
          <w:p w:rsidRPr="009E330A" w:rsidR="00E81CDA" w:rsidP="00CB47DF" w:rsidRDefault="00E81CDA" w14:paraId="1B2FF846" w14:textId="77777777">
            <w:pPr>
              <w:widowControl/>
              <w:jc w:val="left"/>
              <w:rPr>
                <w:sz w:val="22"/>
                <w:szCs w:val="22"/>
              </w:rPr>
            </w:pPr>
            <w:r w:rsidRPr="009E330A">
              <w:rPr>
                <w:sz w:val="22"/>
                <w:szCs w:val="22"/>
              </w:rPr>
              <w:t>111</w:t>
            </w:r>
          </w:p>
        </w:tc>
      </w:tr>
      <w:tr w:rsidR="00E81CDA" w:rsidTr="009E330A" w14:paraId="3FC34CE6" w14:textId="77777777">
        <w:trPr>
          <w:trHeight w:val="315"/>
          <w:jc w:val="center"/>
        </w:trPr>
        <w:tc>
          <w:tcPr>
            <w:tcW w:w="1705" w:type="dxa"/>
          </w:tcPr>
          <w:p w:rsidRPr="009E330A" w:rsidR="00E81CDA" w:rsidP="00CB47DF" w:rsidRDefault="00E81CDA" w14:paraId="3140DE24" w14:textId="77777777">
            <w:pPr>
              <w:widowControl/>
              <w:jc w:val="left"/>
              <w:rPr>
                <w:sz w:val="22"/>
                <w:szCs w:val="22"/>
              </w:rPr>
            </w:pPr>
            <w:r w:rsidRPr="009E330A">
              <w:rPr>
                <w:sz w:val="22"/>
                <w:szCs w:val="22"/>
              </w:rPr>
              <w:t>Herzing University-Birmingham</w:t>
            </w:r>
          </w:p>
        </w:tc>
        <w:tc>
          <w:tcPr>
            <w:tcW w:w="2430" w:type="dxa"/>
          </w:tcPr>
          <w:p w:rsidRPr="009E330A" w:rsidR="00E81CDA" w:rsidP="00CB47DF" w:rsidRDefault="00E81CDA" w14:paraId="2096D423" w14:textId="77777777">
            <w:pPr>
              <w:widowControl/>
              <w:jc w:val="left"/>
              <w:rPr>
                <w:sz w:val="22"/>
                <w:szCs w:val="22"/>
              </w:rPr>
            </w:pPr>
            <w:r w:rsidRPr="009E330A">
              <w:rPr>
                <w:sz w:val="22"/>
                <w:szCs w:val="22"/>
              </w:rPr>
              <w:t>Customer Service Support/Call Center/Teleservice Operation</w:t>
            </w:r>
          </w:p>
        </w:tc>
        <w:tc>
          <w:tcPr>
            <w:tcW w:w="2160" w:type="dxa"/>
          </w:tcPr>
          <w:p w:rsidRPr="009E330A" w:rsidR="00E81CDA" w:rsidP="00CB47DF" w:rsidRDefault="00E81CDA" w14:paraId="5554FA03" w14:textId="77777777">
            <w:pPr>
              <w:widowControl/>
              <w:jc w:val="left"/>
              <w:rPr>
                <w:sz w:val="22"/>
                <w:szCs w:val="22"/>
              </w:rPr>
            </w:pPr>
            <w:r w:rsidRPr="009E330A">
              <w:rPr>
                <w:sz w:val="22"/>
                <w:szCs w:val="22"/>
              </w:rPr>
              <w:t>Customer Service Representatives</w:t>
            </w:r>
          </w:p>
        </w:tc>
        <w:tc>
          <w:tcPr>
            <w:tcW w:w="1280" w:type="dxa"/>
          </w:tcPr>
          <w:p w:rsidRPr="009E330A" w:rsidR="00E81CDA" w:rsidP="00CB47DF" w:rsidRDefault="00E81CDA" w14:paraId="380820E1" w14:textId="68C3C449">
            <w:pPr>
              <w:widowControl/>
              <w:jc w:val="left"/>
              <w:rPr>
                <w:sz w:val="22"/>
                <w:szCs w:val="22"/>
              </w:rPr>
            </w:pPr>
            <w:r w:rsidRPr="009E330A">
              <w:rPr>
                <w:sz w:val="22"/>
                <w:szCs w:val="22"/>
              </w:rPr>
              <w:t xml:space="preserve">Jefferson </w:t>
            </w:r>
          </w:p>
        </w:tc>
        <w:tc>
          <w:tcPr>
            <w:tcW w:w="1510" w:type="dxa"/>
          </w:tcPr>
          <w:p w:rsidRPr="009E330A" w:rsidR="00E81CDA" w:rsidP="00CB47DF" w:rsidRDefault="00E81CDA" w14:paraId="2AE21EC6" w14:textId="77777777">
            <w:pPr>
              <w:widowControl/>
              <w:jc w:val="left"/>
              <w:rPr>
                <w:sz w:val="22"/>
                <w:szCs w:val="22"/>
              </w:rPr>
            </w:pPr>
            <w:r w:rsidRPr="009E330A">
              <w:rPr>
                <w:sz w:val="22"/>
                <w:szCs w:val="22"/>
              </w:rPr>
              <w:t>4</w:t>
            </w:r>
          </w:p>
        </w:tc>
      </w:tr>
      <w:tr w:rsidR="00E81CDA" w:rsidTr="009E330A" w14:paraId="116C75EE" w14:textId="77777777">
        <w:trPr>
          <w:trHeight w:val="315"/>
          <w:jc w:val="center"/>
        </w:trPr>
        <w:tc>
          <w:tcPr>
            <w:tcW w:w="1705" w:type="dxa"/>
          </w:tcPr>
          <w:p w:rsidRPr="009E330A" w:rsidR="00E81CDA" w:rsidP="00CB47DF" w:rsidRDefault="00E81CDA" w14:paraId="4269EB85" w14:textId="77777777">
            <w:pPr>
              <w:widowControl/>
              <w:jc w:val="left"/>
              <w:rPr>
                <w:sz w:val="22"/>
                <w:szCs w:val="22"/>
              </w:rPr>
            </w:pPr>
            <w:r w:rsidRPr="009E330A">
              <w:rPr>
                <w:sz w:val="22"/>
                <w:szCs w:val="22"/>
              </w:rPr>
              <w:t>Herzing University-Birmingham</w:t>
            </w:r>
          </w:p>
        </w:tc>
        <w:tc>
          <w:tcPr>
            <w:tcW w:w="2430" w:type="dxa"/>
          </w:tcPr>
          <w:p w:rsidRPr="009E330A" w:rsidR="00E81CDA" w:rsidP="00CB47DF" w:rsidRDefault="00E81CDA" w14:paraId="747D3098" w14:textId="77777777">
            <w:pPr>
              <w:widowControl/>
              <w:jc w:val="left"/>
              <w:rPr>
                <w:sz w:val="22"/>
                <w:szCs w:val="22"/>
              </w:rPr>
            </w:pPr>
            <w:r w:rsidRPr="009E330A">
              <w:rPr>
                <w:sz w:val="22"/>
                <w:szCs w:val="22"/>
              </w:rPr>
              <w:t>Operations Management and Supervision</w:t>
            </w:r>
          </w:p>
        </w:tc>
        <w:tc>
          <w:tcPr>
            <w:tcW w:w="2160" w:type="dxa"/>
          </w:tcPr>
          <w:p w:rsidRPr="009E330A" w:rsidR="00E81CDA" w:rsidP="00CB47DF" w:rsidRDefault="00E81CDA" w14:paraId="01BE2AEA" w14:textId="77777777">
            <w:pPr>
              <w:widowControl/>
              <w:jc w:val="left"/>
              <w:rPr>
                <w:sz w:val="22"/>
                <w:szCs w:val="22"/>
              </w:rPr>
            </w:pPr>
            <w:r w:rsidRPr="009E330A">
              <w:rPr>
                <w:sz w:val="22"/>
                <w:szCs w:val="22"/>
              </w:rPr>
              <w:t>First-Line Supervisors of Mechanics, Installers, and Repairers</w:t>
            </w:r>
          </w:p>
        </w:tc>
        <w:tc>
          <w:tcPr>
            <w:tcW w:w="1280" w:type="dxa"/>
          </w:tcPr>
          <w:p w:rsidRPr="009E330A" w:rsidR="00E81CDA" w:rsidP="00CB47DF" w:rsidRDefault="00E81CDA" w14:paraId="7780F180" w14:textId="2C39A171">
            <w:pPr>
              <w:widowControl/>
              <w:jc w:val="left"/>
              <w:rPr>
                <w:sz w:val="22"/>
                <w:szCs w:val="22"/>
              </w:rPr>
            </w:pPr>
            <w:r w:rsidRPr="009E330A">
              <w:rPr>
                <w:sz w:val="22"/>
                <w:szCs w:val="22"/>
              </w:rPr>
              <w:t xml:space="preserve">Jefferson </w:t>
            </w:r>
          </w:p>
        </w:tc>
        <w:tc>
          <w:tcPr>
            <w:tcW w:w="1510" w:type="dxa"/>
          </w:tcPr>
          <w:p w:rsidRPr="009E330A" w:rsidR="00E81CDA" w:rsidP="00CB47DF" w:rsidRDefault="00E81CDA" w14:paraId="28BDB8EF" w14:textId="77777777">
            <w:pPr>
              <w:widowControl/>
              <w:jc w:val="left"/>
              <w:rPr>
                <w:sz w:val="22"/>
                <w:szCs w:val="22"/>
              </w:rPr>
            </w:pPr>
            <w:r w:rsidRPr="009E330A">
              <w:rPr>
                <w:sz w:val="22"/>
                <w:szCs w:val="22"/>
              </w:rPr>
              <w:t>1</w:t>
            </w:r>
          </w:p>
        </w:tc>
      </w:tr>
      <w:tr w:rsidR="00E81CDA" w:rsidTr="009E330A" w14:paraId="28233076" w14:textId="77777777">
        <w:trPr>
          <w:trHeight w:val="315"/>
          <w:jc w:val="center"/>
        </w:trPr>
        <w:tc>
          <w:tcPr>
            <w:tcW w:w="1705" w:type="dxa"/>
          </w:tcPr>
          <w:p w:rsidRPr="009E330A" w:rsidR="00E81CDA" w:rsidP="00CB47DF" w:rsidRDefault="00E81CDA" w14:paraId="08F4DB6B" w14:textId="77777777">
            <w:pPr>
              <w:widowControl/>
              <w:jc w:val="left"/>
              <w:rPr>
                <w:sz w:val="22"/>
                <w:szCs w:val="22"/>
              </w:rPr>
            </w:pPr>
            <w:r w:rsidRPr="009E330A">
              <w:rPr>
                <w:sz w:val="22"/>
                <w:szCs w:val="22"/>
              </w:rPr>
              <w:t>The University of Alabama</w:t>
            </w:r>
          </w:p>
        </w:tc>
        <w:tc>
          <w:tcPr>
            <w:tcW w:w="2430" w:type="dxa"/>
          </w:tcPr>
          <w:p w:rsidRPr="009E330A" w:rsidR="00E81CDA" w:rsidP="00CB47DF" w:rsidRDefault="00E81CDA" w14:paraId="349254F0" w14:textId="77777777">
            <w:pPr>
              <w:widowControl/>
              <w:jc w:val="left"/>
              <w:rPr>
                <w:sz w:val="22"/>
                <w:szCs w:val="22"/>
              </w:rPr>
            </w:pPr>
            <w:r w:rsidRPr="009E330A">
              <w:rPr>
                <w:sz w:val="22"/>
                <w:szCs w:val="22"/>
              </w:rPr>
              <w:t>Electrical and Electronics Engineering</w:t>
            </w:r>
          </w:p>
        </w:tc>
        <w:tc>
          <w:tcPr>
            <w:tcW w:w="2160" w:type="dxa"/>
          </w:tcPr>
          <w:p w:rsidRPr="009E330A" w:rsidR="00E81CDA" w:rsidP="00CB47DF" w:rsidRDefault="00E81CDA" w14:paraId="6CD15673" w14:textId="77777777">
            <w:pPr>
              <w:widowControl/>
              <w:jc w:val="left"/>
              <w:rPr>
                <w:sz w:val="22"/>
                <w:szCs w:val="22"/>
              </w:rPr>
            </w:pPr>
            <w:r w:rsidRPr="009E330A">
              <w:rPr>
                <w:sz w:val="22"/>
                <w:szCs w:val="22"/>
              </w:rPr>
              <w:t>Electronics Engineers, Except Computer</w:t>
            </w:r>
          </w:p>
        </w:tc>
        <w:tc>
          <w:tcPr>
            <w:tcW w:w="1280" w:type="dxa"/>
          </w:tcPr>
          <w:p w:rsidRPr="009E330A" w:rsidR="00E81CDA" w:rsidP="00CB47DF" w:rsidRDefault="00E81CDA" w14:paraId="35EE5CC2" w14:textId="47D9F557">
            <w:pPr>
              <w:widowControl/>
              <w:jc w:val="left"/>
              <w:rPr>
                <w:sz w:val="22"/>
                <w:szCs w:val="22"/>
              </w:rPr>
            </w:pPr>
            <w:r w:rsidRPr="009E330A">
              <w:rPr>
                <w:sz w:val="22"/>
                <w:szCs w:val="22"/>
              </w:rPr>
              <w:t xml:space="preserve">Tuscaloosa </w:t>
            </w:r>
          </w:p>
        </w:tc>
        <w:tc>
          <w:tcPr>
            <w:tcW w:w="1510" w:type="dxa"/>
          </w:tcPr>
          <w:p w:rsidRPr="009E330A" w:rsidR="00E81CDA" w:rsidP="00CB47DF" w:rsidRDefault="00E81CDA" w14:paraId="1469565F" w14:textId="77777777">
            <w:pPr>
              <w:widowControl/>
              <w:jc w:val="left"/>
              <w:rPr>
                <w:sz w:val="22"/>
                <w:szCs w:val="22"/>
              </w:rPr>
            </w:pPr>
            <w:r w:rsidRPr="009E330A">
              <w:rPr>
                <w:sz w:val="22"/>
                <w:szCs w:val="22"/>
              </w:rPr>
              <w:t>97</w:t>
            </w:r>
          </w:p>
        </w:tc>
      </w:tr>
      <w:tr w:rsidR="00E81CDA" w:rsidTr="009E330A" w14:paraId="0ABDDB0E" w14:textId="77777777">
        <w:trPr>
          <w:trHeight w:val="315"/>
          <w:jc w:val="center"/>
        </w:trPr>
        <w:tc>
          <w:tcPr>
            <w:tcW w:w="1705" w:type="dxa"/>
          </w:tcPr>
          <w:p w:rsidRPr="009E330A" w:rsidR="00E81CDA" w:rsidP="00CB47DF" w:rsidRDefault="00E81CDA" w14:paraId="6906F050" w14:textId="77777777">
            <w:pPr>
              <w:widowControl/>
              <w:jc w:val="left"/>
              <w:rPr>
                <w:sz w:val="22"/>
                <w:szCs w:val="22"/>
              </w:rPr>
            </w:pPr>
            <w:r w:rsidRPr="009E330A">
              <w:rPr>
                <w:sz w:val="22"/>
                <w:szCs w:val="22"/>
              </w:rPr>
              <w:t>The University of Alabama</w:t>
            </w:r>
          </w:p>
        </w:tc>
        <w:tc>
          <w:tcPr>
            <w:tcW w:w="2430" w:type="dxa"/>
          </w:tcPr>
          <w:p w:rsidRPr="009E330A" w:rsidR="00E81CDA" w:rsidP="00CB47DF" w:rsidRDefault="00E81CDA" w14:paraId="4A3E17E9" w14:textId="77777777">
            <w:pPr>
              <w:widowControl/>
              <w:jc w:val="left"/>
              <w:rPr>
                <w:sz w:val="22"/>
                <w:szCs w:val="22"/>
              </w:rPr>
            </w:pPr>
            <w:r w:rsidRPr="009E330A">
              <w:rPr>
                <w:sz w:val="22"/>
                <w:szCs w:val="22"/>
              </w:rPr>
              <w:t>Electrical, Electronics, and Communications Engineering, Other</w:t>
            </w:r>
          </w:p>
        </w:tc>
        <w:tc>
          <w:tcPr>
            <w:tcW w:w="2160" w:type="dxa"/>
          </w:tcPr>
          <w:p w:rsidRPr="009E330A" w:rsidR="00E81CDA" w:rsidP="00CB47DF" w:rsidRDefault="00E81CDA" w14:paraId="4B28203C" w14:textId="77777777">
            <w:pPr>
              <w:widowControl/>
              <w:jc w:val="left"/>
              <w:rPr>
                <w:sz w:val="22"/>
                <w:szCs w:val="22"/>
              </w:rPr>
            </w:pPr>
            <w:r w:rsidRPr="009E330A">
              <w:rPr>
                <w:sz w:val="22"/>
                <w:szCs w:val="22"/>
              </w:rPr>
              <w:t>Electronics Engineers, Except Computer</w:t>
            </w:r>
          </w:p>
        </w:tc>
        <w:tc>
          <w:tcPr>
            <w:tcW w:w="1280" w:type="dxa"/>
          </w:tcPr>
          <w:p w:rsidRPr="009E330A" w:rsidR="00E81CDA" w:rsidP="00CB47DF" w:rsidRDefault="00E81CDA" w14:paraId="5D69686D" w14:textId="28DF6DA6">
            <w:pPr>
              <w:widowControl/>
              <w:jc w:val="left"/>
              <w:rPr>
                <w:sz w:val="22"/>
                <w:szCs w:val="22"/>
              </w:rPr>
            </w:pPr>
            <w:r w:rsidRPr="009E330A">
              <w:rPr>
                <w:sz w:val="22"/>
                <w:szCs w:val="22"/>
              </w:rPr>
              <w:t xml:space="preserve">Tuscaloosa </w:t>
            </w:r>
          </w:p>
        </w:tc>
        <w:tc>
          <w:tcPr>
            <w:tcW w:w="1510" w:type="dxa"/>
          </w:tcPr>
          <w:p w:rsidRPr="009E330A" w:rsidR="00E81CDA" w:rsidP="00CB47DF" w:rsidRDefault="00E81CDA" w14:paraId="2FD7F424" w14:textId="77777777">
            <w:pPr>
              <w:widowControl/>
              <w:jc w:val="left"/>
              <w:rPr>
                <w:sz w:val="22"/>
                <w:szCs w:val="22"/>
              </w:rPr>
            </w:pPr>
            <w:r w:rsidRPr="009E330A">
              <w:rPr>
                <w:sz w:val="22"/>
                <w:szCs w:val="22"/>
              </w:rPr>
              <w:t>1</w:t>
            </w:r>
          </w:p>
        </w:tc>
      </w:tr>
      <w:tr w:rsidR="00E81CDA" w:rsidTr="009E330A" w14:paraId="2D51510E" w14:textId="77777777">
        <w:trPr>
          <w:trHeight w:val="315"/>
          <w:jc w:val="center"/>
        </w:trPr>
        <w:tc>
          <w:tcPr>
            <w:tcW w:w="1705" w:type="dxa"/>
          </w:tcPr>
          <w:p w:rsidRPr="009E330A" w:rsidR="00E81CDA" w:rsidP="00CB47DF" w:rsidRDefault="00E81CDA" w14:paraId="308950A0" w14:textId="77777777">
            <w:pPr>
              <w:widowControl/>
              <w:jc w:val="left"/>
              <w:rPr>
                <w:sz w:val="22"/>
                <w:szCs w:val="22"/>
              </w:rPr>
            </w:pPr>
            <w:r w:rsidRPr="009E330A">
              <w:rPr>
                <w:sz w:val="22"/>
                <w:szCs w:val="22"/>
              </w:rPr>
              <w:t>Tuskegee University</w:t>
            </w:r>
          </w:p>
        </w:tc>
        <w:tc>
          <w:tcPr>
            <w:tcW w:w="2430" w:type="dxa"/>
          </w:tcPr>
          <w:p w:rsidRPr="009E330A" w:rsidR="00E81CDA" w:rsidP="00CB47DF" w:rsidRDefault="00E81CDA" w14:paraId="1EE6C7DE" w14:textId="77777777">
            <w:pPr>
              <w:widowControl/>
              <w:jc w:val="left"/>
              <w:rPr>
                <w:sz w:val="22"/>
                <w:szCs w:val="22"/>
              </w:rPr>
            </w:pPr>
            <w:r w:rsidRPr="009E330A">
              <w:rPr>
                <w:sz w:val="22"/>
                <w:szCs w:val="22"/>
              </w:rPr>
              <w:t>Electrical and Electronics Engineering</w:t>
            </w:r>
          </w:p>
        </w:tc>
        <w:tc>
          <w:tcPr>
            <w:tcW w:w="2160" w:type="dxa"/>
          </w:tcPr>
          <w:p w:rsidRPr="009E330A" w:rsidR="00E81CDA" w:rsidP="00CB47DF" w:rsidRDefault="00E81CDA" w14:paraId="168E5CE7" w14:textId="77777777">
            <w:pPr>
              <w:widowControl/>
              <w:jc w:val="left"/>
              <w:rPr>
                <w:sz w:val="22"/>
                <w:szCs w:val="22"/>
              </w:rPr>
            </w:pPr>
            <w:r w:rsidRPr="009E330A">
              <w:rPr>
                <w:sz w:val="22"/>
                <w:szCs w:val="22"/>
              </w:rPr>
              <w:t>Electronics Engineers, Except Computer</w:t>
            </w:r>
          </w:p>
        </w:tc>
        <w:tc>
          <w:tcPr>
            <w:tcW w:w="1280" w:type="dxa"/>
          </w:tcPr>
          <w:p w:rsidRPr="009E330A" w:rsidR="00E81CDA" w:rsidP="00CB47DF" w:rsidRDefault="00E81CDA" w14:paraId="6E8EC7CE" w14:textId="2295AE37">
            <w:pPr>
              <w:widowControl/>
              <w:jc w:val="left"/>
              <w:rPr>
                <w:sz w:val="22"/>
                <w:szCs w:val="22"/>
              </w:rPr>
            </w:pPr>
            <w:r w:rsidRPr="009E330A">
              <w:rPr>
                <w:sz w:val="22"/>
                <w:szCs w:val="22"/>
              </w:rPr>
              <w:t xml:space="preserve">Macon </w:t>
            </w:r>
          </w:p>
        </w:tc>
        <w:tc>
          <w:tcPr>
            <w:tcW w:w="1510" w:type="dxa"/>
          </w:tcPr>
          <w:p w:rsidRPr="009E330A" w:rsidR="00E81CDA" w:rsidP="00CB47DF" w:rsidRDefault="00E81CDA" w14:paraId="76942B62" w14:textId="77777777">
            <w:pPr>
              <w:widowControl/>
              <w:jc w:val="left"/>
              <w:rPr>
                <w:sz w:val="22"/>
                <w:szCs w:val="22"/>
              </w:rPr>
            </w:pPr>
            <w:r w:rsidRPr="009E330A">
              <w:rPr>
                <w:sz w:val="22"/>
                <w:szCs w:val="22"/>
              </w:rPr>
              <w:t>11</w:t>
            </w:r>
          </w:p>
        </w:tc>
      </w:tr>
      <w:tr w:rsidR="00E81CDA" w:rsidTr="009E330A" w14:paraId="76A5E1E6" w14:textId="77777777">
        <w:trPr>
          <w:trHeight w:val="315"/>
          <w:jc w:val="center"/>
        </w:trPr>
        <w:tc>
          <w:tcPr>
            <w:tcW w:w="1705" w:type="dxa"/>
          </w:tcPr>
          <w:p w:rsidRPr="009E330A" w:rsidR="00E81CDA" w:rsidP="00CB47DF" w:rsidRDefault="00E81CDA" w14:paraId="239F42B4" w14:textId="77777777">
            <w:pPr>
              <w:widowControl/>
              <w:jc w:val="left"/>
              <w:rPr>
                <w:sz w:val="22"/>
                <w:szCs w:val="22"/>
              </w:rPr>
            </w:pPr>
            <w:r w:rsidRPr="009E330A">
              <w:rPr>
                <w:sz w:val="22"/>
                <w:szCs w:val="22"/>
              </w:rPr>
              <w:t>Tuskegee University</w:t>
            </w:r>
          </w:p>
        </w:tc>
        <w:tc>
          <w:tcPr>
            <w:tcW w:w="2430" w:type="dxa"/>
          </w:tcPr>
          <w:p w:rsidRPr="009E330A" w:rsidR="00E81CDA" w:rsidP="00CB47DF" w:rsidRDefault="00E81CDA" w14:paraId="2FCECB35" w14:textId="77777777">
            <w:pPr>
              <w:widowControl/>
              <w:jc w:val="left"/>
              <w:rPr>
                <w:sz w:val="22"/>
                <w:szCs w:val="22"/>
              </w:rPr>
            </w:pPr>
            <w:r w:rsidRPr="009E330A">
              <w:rPr>
                <w:sz w:val="22"/>
                <w:szCs w:val="22"/>
              </w:rPr>
              <w:t>Electrical, Electronics, and Communications Engineering, Other</w:t>
            </w:r>
          </w:p>
        </w:tc>
        <w:tc>
          <w:tcPr>
            <w:tcW w:w="2160" w:type="dxa"/>
          </w:tcPr>
          <w:p w:rsidRPr="009E330A" w:rsidR="00E81CDA" w:rsidP="00CB47DF" w:rsidRDefault="00E81CDA" w14:paraId="2B568599" w14:textId="77777777">
            <w:pPr>
              <w:widowControl/>
              <w:jc w:val="left"/>
              <w:rPr>
                <w:sz w:val="22"/>
                <w:szCs w:val="22"/>
              </w:rPr>
            </w:pPr>
            <w:r w:rsidRPr="009E330A">
              <w:rPr>
                <w:sz w:val="22"/>
                <w:szCs w:val="22"/>
              </w:rPr>
              <w:t>Electronics Engineers, Except Computer</w:t>
            </w:r>
          </w:p>
        </w:tc>
        <w:tc>
          <w:tcPr>
            <w:tcW w:w="1280" w:type="dxa"/>
          </w:tcPr>
          <w:p w:rsidRPr="009E330A" w:rsidR="00E81CDA" w:rsidP="00CB47DF" w:rsidRDefault="00E81CDA" w14:paraId="31501427" w14:textId="060DA059">
            <w:pPr>
              <w:widowControl/>
              <w:jc w:val="left"/>
              <w:rPr>
                <w:sz w:val="22"/>
                <w:szCs w:val="22"/>
              </w:rPr>
            </w:pPr>
            <w:r w:rsidRPr="009E330A">
              <w:rPr>
                <w:sz w:val="22"/>
                <w:szCs w:val="22"/>
              </w:rPr>
              <w:t xml:space="preserve">Macon </w:t>
            </w:r>
          </w:p>
        </w:tc>
        <w:tc>
          <w:tcPr>
            <w:tcW w:w="1510" w:type="dxa"/>
          </w:tcPr>
          <w:p w:rsidRPr="009E330A" w:rsidR="00E81CDA" w:rsidP="00CB47DF" w:rsidRDefault="00E81CDA" w14:paraId="6821E047" w14:textId="77777777">
            <w:pPr>
              <w:widowControl/>
              <w:jc w:val="left"/>
              <w:rPr>
                <w:sz w:val="22"/>
                <w:szCs w:val="22"/>
              </w:rPr>
            </w:pPr>
            <w:r w:rsidRPr="009E330A">
              <w:rPr>
                <w:sz w:val="22"/>
                <w:szCs w:val="22"/>
              </w:rPr>
              <w:t>1</w:t>
            </w:r>
          </w:p>
        </w:tc>
      </w:tr>
      <w:tr w:rsidR="00E81CDA" w:rsidTr="009E330A" w14:paraId="3182ED3D" w14:textId="77777777">
        <w:trPr>
          <w:trHeight w:val="315"/>
          <w:jc w:val="center"/>
        </w:trPr>
        <w:tc>
          <w:tcPr>
            <w:tcW w:w="1705" w:type="dxa"/>
          </w:tcPr>
          <w:p w:rsidRPr="009E330A" w:rsidR="00E81CDA" w:rsidP="00CB47DF" w:rsidRDefault="00E81CDA" w14:paraId="54D83A27" w14:textId="77777777">
            <w:pPr>
              <w:widowControl/>
              <w:jc w:val="left"/>
              <w:rPr>
                <w:sz w:val="22"/>
                <w:szCs w:val="22"/>
              </w:rPr>
            </w:pPr>
            <w:r w:rsidRPr="009E330A">
              <w:rPr>
                <w:sz w:val="22"/>
                <w:szCs w:val="22"/>
              </w:rPr>
              <w:t>University of Alabama at Birmingham</w:t>
            </w:r>
          </w:p>
        </w:tc>
        <w:tc>
          <w:tcPr>
            <w:tcW w:w="2430" w:type="dxa"/>
          </w:tcPr>
          <w:p w:rsidRPr="009E330A" w:rsidR="00E81CDA" w:rsidP="00CB47DF" w:rsidRDefault="00E81CDA" w14:paraId="063BBEEA" w14:textId="77777777">
            <w:pPr>
              <w:widowControl/>
              <w:jc w:val="left"/>
              <w:rPr>
                <w:sz w:val="22"/>
                <w:szCs w:val="22"/>
              </w:rPr>
            </w:pPr>
            <w:r w:rsidRPr="009E330A">
              <w:rPr>
                <w:sz w:val="22"/>
                <w:szCs w:val="22"/>
              </w:rPr>
              <w:t>Electrical and Electronics Engineering</w:t>
            </w:r>
          </w:p>
        </w:tc>
        <w:tc>
          <w:tcPr>
            <w:tcW w:w="2160" w:type="dxa"/>
          </w:tcPr>
          <w:p w:rsidRPr="009E330A" w:rsidR="00E81CDA" w:rsidP="00CB47DF" w:rsidRDefault="00E81CDA" w14:paraId="3D17DB31" w14:textId="77777777">
            <w:pPr>
              <w:widowControl/>
              <w:jc w:val="left"/>
              <w:rPr>
                <w:sz w:val="22"/>
                <w:szCs w:val="22"/>
              </w:rPr>
            </w:pPr>
            <w:r w:rsidRPr="009E330A">
              <w:rPr>
                <w:sz w:val="22"/>
                <w:szCs w:val="22"/>
              </w:rPr>
              <w:t>Electronics Engineers, Except Computer</w:t>
            </w:r>
          </w:p>
        </w:tc>
        <w:tc>
          <w:tcPr>
            <w:tcW w:w="1280" w:type="dxa"/>
          </w:tcPr>
          <w:p w:rsidRPr="009E330A" w:rsidR="00E81CDA" w:rsidP="00CB47DF" w:rsidRDefault="00E81CDA" w14:paraId="5740CBE1" w14:textId="1A6B274C">
            <w:pPr>
              <w:widowControl/>
              <w:jc w:val="left"/>
              <w:rPr>
                <w:sz w:val="22"/>
                <w:szCs w:val="22"/>
              </w:rPr>
            </w:pPr>
            <w:r w:rsidRPr="009E330A">
              <w:rPr>
                <w:sz w:val="22"/>
                <w:szCs w:val="22"/>
              </w:rPr>
              <w:t xml:space="preserve">Jefferson </w:t>
            </w:r>
          </w:p>
        </w:tc>
        <w:tc>
          <w:tcPr>
            <w:tcW w:w="1510" w:type="dxa"/>
          </w:tcPr>
          <w:p w:rsidRPr="009E330A" w:rsidR="00E81CDA" w:rsidP="00CB47DF" w:rsidRDefault="00E81CDA" w14:paraId="6BDA51D9" w14:textId="77777777">
            <w:pPr>
              <w:widowControl/>
              <w:jc w:val="left"/>
              <w:rPr>
                <w:sz w:val="22"/>
                <w:szCs w:val="22"/>
              </w:rPr>
            </w:pPr>
            <w:r w:rsidRPr="009E330A">
              <w:rPr>
                <w:sz w:val="22"/>
                <w:szCs w:val="22"/>
              </w:rPr>
              <w:t>15</w:t>
            </w:r>
          </w:p>
        </w:tc>
      </w:tr>
      <w:tr w:rsidR="00E81CDA" w:rsidTr="009E330A" w14:paraId="54273425" w14:textId="77777777">
        <w:trPr>
          <w:trHeight w:val="315"/>
          <w:jc w:val="center"/>
        </w:trPr>
        <w:tc>
          <w:tcPr>
            <w:tcW w:w="1705" w:type="dxa"/>
          </w:tcPr>
          <w:p w:rsidRPr="009E330A" w:rsidR="00E81CDA" w:rsidP="00CB47DF" w:rsidRDefault="00E81CDA" w14:paraId="06D41D4C" w14:textId="77777777">
            <w:pPr>
              <w:widowControl/>
              <w:jc w:val="left"/>
              <w:rPr>
                <w:sz w:val="22"/>
                <w:szCs w:val="22"/>
              </w:rPr>
            </w:pPr>
            <w:r w:rsidRPr="009E330A">
              <w:rPr>
                <w:sz w:val="22"/>
                <w:szCs w:val="22"/>
              </w:rPr>
              <w:t>University of Alabama at Birmingham</w:t>
            </w:r>
          </w:p>
        </w:tc>
        <w:tc>
          <w:tcPr>
            <w:tcW w:w="2430" w:type="dxa"/>
          </w:tcPr>
          <w:p w:rsidRPr="009E330A" w:rsidR="00E81CDA" w:rsidP="00CB47DF" w:rsidRDefault="00E81CDA" w14:paraId="1274A1D0" w14:textId="77777777">
            <w:pPr>
              <w:widowControl/>
              <w:jc w:val="left"/>
              <w:rPr>
                <w:sz w:val="22"/>
                <w:szCs w:val="22"/>
              </w:rPr>
            </w:pPr>
            <w:r w:rsidRPr="009E330A">
              <w:rPr>
                <w:sz w:val="22"/>
                <w:szCs w:val="22"/>
              </w:rPr>
              <w:t>Selling Skills and Sales Operations</w:t>
            </w:r>
          </w:p>
        </w:tc>
        <w:tc>
          <w:tcPr>
            <w:tcW w:w="2160" w:type="dxa"/>
          </w:tcPr>
          <w:p w:rsidRPr="009E330A" w:rsidR="00E81CDA" w:rsidP="00CB47DF" w:rsidRDefault="00E81CDA" w14:paraId="1F705AB1" w14:textId="77777777">
            <w:pPr>
              <w:widowControl/>
              <w:jc w:val="left"/>
              <w:rPr>
                <w:sz w:val="22"/>
                <w:szCs w:val="22"/>
              </w:rPr>
            </w:pPr>
            <w:r w:rsidRPr="009E330A">
              <w:rPr>
                <w:sz w:val="22"/>
                <w:szCs w:val="22"/>
              </w:rPr>
              <w:t>Sales Representatives of Services, Except Advertising, Insurance, Financial Services, and Travel</w:t>
            </w:r>
          </w:p>
        </w:tc>
        <w:tc>
          <w:tcPr>
            <w:tcW w:w="1280" w:type="dxa"/>
          </w:tcPr>
          <w:p w:rsidRPr="009E330A" w:rsidR="00E81CDA" w:rsidP="00CB47DF" w:rsidRDefault="00E81CDA" w14:paraId="3453FFA2" w14:textId="58E90410">
            <w:pPr>
              <w:widowControl/>
              <w:jc w:val="left"/>
              <w:rPr>
                <w:sz w:val="22"/>
                <w:szCs w:val="22"/>
              </w:rPr>
            </w:pPr>
            <w:r w:rsidRPr="009E330A">
              <w:rPr>
                <w:sz w:val="22"/>
                <w:szCs w:val="22"/>
              </w:rPr>
              <w:t xml:space="preserve">Jefferson </w:t>
            </w:r>
          </w:p>
        </w:tc>
        <w:tc>
          <w:tcPr>
            <w:tcW w:w="1510" w:type="dxa"/>
          </w:tcPr>
          <w:p w:rsidRPr="009E330A" w:rsidR="00E81CDA" w:rsidP="00CB47DF" w:rsidRDefault="00E81CDA" w14:paraId="1582C0B2" w14:textId="77777777">
            <w:pPr>
              <w:widowControl/>
              <w:jc w:val="left"/>
              <w:rPr>
                <w:sz w:val="22"/>
                <w:szCs w:val="22"/>
              </w:rPr>
            </w:pPr>
            <w:r w:rsidRPr="009E330A">
              <w:rPr>
                <w:sz w:val="22"/>
                <w:szCs w:val="22"/>
              </w:rPr>
              <w:t>24</w:t>
            </w:r>
          </w:p>
        </w:tc>
      </w:tr>
      <w:tr w:rsidR="00E81CDA" w:rsidTr="009E330A" w14:paraId="5D613F0A" w14:textId="77777777">
        <w:trPr>
          <w:trHeight w:val="315"/>
          <w:jc w:val="center"/>
        </w:trPr>
        <w:tc>
          <w:tcPr>
            <w:tcW w:w="1705" w:type="dxa"/>
          </w:tcPr>
          <w:p w:rsidRPr="009E330A" w:rsidR="00E81CDA" w:rsidP="00CB47DF" w:rsidRDefault="00E81CDA" w14:paraId="7F085437" w14:textId="77777777">
            <w:pPr>
              <w:widowControl/>
              <w:jc w:val="left"/>
              <w:rPr>
                <w:sz w:val="22"/>
                <w:szCs w:val="22"/>
              </w:rPr>
            </w:pPr>
            <w:r w:rsidRPr="009E330A">
              <w:rPr>
                <w:sz w:val="22"/>
                <w:szCs w:val="22"/>
              </w:rPr>
              <w:t>University of Alabama in Huntsville</w:t>
            </w:r>
          </w:p>
        </w:tc>
        <w:tc>
          <w:tcPr>
            <w:tcW w:w="2430" w:type="dxa"/>
          </w:tcPr>
          <w:p w:rsidRPr="009E330A" w:rsidR="00E81CDA" w:rsidP="00CB47DF" w:rsidRDefault="00E81CDA" w14:paraId="7D93CDF1" w14:textId="77777777">
            <w:pPr>
              <w:widowControl/>
              <w:jc w:val="left"/>
              <w:rPr>
                <w:sz w:val="22"/>
                <w:szCs w:val="22"/>
              </w:rPr>
            </w:pPr>
            <w:r w:rsidRPr="009E330A">
              <w:rPr>
                <w:sz w:val="22"/>
                <w:szCs w:val="22"/>
              </w:rPr>
              <w:t>Electrical and Electronics Engineering</w:t>
            </w:r>
          </w:p>
        </w:tc>
        <w:tc>
          <w:tcPr>
            <w:tcW w:w="2160" w:type="dxa"/>
          </w:tcPr>
          <w:p w:rsidRPr="009E330A" w:rsidR="00E81CDA" w:rsidP="00CB47DF" w:rsidRDefault="00E81CDA" w14:paraId="2A50A272" w14:textId="77777777">
            <w:pPr>
              <w:widowControl/>
              <w:jc w:val="left"/>
              <w:rPr>
                <w:sz w:val="22"/>
                <w:szCs w:val="22"/>
              </w:rPr>
            </w:pPr>
            <w:r w:rsidRPr="009E330A">
              <w:rPr>
                <w:sz w:val="22"/>
                <w:szCs w:val="22"/>
              </w:rPr>
              <w:t>Electronics Engineers, Except Computer</w:t>
            </w:r>
          </w:p>
        </w:tc>
        <w:tc>
          <w:tcPr>
            <w:tcW w:w="1280" w:type="dxa"/>
          </w:tcPr>
          <w:p w:rsidRPr="009E330A" w:rsidR="00E81CDA" w:rsidP="00CB47DF" w:rsidRDefault="00E81CDA" w14:paraId="7274A7AF" w14:textId="571CA01A">
            <w:pPr>
              <w:widowControl/>
              <w:jc w:val="left"/>
              <w:rPr>
                <w:sz w:val="22"/>
                <w:szCs w:val="22"/>
              </w:rPr>
            </w:pPr>
            <w:r w:rsidRPr="009E330A">
              <w:rPr>
                <w:sz w:val="22"/>
                <w:szCs w:val="22"/>
              </w:rPr>
              <w:t xml:space="preserve">Madison </w:t>
            </w:r>
          </w:p>
        </w:tc>
        <w:tc>
          <w:tcPr>
            <w:tcW w:w="1510" w:type="dxa"/>
          </w:tcPr>
          <w:p w:rsidRPr="009E330A" w:rsidR="00E81CDA" w:rsidP="00CB47DF" w:rsidRDefault="00E81CDA" w14:paraId="0051CE3A" w14:textId="77777777">
            <w:pPr>
              <w:widowControl/>
              <w:jc w:val="left"/>
              <w:rPr>
                <w:sz w:val="22"/>
                <w:szCs w:val="22"/>
              </w:rPr>
            </w:pPr>
            <w:r w:rsidRPr="009E330A">
              <w:rPr>
                <w:sz w:val="22"/>
                <w:szCs w:val="22"/>
              </w:rPr>
              <w:t>65</w:t>
            </w:r>
          </w:p>
        </w:tc>
      </w:tr>
      <w:tr w:rsidR="00E81CDA" w:rsidTr="009E330A" w14:paraId="196A6050" w14:textId="77777777">
        <w:trPr>
          <w:trHeight w:val="315"/>
          <w:jc w:val="center"/>
        </w:trPr>
        <w:tc>
          <w:tcPr>
            <w:tcW w:w="1705" w:type="dxa"/>
          </w:tcPr>
          <w:p w:rsidRPr="009E330A" w:rsidR="00E81CDA" w:rsidP="00CB47DF" w:rsidRDefault="00E81CDA" w14:paraId="76BC56C5" w14:textId="77777777">
            <w:pPr>
              <w:widowControl/>
              <w:jc w:val="left"/>
              <w:rPr>
                <w:sz w:val="22"/>
                <w:szCs w:val="22"/>
              </w:rPr>
            </w:pPr>
            <w:r w:rsidRPr="009E330A">
              <w:rPr>
                <w:sz w:val="22"/>
                <w:szCs w:val="22"/>
              </w:rPr>
              <w:t>University of North Alabama</w:t>
            </w:r>
          </w:p>
        </w:tc>
        <w:tc>
          <w:tcPr>
            <w:tcW w:w="2430" w:type="dxa"/>
          </w:tcPr>
          <w:p w:rsidRPr="009E330A" w:rsidR="00E81CDA" w:rsidP="00CB47DF" w:rsidRDefault="00E81CDA" w14:paraId="3259C09F" w14:textId="77777777">
            <w:pPr>
              <w:widowControl/>
              <w:jc w:val="left"/>
              <w:rPr>
                <w:sz w:val="22"/>
                <w:szCs w:val="22"/>
              </w:rPr>
            </w:pPr>
            <w:r w:rsidRPr="009E330A">
              <w:rPr>
                <w:sz w:val="22"/>
                <w:szCs w:val="22"/>
              </w:rPr>
              <w:t>Selling Skills and Sales Operations</w:t>
            </w:r>
          </w:p>
        </w:tc>
        <w:tc>
          <w:tcPr>
            <w:tcW w:w="2160" w:type="dxa"/>
          </w:tcPr>
          <w:p w:rsidRPr="009E330A" w:rsidR="00E81CDA" w:rsidP="00CB47DF" w:rsidRDefault="00E81CDA" w14:paraId="383F73BF" w14:textId="77777777">
            <w:pPr>
              <w:widowControl/>
              <w:jc w:val="left"/>
              <w:rPr>
                <w:sz w:val="22"/>
                <w:szCs w:val="22"/>
              </w:rPr>
            </w:pPr>
            <w:r w:rsidRPr="009E330A">
              <w:rPr>
                <w:sz w:val="22"/>
                <w:szCs w:val="22"/>
              </w:rPr>
              <w:t>Sales Representatives of Services, Except Advertising, Insurance, Financial Services, and Travel</w:t>
            </w:r>
          </w:p>
        </w:tc>
        <w:tc>
          <w:tcPr>
            <w:tcW w:w="1280" w:type="dxa"/>
          </w:tcPr>
          <w:p w:rsidRPr="009E330A" w:rsidR="00E81CDA" w:rsidP="00CB47DF" w:rsidRDefault="00E81CDA" w14:paraId="75483402" w14:textId="7871B279">
            <w:pPr>
              <w:widowControl/>
              <w:jc w:val="left"/>
              <w:rPr>
                <w:sz w:val="22"/>
                <w:szCs w:val="22"/>
              </w:rPr>
            </w:pPr>
            <w:r w:rsidRPr="009E330A">
              <w:rPr>
                <w:sz w:val="22"/>
                <w:szCs w:val="22"/>
              </w:rPr>
              <w:t xml:space="preserve">Lauderdale </w:t>
            </w:r>
          </w:p>
        </w:tc>
        <w:tc>
          <w:tcPr>
            <w:tcW w:w="1510" w:type="dxa"/>
          </w:tcPr>
          <w:p w:rsidRPr="009E330A" w:rsidR="00E81CDA" w:rsidP="00CB47DF" w:rsidRDefault="00E81CDA" w14:paraId="6E0037D2" w14:textId="77777777">
            <w:pPr>
              <w:widowControl/>
              <w:jc w:val="left"/>
              <w:rPr>
                <w:sz w:val="22"/>
                <w:szCs w:val="22"/>
              </w:rPr>
            </w:pPr>
            <w:r w:rsidRPr="009E330A">
              <w:rPr>
                <w:sz w:val="22"/>
                <w:szCs w:val="22"/>
              </w:rPr>
              <w:t>2</w:t>
            </w:r>
          </w:p>
        </w:tc>
      </w:tr>
      <w:tr w:rsidR="00E81CDA" w:rsidTr="009E330A" w14:paraId="412ACAEA" w14:textId="77777777">
        <w:trPr>
          <w:trHeight w:val="315"/>
          <w:jc w:val="center"/>
        </w:trPr>
        <w:tc>
          <w:tcPr>
            <w:tcW w:w="1705" w:type="dxa"/>
          </w:tcPr>
          <w:p w:rsidRPr="009E330A" w:rsidR="00E81CDA" w:rsidP="00CB47DF" w:rsidRDefault="00E81CDA" w14:paraId="20FD9BA1" w14:textId="77777777">
            <w:pPr>
              <w:widowControl/>
              <w:jc w:val="left"/>
              <w:rPr>
                <w:sz w:val="22"/>
                <w:szCs w:val="22"/>
              </w:rPr>
            </w:pPr>
            <w:r w:rsidRPr="009E330A">
              <w:rPr>
                <w:sz w:val="22"/>
                <w:szCs w:val="22"/>
              </w:rPr>
              <w:t>University of South Alabama</w:t>
            </w:r>
          </w:p>
        </w:tc>
        <w:tc>
          <w:tcPr>
            <w:tcW w:w="2430" w:type="dxa"/>
          </w:tcPr>
          <w:p w:rsidRPr="009E330A" w:rsidR="00E81CDA" w:rsidP="00CB47DF" w:rsidRDefault="00E81CDA" w14:paraId="3C483CAA" w14:textId="77777777">
            <w:pPr>
              <w:widowControl/>
              <w:jc w:val="left"/>
              <w:rPr>
                <w:sz w:val="22"/>
                <w:szCs w:val="22"/>
              </w:rPr>
            </w:pPr>
            <w:r w:rsidRPr="009E330A">
              <w:rPr>
                <w:sz w:val="22"/>
                <w:szCs w:val="22"/>
              </w:rPr>
              <w:t>Electrical and Electronics Engineering</w:t>
            </w:r>
          </w:p>
        </w:tc>
        <w:tc>
          <w:tcPr>
            <w:tcW w:w="2160" w:type="dxa"/>
          </w:tcPr>
          <w:p w:rsidRPr="009E330A" w:rsidR="00E81CDA" w:rsidP="00CB47DF" w:rsidRDefault="00E81CDA" w14:paraId="3A4C230B" w14:textId="77777777">
            <w:pPr>
              <w:widowControl/>
              <w:jc w:val="left"/>
              <w:rPr>
                <w:sz w:val="22"/>
                <w:szCs w:val="22"/>
              </w:rPr>
            </w:pPr>
            <w:r w:rsidRPr="009E330A">
              <w:rPr>
                <w:sz w:val="22"/>
                <w:szCs w:val="22"/>
              </w:rPr>
              <w:t>Electronics Engineers, Except Computer</w:t>
            </w:r>
          </w:p>
        </w:tc>
        <w:tc>
          <w:tcPr>
            <w:tcW w:w="1280" w:type="dxa"/>
          </w:tcPr>
          <w:p w:rsidRPr="009E330A" w:rsidR="00E81CDA" w:rsidP="00CB47DF" w:rsidRDefault="00E81CDA" w14:paraId="15E93C4F" w14:textId="625BA146">
            <w:pPr>
              <w:widowControl/>
              <w:jc w:val="left"/>
              <w:rPr>
                <w:sz w:val="22"/>
                <w:szCs w:val="22"/>
              </w:rPr>
            </w:pPr>
            <w:r w:rsidRPr="009E330A">
              <w:rPr>
                <w:sz w:val="22"/>
                <w:szCs w:val="22"/>
              </w:rPr>
              <w:t xml:space="preserve">Mobile </w:t>
            </w:r>
          </w:p>
        </w:tc>
        <w:tc>
          <w:tcPr>
            <w:tcW w:w="1510" w:type="dxa"/>
          </w:tcPr>
          <w:p w:rsidRPr="009E330A" w:rsidR="00E81CDA" w:rsidP="00CB47DF" w:rsidRDefault="00E81CDA" w14:paraId="2FBB57F9" w14:textId="77777777">
            <w:pPr>
              <w:widowControl/>
              <w:jc w:val="left"/>
              <w:rPr>
                <w:sz w:val="22"/>
                <w:szCs w:val="22"/>
              </w:rPr>
            </w:pPr>
            <w:r w:rsidRPr="009E330A">
              <w:rPr>
                <w:sz w:val="22"/>
                <w:szCs w:val="22"/>
              </w:rPr>
              <w:t>31</w:t>
            </w:r>
          </w:p>
        </w:tc>
      </w:tr>
    </w:tbl>
    <w:p w:rsidR="00E81CDA" w:rsidP="0052640E" w:rsidRDefault="00E81CDA" w14:paraId="12679759" w14:textId="59A9AB9C">
      <w:pPr>
        <w:spacing w:before="200"/>
      </w:pPr>
      <w:r>
        <w:t>Though th</w:t>
      </w:r>
      <w:r w:rsidR="00C75649">
        <w:t>ese</w:t>
      </w:r>
      <w:r>
        <w:t xml:space="preserve"> data do not capture graduates from private training programs, technical high schools, or public post-secondary programs that are currently being planned or have been implemented since the last year of available data, </w:t>
      </w:r>
      <w:r w:rsidR="00C538AB">
        <w:t>they do</w:t>
      </w:r>
      <w:r>
        <w:t xml:space="preserve"> give an indication of the long-standing programs in the state that are producing trainees able to fit into certain roles. </w:t>
      </w:r>
    </w:p>
    <w:p w:rsidR="00E81CDA" w:rsidP="00E81CDA" w:rsidRDefault="00E81CDA" w14:paraId="6A400E6B" w14:textId="5F232245">
      <w:r>
        <w:t>One new training program is the fiber optic training offered through the Alabama Community College System’s Skills for Success program, which combines virtual and in-person learning. Trainees learn industry standards and best practices via online modules and then complete two days of in-person instruction at one of the state’s community and technical colleges.</w:t>
      </w:r>
      <w:r w:rsidR="003061C2">
        <w:t xml:space="preserve"> These programs are available to </w:t>
      </w:r>
      <w:r w:rsidR="005A435D">
        <w:t>Alabama high school students and other adults at no charge to the student.</w:t>
      </w:r>
      <w:r w:rsidR="00235A78">
        <w:rPr>
          <w:rStyle w:val="FootnoteReference"/>
        </w:rPr>
        <w:footnoteReference w:id="69"/>
      </w:r>
      <w:r w:rsidR="005A435D">
        <w:t xml:space="preserve"> </w:t>
      </w:r>
    </w:p>
    <w:p w:rsidR="00E81CDA" w:rsidP="00E81CDA" w:rsidRDefault="00E81CDA" w14:paraId="36760659" w14:textId="049AAC77">
      <w:r>
        <w:t xml:space="preserve">Another important aspect to consider with training programs is their geographic distribution around the state. While some professions related to broadband construction, like </w:t>
      </w:r>
      <w:r>
        <w:rPr>
          <w:i/>
        </w:rPr>
        <w:t>Fiber Network Engineers</w:t>
      </w:r>
      <w:r>
        <w:t xml:space="preserve"> (which are produced under the</w:t>
      </w:r>
      <w:r>
        <w:rPr>
          <w:i/>
        </w:rPr>
        <w:t xml:space="preserve"> Electrical and Electronics Engineering</w:t>
      </w:r>
      <w:r>
        <w:t xml:space="preserve"> category), can effectively operate remotely, others, like </w:t>
      </w:r>
      <w:proofErr w:type="spellStart"/>
      <w:r>
        <w:t>lineworkers</w:t>
      </w:r>
      <w:proofErr w:type="spellEnd"/>
      <w:r>
        <w:t xml:space="preserve"> and installers, are most valuable if they are available across the state to reduce travel and better achieve local hiring goals. To illustrate potential geographic gaps in training, the following map shows a 30-minute drive-time around public institutions that are producing trainees that may be needed for </w:t>
      </w:r>
      <w:r w:rsidR="00726362">
        <w:t xml:space="preserve">broadband </w:t>
      </w:r>
      <w:r>
        <w:t>fieldwork. In Alabama’s case,</w:t>
      </w:r>
      <w:r w:rsidDel="00FC6876">
        <w:t xml:space="preserve"> </w:t>
      </w:r>
      <w:r w:rsidR="00FC6876">
        <w:t>IPEDS</w:t>
      </w:r>
      <w:r>
        <w:t xml:space="preserve"> data suggest the only long-standing program training people for </w:t>
      </w:r>
      <w:r w:rsidR="008C20D1">
        <w:t xml:space="preserve">broadband </w:t>
      </w:r>
      <w:r>
        <w:t xml:space="preserve">fieldwork is </w:t>
      </w:r>
      <w:r w:rsidR="003237F4">
        <w:t xml:space="preserve">located at </w:t>
      </w:r>
      <w:r>
        <w:t xml:space="preserve">Herzing University-Birmingham. </w:t>
      </w:r>
    </w:p>
    <w:p w:rsidR="00E81CDA" w:rsidP="00E81CDA" w:rsidRDefault="00E81CDA" w14:paraId="68DE5840" w14:textId="440FF2F8">
      <w:pPr>
        <w:pStyle w:val="Caption"/>
      </w:pPr>
      <w:bookmarkStart w:name="_heading=h.35nkun2" w:colFirst="0" w:colLast="0" w:id="200"/>
      <w:bookmarkStart w:name="_Toc150852757" w:id="201"/>
      <w:bookmarkEnd w:id="200"/>
      <w:r>
        <w:t xml:space="preserve">Figure </w:t>
      </w:r>
      <w:r w:rsidR="00597437">
        <w:fldChar w:fldCharType="begin"/>
      </w:r>
      <w:r w:rsidR="00597437">
        <w:instrText xml:space="preserve"> SEQ Figure \* ARABIC </w:instrText>
      </w:r>
      <w:r w:rsidR="00597437">
        <w:fldChar w:fldCharType="separate"/>
      </w:r>
      <w:r w:rsidR="00571998">
        <w:rPr>
          <w:noProof/>
        </w:rPr>
        <w:t>3</w:t>
      </w:r>
      <w:r w:rsidR="00597437">
        <w:rPr>
          <w:noProof/>
        </w:rPr>
        <w:fldChar w:fldCharType="end"/>
      </w:r>
      <w:r>
        <w:t xml:space="preserve">: </w:t>
      </w:r>
      <w:r w:rsidRPr="00441B7E">
        <w:t xml:space="preserve">30-minute drive time around Alabama institutions training roles relevant to </w:t>
      </w:r>
      <w:r>
        <w:t>in-the-field</w:t>
      </w:r>
      <w:r w:rsidRPr="00441B7E">
        <w:t xml:space="preserve"> broadband construction</w:t>
      </w:r>
      <w:r w:rsidR="00CC2348">
        <w:rPr>
          <w:rStyle w:val="FootnoteReference"/>
        </w:rPr>
        <w:footnoteReference w:id="70"/>
      </w:r>
      <w:bookmarkEnd w:id="201"/>
    </w:p>
    <w:p w:rsidR="00E81CDA" w:rsidP="00E81CDA" w:rsidRDefault="00E81CDA" w14:paraId="34EC79E0" w14:textId="77777777">
      <w:pPr>
        <w:spacing w:after="0"/>
        <w:jc w:val="center"/>
      </w:pPr>
      <w:r>
        <w:rPr>
          <w:noProof/>
        </w:rPr>
        <w:drawing>
          <wp:inline distT="114300" distB="114300" distL="114300" distR="114300" wp14:anchorId="2CA32D73" wp14:editId="5DFAC463">
            <wp:extent cx="4087368" cy="6848856"/>
            <wp:effectExtent l="38100" t="38100" r="46990" b="28575"/>
            <wp:docPr id="3" name="Picture 3" descr="A map showing that only the area around Birmingham is in close enough proximity to a public institution with training for in-the-field broadband construction."/>
            <wp:cNvGraphicFramePr/>
            <a:graphic xmlns:a="http://schemas.openxmlformats.org/drawingml/2006/main">
              <a:graphicData uri="http://schemas.openxmlformats.org/drawingml/2006/picture">
                <pic:pic xmlns:pic="http://schemas.openxmlformats.org/drawingml/2006/picture">
                  <pic:nvPicPr>
                    <pic:cNvPr id="3" name="Picture 3" descr="A map showing that only the area around Birmingham is in close enough proximity to a public institution with training for in-the-field broadband construction."/>
                    <pic:cNvPicPr preferRelativeResize="0"/>
                  </pic:nvPicPr>
                  <pic:blipFill>
                    <a:blip r:embed="rId23"/>
                    <a:srcRect l="10634" t="7513" r="10079" b="7936"/>
                    <a:stretch>
                      <a:fillRect/>
                    </a:stretch>
                  </pic:blipFill>
                  <pic:spPr>
                    <a:xfrm>
                      <a:off x="0" y="0"/>
                      <a:ext cx="4087368" cy="6848856"/>
                    </a:xfrm>
                    <a:prstGeom prst="rect">
                      <a:avLst/>
                    </a:prstGeom>
                    <a:ln w="25400">
                      <a:solidFill>
                        <a:srgbClr val="4472C4"/>
                      </a:solidFill>
                      <a:prstDash val="solid"/>
                    </a:ln>
                  </pic:spPr>
                </pic:pic>
              </a:graphicData>
            </a:graphic>
          </wp:inline>
        </w:drawing>
      </w:r>
    </w:p>
    <w:p w:rsidR="00E81CDA" w:rsidP="00E81CDA" w:rsidRDefault="00E81CDA" w14:paraId="05C9183C" w14:textId="77777777">
      <w:pPr>
        <w:rPr>
          <w:sz w:val="16"/>
          <w:szCs w:val="16"/>
        </w:rPr>
      </w:pPr>
      <w:r>
        <w:t xml:space="preserve">Because the workforce distribution in Alabama will naturally center around cities and locations with broadband construction-related training programs, building networks in the rural parts of the state may require importing construction labor, which will increase the cost of construction due to the expense of transportation and lodging. Training skilled workers across the entire state will therefore be an important strategy to mitigate this problem. </w:t>
      </w:r>
    </w:p>
    <w:p w:rsidR="00E81CDA" w:rsidP="006F78D2" w:rsidRDefault="00E81CDA" w14:paraId="0EB36E4C" w14:textId="77777777">
      <w:pPr>
        <w:pStyle w:val="Heading2"/>
        <w:numPr>
          <w:ilvl w:val="1"/>
          <w:numId w:val="23"/>
        </w:numPr>
        <w:rPr>
          <w:color w:val="4472C4"/>
        </w:rPr>
      </w:pPr>
      <w:bookmarkStart w:name="_heading=h.nr6et1azc8j4" w:colFirst="0" w:colLast="0" w:id="202"/>
      <w:bookmarkStart w:name="_Toc150852663" w:id="203"/>
      <w:bookmarkEnd w:id="202"/>
      <w:r>
        <w:t>Continuing to support workforce development in Alabama</w:t>
      </w:r>
      <w:bookmarkEnd w:id="203"/>
    </w:p>
    <w:p w:rsidR="00E81CDA" w:rsidP="00E81CDA" w:rsidRDefault="00E952DB" w14:paraId="149B0B71" w14:textId="123712F5">
      <w:r>
        <w:t>In</w:t>
      </w:r>
      <w:r w:rsidR="000011FB">
        <w:t xml:space="preserve"> the Alabama Statewide Digital Opportunity Plan, ADECA described </w:t>
      </w:r>
      <w:r w:rsidR="00D006FC">
        <w:t>the economic and workforce</w:t>
      </w:r>
      <w:r w:rsidR="00C771B9">
        <w:t xml:space="preserve"> deployment goals, plans, and outcomes </w:t>
      </w:r>
      <w:r w:rsidR="005163B4">
        <w:t>related to broadband.</w:t>
      </w:r>
      <w:r w:rsidR="005163B4">
        <w:rPr>
          <w:rStyle w:val="FootnoteReference"/>
        </w:rPr>
        <w:footnoteReference w:id="71"/>
      </w:r>
      <w:r w:rsidR="00B20F49">
        <w:t xml:space="preserve"> </w:t>
      </w:r>
      <w:r w:rsidR="00970DE3">
        <w:t>As part of that work, a</w:t>
      </w:r>
      <w:r w:rsidR="00E81CDA">
        <w:t xml:space="preserve">n obstacle frequently highlighted by </w:t>
      </w:r>
      <w:r w:rsidR="007515B8">
        <w:t>p</w:t>
      </w:r>
      <w:r w:rsidR="00FF7AEE">
        <w:t>artner</w:t>
      </w:r>
      <w:r w:rsidR="00E81CDA">
        <w:t xml:space="preserve">s was the ability to attract and retain a skilled, qualified workforce. Indeed, Alabama’s large BEAD allocation (the seventh highest of any state in the country) means that the amount the workforce needs to grow is substantial. To that end, </w:t>
      </w:r>
      <w:r w:rsidR="00CF5C0F">
        <w:t>ADECA</w:t>
      </w:r>
      <w:r w:rsidR="00E81CDA">
        <w:t xml:space="preserve"> endeavors to play an active role in ensuring that the state’s workforce is ready to meet the needs of the BEAD deployment by working to increase the scale of the qualified workforce in the state. </w:t>
      </w:r>
    </w:p>
    <w:p w:rsidR="00E81CDA" w:rsidP="00E81CDA" w:rsidRDefault="00E81CDA" w14:paraId="1B129983" w14:textId="39864420">
      <w:r>
        <w:t xml:space="preserve">First, </w:t>
      </w:r>
      <w:r w:rsidR="008A6FFB">
        <w:t>ADECA</w:t>
      </w:r>
      <w:r>
        <w:t xml:space="preserve"> affirms a few strategies employed in the industry</w:t>
      </w:r>
      <w:r w:rsidR="00C80CB6">
        <w:t xml:space="preserve"> and</w:t>
      </w:r>
      <w:r>
        <w:t xml:space="preserve"> </w:t>
      </w:r>
      <w:r>
        <w:rPr>
          <w:highlight w:val="white"/>
        </w:rPr>
        <w:t>best practices demonstrated by the training providers noted above</w:t>
      </w:r>
      <w:r>
        <w:t xml:space="preserve">. These best practices are critical to combating worker shortages, retention challenges, and increasing retirement due to an aging workforce, all of which are present in much of the broadband construction sector. </w:t>
      </w:r>
    </w:p>
    <w:p w:rsidR="00E81CDA" w:rsidP="006F78D2" w:rsidRDefault="00E81CDA" w14:paraId="3397F78E" w14:textId="77777777">
      <w:pPr>
        <w:numPr>
          <w:ilvl w:val="0"/>
          <w:numId w:val="24"/>
        </w:numPr>
      </w:pPr>
      <w:r>
        <w:rPr>
          <w:b/>
        </w:rPr>
        <w:t xml:space="preserve">Apprenticeships and on-the-job training programs: </w:t>
      </w:r>
      <w:r>
        <w:t xml:space="preserve">Apprenticeship models for industries where apprenticeships exist, as well as on-the-job training programs for all industries, provide benefits to both employees and employers. Employers can train people in their systems correctly from the beginning of their career and evaluate employees during introductory periods for the qualities that will set them up for long-term success. Furthermore, employees do not have to pay for separate training before getting a paycheck and can experience the rigors and learning curve of the work in a measured way as they come up to speed in the sector. </w:t>
      </w:r>
    </w:p>
    <w:p w:rsidR="00E81CDA" w:rsidP="006F78D2" w:rsidRDefault="00E81CDA" w14:paraId="6800C891" w14:textId="1B270708">
      <w:pPr>
        <w:numPr>
          <w:ilvl w:val="0"/>
          <w:numId w:val="24"/>
        </w:numPr>
      </w:pPr>
      <w:r>
        <w:rPr>
          <w:b/>
        </w:rPr>
        <w:t xml:space="preserve">Marketing to all </w:t>
      </w:r>
      <w:r w:rsidR="00915EE2">
        <w:rPr>
          <w:b/>
        </w:rPr>
        <w:t>types</w:t>
      </w:r>
      <w:r>
        <w:rPr>
          <w:b/>
        </w:rPr>
        <w:t xml:space="preserve"> of prospective workers: </w:t>
      </w:r>
      <w:r>
        <w:t xml:space="preserve">The ability to build great networks will be improved with the inclusion of people from all parts of society, including those without significant past representation in the telecom sector. Considering the scale of upcoming deployment work through the BEAD Program, as well as the workforce concerns raised by consulted </w:t>
      </w:r>
      <w:r w:rsidR="00FF7AEE">
        <w:t>partner</w:t>
      </w:r>
      <w:r>
        <w:t>s, outreach to all prospective workers is necessary to ensure projects can be completed in a timely and efficient manner. Trade schools, technical colleges, and community colleges have significant experience with outreach to nontraditional students, women, and minorities—and everyone’s participation in growing a qualified telecom sector workforce will be essential to the success of network deployment plans.</w:t>
      </w:r>
    </w:p>
    <w:p w:rsidR="00E81CDA" w:rsidP="006F78D2" w:rsidRDefault="00E81CDA" w14:paraId="011B558C" w14:textId="3BE60013">
      <w:pPr>
        <w:numPr>
          <w:ilvl w:val="0"/>
          <w:numId w:val="24"/>
        </w:numPr>
      </w:pPr>
      <w:r>
        <w:rPr>
          <w:b/>
        </w:rPr>
        <w:t xml:space="preserve">Local hiring: </w:t>
      </w:r>
      <w:r>
        <w:t>Hiring local workers benefits telecom construction in several ways: It saves money by reducing the travel time and travel expenses (e.g., accommodations) required of laborers; it allows for better recruitment as employees often prefer to stay near their home</w:t>
      </w:r>
      <w:r w:rsidR="00A96645">
        <w:t>s</w:t>
      </w:r>
      <w:r>
        <w:t xml:space="preserve">; and it ensures the benefits of hiring in labor surplus areas stay in that community. </w:t>
      </w:r>
      <w:r w:rsidR="00A96645">
        <w:t>ADECA will</w:t>
      </w:r>
      <w:r>
        <w:t xml:space="preserve"> encourage local hiring to be prioritized. </w:t>
      </w:r>
    </w:p>
    <w:p w:rsidR="00E81CDA" w:rsidP="006F78D2" w:rsidRDefault="00E81CDA" w14:paraId="10AD7A6F" w14:textId="77777777">
      <w:pPr>
        <w:numPr>
          <w:ilvl w:val="0"/>
          <w:numId w:val="24"/>
        </w:numPr>
      </w:pPr>
      <w:r>
        <w:rPr>
          <w:b/>
        </w:rPr>
        <w:t>Explicit pathways to advancement:</w:t>
      </w:r>
      <w:r>
        <w:t xml:space="preserve"> Once a new hire takes the first step into a telecommunications career, their ability to stick with that career and grow in the sector requires well-established pathways to advancement. Establishing great growth pathways can both incentivize people to start in the sector, and ensure they stay to build on their skills and knowledge. </w:t>
      </w:r>
    </w:p>
    <w:p w:rsidR="00E81CDA" w:rsidP="006F78D2" w:rsidRDefault="00E81CDA" w14:paraId="6A3EABFF" w14:textId="77777777">
      <w:pPr>
        <w:numPr>
          <w:ilvl w:val="0"/>
          <w:numId w:val="24"/>
        </w:numPr>
      </w:pPr>
      <w:r>
        <w:rPr>
          <w:b/>
        </w:rPr>
        <w:t xml:space="preserve">Coordination between training providers and employers: </w:t>
      </w:r>
      <w:r>
        <w:t>Ongoing close coordination between training providers and employers is essential to ensure that training providers understand what credentials are meaningful, adapt programs to stay current with the sector’s needs, and collectively evaluate programs’ success and iterate as needed.</w:t>
      </w:r>
    </w:p>
    <w:p w:rsidR="00E81CDA" w:rsidP="006F78D2" w:rsidRDefault="00E81CDA" w14:paraId="01593968" w14:textId="77777777">
      <w:pPr>
        <w:numPr>
          <w:ilvl w:val="0"/>
          <w:numId w:val="24"/>
        </w:numPr>
      </w:pPr>
      <w:r>
        <w:rPr>
          <w:b/>
        </w:rPr>
        <w:t xml:space="preserve">Recruitment strategies tailored to the realities and challenges of the industry: </w:t>
      </w:r>
      <w:r>
        <w:t xml:space="preserve">Enticing people into a new sector and new career—especially one as unique as being a telecommunication worker—is difficult, especially when unemployment rates are low. Successful recruitment strategies involve screening for aptitude and ability to learn, marketing opportunities based on the tangible and intangible benefits of the career, and making sure various demographics are represented in marketing materials. However, due to the challenges of the job that can only be understood fully by experience, there will always be significant numbers of people who quit within a few months of employment as a </w:t>
      </w:r>
      <w:proofErr w:type="spellStart"/>
      <w:r>
        <w:t>lineworker</w:t>
      </w:r>
      <w:proofErr w:type="spellEnd"/>
      <w:r>
        <w:t xml:space="preserve"> or installer. Because of this, it is recommended that programs and employers set recruitment targets at double or even triple the number of people needed. </w:t>
      </w:r>
    </w:p>
    <w:p w:rsidR="00E81CDA" w:rsidP="00E81CDA" w:rsidRDefault="00E81CDA" w14:paraId="56FC0BD1" w14:textId="6915C218">
      <w:r>
        <w:t xml:space="preserve">Additionally, given the interest in being more involved in the broadband workforce expressed by </w:t>
      </w:r>
      <w:r w:rsidR="00FF7AEE">
        <w:t>partner</w:t>
      </w:r>
      <w:r>
        <w:t xml:space="preserve">s </w:t>
      </w:r>
      <w:r w:rsidR="0004232D">
        <w:t>such as</w:t>
      </w:r>
      <w:r>
        <w:t xml:space="preserve"> Lit Communities and others, the state will continue to work with and encourage public institutions to develop programs to train the broadband workforce. At the same time, the state encourages the successful training and recruitment programs—such as the fiber optic training programs offered through the Alabama Community College System’s Skills for Success program—to be expanded and continued.</w:t>
      </w:r>
    </w:p>
    <w:p w:rsidR="00E81CDA" w:rsidP="00E81CDA" w:rsidRDefault="00E81CDA" w14:paraId="1E5E443E" w14:textId="65A47D25">
      <w:r>
        <w:t xml:space="preserve">Given the significant gaps in certain critical in-the-field occupations such as electric and telecommunications </w:t>
      </w:r>
      <w:proofErr w:type="spellStart"/>
      <w:r>
        <w:t>lineworkers</w:t>
      </w:r>
      <w:proofErr w:type="spellEnd"/>
      <w:r>
        <w:t xml:space="preserve"> and fiber optic technicians, and the challenges of getting trained workers to the most rural areas of the state where substantial construction will be happening, </w:t>
      </w:r>
      <w:r w:rsidR="00A2668F">
        <w:t>ADECA</w:t>
      </w:r>
      <w:r>
        <w:t xml:space="preserve"> encourages training providers to continue to develop explicit pathways for people in the rural parts of the state to take advantage of training programs. Strategies may include increasing marketing and outreach to rural areas, offering more hybrid or fully virtual learning opportunities, or even offering pop-up or temporary training events in rural communities. </w:t>
      </w:r>
    </w:p>
    <w:p w:rsidR="00E81CDA" w:rsidP="00E81CDA" w:rsidRDefault="00E81CDA" w14:paraId="216CD25F" w14:textId="49197706">
      <w:pPr>
        <w:spacing w:after="0"/>
      </w:pPr>
      <w:r>
        <w:t>Lastly, perhaps the most important workforce role for Alabama is its commitment to ongoing and close coordination with employers</w:t>
      </w:r>
      <w:r w:rsidR="00CB75F7">
        <w:t xml:space="preserve"> </w:t>
      </w:r>
      <w:r>
        <w:t xml:space="preserve">and training programs in the broadband sector. Ultimately, the state’s workforce initiatives will be most successful if they are responsive to industry needs. A description of how Alabama intends to stay in close coordination with broadband construction </w:t>
      </w:r>
      <w:r w:rsidR="00FF7AEE">
        <w:t>partner</w:t>
      </w:r>
      <w:r>
        <w:t xml:space="preserve">s is in the next section. </w:t>
      </w:r>
    </w:p>
    <w:p w:rsidR="00E81CDA" w:rsidP="006F78D2" w:rsidRDefault="00E81CDA" w14:paraId="66CF43CD" w14:textId="77BDCF25">
      <w:pPr>
        <w:pStyle w:val="Heading2"/>
        <w:numPr>
          <w:ilvl w:val="1"/>
          <w:numId w:val="23"/>
        </w:numPr>
      </w:pPr>
      <w:bookmarkStart w:name="_heading=h.xnfit7cjt06y" w:colFirst="0" w:colLast="0" w:id="204"/>
      <w:bookmarkStart w:name="_Toc150852664" w:id="205"/>
      <w:bookmarkEnd w:id="204"/>
      <w:r>
        <w:t xml:space="preserve">Coordination with workforce </w:t>
      </w:r>
      <w:r w:rsidR="00FF7AEE">
        <w:t>partner</w:t>
      </w:r>
      <w:r>
        <w:t>s</w:t>
      </w:r>
      <w:bookmarkEnd w:id="205"/>
    </w:p>
    <w:p w:rsidR="00E81CDA" w:rsidP="00E81CDA" w:rsidRDefault="00E81CDA" w14:paraId="3868FFA4" w14:textId="5B63B36E">
      <w:r>
        <w:t xml:space="preserve">Without a robust and highly trained workforce, broadband deployment in </w:t>
      </w:r>
      <w:r w:rsidR="00D35160">
        <w:t>Alabama</w:t>
      </w:r>
      <w:r>
        <w:t xml:space="preserve"> will not happen on time, at cost, </w:t>
      </w:r>
      <w:r w:rsidR="00E10380">
        <w:t>or</w:t>
      </w:r>
      <w:r>
        <w:t xml:space="preserve"> to the high standards that will set </w:t>
      </w:r>
      <w:r w:rsidR="00D35160">
        <w:t xml:space="preserve">the state </w:t>
      </w:r>
      <w:r>
        <w:t xml:space="preserve">up for success for decades to come. Employers and worker associations are critical partners both in the deployment of broadband and in the extensive preparation happening across the state to ensure the deployment goes according to plan. </w:t>
      </w:r>
    </w:p>
    <w:p w:rsidR="00E81CDA" w:rsidP="00E81CDA" w:rsidRDefault="008721EF" w14:paraId="2F240D32" w14:textId="15BE10D6">
      <w:r>
        <w:t>As part of its outreach efforts discussed above</w:t>
      </w:r>
      <w:r w:rsidR="002A6468">
        <w:t xml:space="preserve"> in Section 4</w:t>
      </w:r>
      <w:r>
        <w:t xml:space="preserve">, </w:t>
      </w:r>
      <w:r w:rsidR="00D35160">
        <w:t>ADECA</w:t>
      </w:r>
      <w:r w:rsidR="00E81CDA">
        <w:t xml:space="preserve"> requested input from ISPs, employers, worker groups, educational providers, nonprofits, faith groups, and many representatives of local and state and government</w:t>
      </w:r>
      <w:r w:rsidR="00D35160">
        <w:t xml:space="preserve"> regarding workforce issues</w:t>
      </w:r>
      <w:r w:rsidR="00E81CDA">
        <w:t xml:space="preserve">. </w:t>
      </w:r>
      <w:r w:rsidRPr="00102265" w:rsidR="00102265">
        <w:t>A</w:t>
      </w:r>
      <w:r w:rsidR="00800A8F">
        <w:t xml:space="preserve"> list of the contributors on workforce considerations </w:t>
      </w:r>
      <w:r w:rsidR="009F4860">
        <w:t xml:space="preserve">is </w:t>
      </w:r>
      <w:r w:rsidRPr="00102265" w:rsidR="00102265">
        <w:t xml:space="preserve">included </w:t>
      </w:r>
      <w:r w:rsidR="00C06EA9">
        <w:t xml:space="preserve">as Appendix </w:t>
      </w:r>
      <w:r w:rsidR="000C1FF2">
        <w:t>C</w:t>
      </w:r>
      <w:r w:rsidR="00C06EA9">
        <w:t xml:space="preserve"> </w:t>
      </w:r>
      <w:r w:rsidR="009F4860">
        <w:t>of this Initial Proposal Volume 2</w:t>
      </w:r>
      <w:r w:rsidRPr="00102265" w:rsidR="00102265">
        <w:t>.</w:t>
      </w:r>
    </w:p>
    <w:p w:rsidR="00E81CDA" w:rsidP="00E81CDA" w:rsidRDefault="00E81CDA" w14:paraId="376C26DF" w14:textId="4369E16F">
      <w:r>
        <w:t xml:space="preserve">The feedback of these entities has been instrumental in shaping state plans and understanding the workforce landscape. While many ISPs identified workforce as an “obstacle” in feedback sessions, </w:t>
      </w:r>
      <w:r w:rsidR="00993D4A">
        <w:t>ADECA</w:t>
      </w:r>
      <w:r>
        <w:t xml:space="preserve"> also benefited from understanding the many descriptions from employers about the training programs they currently offer, such as Charter’s three-month paid training program, AT&amp;T’s apprenticeship program, and the recruitment efforts of smaller providers in local markets. </w:t>
      </w:r>
      <w:r w:rsidR="00993D4A">
        <w:t>ADECA</w:t>
      </w:r>
      <w:r>
        <w:t xml:space="preserve"> appreciated feedback and details about employer plans to retain workers after BEAD deployment for continued expansion, maintenance, repairs, installations, and even wireless deployments in some cases. In addition, important feedback was provided about the need to maintain safety standards through a hiring and deployment process that will require bringing many newer workers into the industry. </w:t>
      </w:r>
    </w:p>
    <w:p w:rsidR="00BB6BC1" w:rsidP="00E81CDA" w:rsidRDefault="00BB6BC1" w14:paraId="3624B82B" w14:textId="073DC930">
      <w:pPr>
        <w:pBdr>
          <w:top w:val="nil"/>
          <w:left w:val="nil"/>
          <w:bottom w:val="nil"/>
          <w:right w:val="nil"/>
          <w:between w:val="nil"/>
        </w:pBdr>
      </w:pPr>
      <w:r w:rsidRPr="00BB6BC1">
        <w:t>ADECA also recognizes the feedback and advocacy provided by the Communications Workers of America (CWA), who noted that “high road” labor standards and practices can ensure safer construction practices and more effective deployment results. In addition, CWA state</w:t>
      </w:r>
      <w:r w:rsidR="00993D4A">
        <w:t>d</w:t>
      </w:r>
      <w:r w:rsidRPr="00BB6BC1">
        <w:t xml:space="preserve"> that greater use of subcontract</w:t>
      </w:r>
      <w:r w:rsidR="00092FFA">
        <w:t>ed</w:t>
      </w:r>
      <w:r w:rsidRPr="00BB6BC1">
        <w:t xml:space="preserve"> labor may increase the risk of subpar work</w:t>
      </w:r>
      <w:r w:rsidR="00993D4A">
        <w:t>,</w:t>
      </w:r>
      <w:r w:rsidRPr="00BB6BC1">
        <w:t xml:space="preserve"> as subcontractors often have more of an incentive to rush and are less accountable </w:t>
      </w:r>
      <w:r w:rsidR="00A11546">
        <w:t>than</w:t>
      </w:r>
      <w:r w:rsidRPr="00BB6BC1" w:rsidR="00A11546">
        <w:t xml:space="preserve"> </w:t>
      </w:r>
      <w:r w:rsidRPr="00BB6BC1">
        <w:t xml:space="preserve">the lead contractor. Lastly, CWA articulated that local hiring for broadband construction—and keeping those workers on to do installations and maintenance—is a practice that incentivizes ownership and </w:t>
      </w:r>
      <w:proofErr w:type="gramStart"/>
      <w:r w:rsidRPr="00BB6BC1">
        <w:t>accountability, and</w:t>
      </w:r>
      <w:proofErr w:type="gramEnd"/>
      <w:r w:rsidRPr="00BB6BC1">
        <w:t xml:space="preserve"> provides long-term benefits to local economies.</w:t>
      </w:r>
      <w:r w:rsidR="002E75D7">
        <w:rPr>
          <w:rStyle w:val="FootnoteReference"/>
        </w:rPr>
        <w:footnoteReference w:id="72"/>
      </w:r>
    </w:p>
    <w:p w:rsidR="00E81CDA" w:rsidP="00E81CDA" w:rsidRDefault="00C545C4" w14:paraId="4B1C128D" w14:textId="09FFE2FE">
      <w:pPr>
        <w:pBdr>
          <w:top w:val="nil"/>
          <w:left w:val="nil"/>
          <w:bottom w:val="nil"/>
          <w:right w:val="nil"/>
          <w:between w:val="nil"/>
        </w:pBdr>
      </w:pPr>
      <w:r>
        <w:t>ADECA</w:t>
      </w:r>
      <w:r w:rsidR="00E81CDA">
        <w:t xml:space="preserve"> welcomes and plans on participating in ongoing close coordination with worker groups, which is essential for the state to create programs to strengthen the workforce and ensure subgrantee awards can be built and executed according to plan. As such, </w:t>
      </w:r>
      <w:r>
        <w:t>ADECA</w:t>
      </w:r>
      <w:r w:rsidR="00E81CDA">
        <w:t xml:space="preserve"> will work with </w:t>
      </w:r>
      <w:proofErr w:type="gramStart"/>
      <w:r w:rsidR="00E81CDA">
        <w:t>previously</w:t>
      </w:r>
      <w:r>
        <w:t>-</w:t>
      </w:r>
      <w:r w:rsidR="00E81CDA">
        <w:t>identified</w:t>
      </w:r>
      <w:proofErr w:type="gramEnd"/>
      <w:r w:rsidR="00E81CDA">
        <w:t xml:space="preserve"> </w:t>
      </w:r>
      <w:r w:rsidR="00FF7AEE">
        <w:t>partner</w:t>
      </w:r>
      <w:r w:rsidR="00E81CDA">
        <w:t>s and other parties interested in workforce issues to meet regularly and establish open channels of communication.</w:t>
      </w:r>
      <w:r w:rsidR="003F4AC4">
        <w:rPr>
          <w:rStyle w:val="FootnoteReference"/>
        </w:rPr>
        <w:footnoteReference w:id="73"/>
      </w:r>
      <w:r w:rsidR="00E81CDA">
        <w:t xml:space="preserve"> </w:t>
      </w:r>
    </w:p>
    <w:p w:rsidR="00E81CDA" w:rsidP="00E81CDA" w:rsidRDefault="00E81CDA" w14:paraId="0F008763" w14:textId="4A328A1C">
      <w:r>
        <w:t xml:space="preserve">Specifically, </w:t>
      </w:r>
      <w:r w:rsidR="00A73FB3">
        <w:t xml:space="preserve">ADECA </w:t>
      </w:r>
      <w:r>
        <w:t xml:space="preserve">seeks ongoing updates from training providers, worker organizations, and firms with workforce needs regarding: </w:t>
      </w:r>
    </w:p>
    <w:p w:rsidR="00E81CDA" w:rsidP="006F78D2" w:rsidRDefault="00E81CDA" w14:paraId="2256A47A" w14:textId="7FACA757">
      <w:pPr>
        <w:numPr>
          <w:ilvl w:val="0"/>
          <w:numId w:val="25"/>
        </w:numPr>
        <w:jc w:val="left"/>
      </w:pPr>
      <w:r>
        <w:t>Recruitment strategies and their effectiveness, including but not limited to the relative efficacy of online postings, job fairs, paid partnerships, and outreach to community and technical colleges</w:t>
      </w:r>
    </w:p>
    <w:p w:rsidR="00E81CDA" w:rsidP="006F78D2" w:rsidRDefault="00E81CDA" w14:paraId="70F0A90B" w14:textId="1D9C9E42">
      <w:pPr>
        <w:numPr>
          <w:ilvl w:val="0"/>
          <w:numId w:val="25"/>
        </w:numPr>
        <w:jc w:val="left"/>
      </w:pPr>
      <w:r>
        <w:t xml:space="preserve">Progress in training and employing new workers, including training program entrance rates, training program graduation rates, job placement rates, and retention rates after three and six months of employment, or similar data illustrating retention </w:t>
      </w:r>
    </w:p>
    <w:p w:rsidR="00E81CDA" w:rsidP="006F78D2" w:rsidRDefault="00E81CDA" w14:paraId="5B920B32" w14:textId="65650C28">
      <w:pPr>
        <w:numPr>
          <w:ilvl w:val="0"/>
          <w:numId w:val="25"/>
        </w:numPr>
        <w:jc w:val="left"/>
      </w:pPr>
      <w:r>
        <w:t>Industry trends that may impact training and recruiting needs, including changes in staffing models, technology, certifications, or skillsets required of workers to be effective throughout deployment</w:t>
      </w:r>
    </w:p>
    <w:p w:rsidR="00E81CDA" w:rsidP="006F78D2" w:rsidRDefault="00E81CDA" w14:paraId="0CC47547" w14:textId="3E271B1F">
      <w:pPr>
        <w:numPr>
          <w:ilvl w:val="0"/>
          <w:numId w:val="25"/>
        </w:numPr>
        <w:jc w:val="left"/>
      </w:pPr>
      <w:r>
        <w:t xml:space="preserve">Feedback on state programs, as well as additional ideas the state may consider </w:t>
      </w:r>
      <w:proofErr w:type="gramStart"/>
      <w:r>
        <w:t>to improve</w:t>
      </w:r>
      <w:proofErr w:type="gramEnd"/>
      <w:r>
        <w:t xml:space="preserve"> workforce readiness and reach non-traditional populations</w:t>
      </w:r>
    </w:p>
    <w:p w:rsidR="00E81CDA" w:rsidP="006F78D2" w:rsidRDefault="00E81CDA" w14:paraId="67D3DEC9" w14:textId="77777777">
      <w:pPr>
        <w:pStyle w:val="Heading2"/>
        <w:numPr>
          <w:ilvl w:val="1"/>
          <w:numId w:val="23"/>
        </w:numPr>
      </w:pPr>
      <w:bookmarkStart w:name="_heading=h.uara02pc3hvc" w:colFirst="0" w:colLast="0" w:id="206"/>
      <w:bookmarkStart w:name="_Toc150852665" w:id="207"/>
      <w:bookmarkEnd w:id="206"/>
      <w:r>
        <w:t>Ensuring strong labor standards</w:t>
      </w:r>
      <w:bookmarkEnd w:id="207"/>
    </w:p>
    <w:p w:rsidR="00E81CDA" w:rsidP="00E81CDA" w:rsidRDefault="00E81CDA" w14:paraId="4616B57D" w14:textId="5F5BAFB1">
      <w:r>
        <w:t xml:space="preserve">Ensuring strong labor standards throughout the entire BEAD deployment process is important not only for the wellbeing of the vast workforce that will be participating in the process, </w:t>
      </w:r>
      <w:r w:rsidR="002B67C4">
        <w:t xml:space="preserve">but </w:t>
      </w:r>
      <w:r>
        <w:t>it is also important for the long-term integrity of the network. Treating employees well, which includes providing adequate training, ensuring fair compensation and sufficient breaks, and following robust safety protocols, will have numerous benefits to the BEAD effort.</w:t>
      </w:r>
    </w:p>
    <w:p w:rsidR="00E81CDA" w:rsidP="006F78D2" w:rsidRDefault="00E81CDA" w14:paraId="703D4889" w14:textId="77777777">
      <w:pPr>
        <w:numPr>
          <w:ilvl w:val="0"/>
          <w:numId w:val="34"/>
        </w:numPr>
      </w:pPr>
      <w:r>
        <w:rPr>
          <w:b/>
        </w:rPr>
        <w:t>Worker safety:</w:t>
      </w:r>
      <w:r>
        <w:t xml:space="preserve"> Worker safety is a primary concern for any construction happening in the state. Many protocols and practices essential to ensuring strong labor standards are paramount to increasing worker safety, such as providing regular and sufficient work breaks, proper training and oversight to new workers, and reasonable working hours and expectations. </w:t>
      </w:r>
    </w:p>
    <w:p w:rsidR="00E81CDA" w:rsidP="006F78D2" w:rsidRDefault="00E81CDA" w14:paraId="7A149E96" w14:textId="3926CD1D">
      <w:pPr>
        <w:numPr>
          <w:ilvl w:val="0"/>
          <w:numId w:val="34"/>
        </w:numPr>
      </w:pPr>
      <w:r>
        <w:rPr>
          <w:b/>
        </w:rPr>
        <w:t xml:space="preserve">Worker satisfaction and retention: </w:t>
      </w:r>
      <w:r>
        <w:t>Construction trades are physically difficult and</w:t>
      </w:r>
      <w:r w:rsidR="00597547">
        <w:t>,</w:t>
      </w:r>
      <w:r>
        <w:t xml:space="preserve"> when a job also requires working at dangerous heights, it is understandable that a portion of workers leave shortly after trying the work. Part of reducing turnover, however, involves implementing sufficient training, safety, pay, and break standards so that the physical challenges are </w:t>
      </w:r>
      <w:r w:rsidDel="0024266D">
        <w:t>minimized</w:t>
      </w:r>
      <w:r w:rsidR="0024266D">
        <w:t>,</w:t>
      </w:r>
      <w:r>
        <w:t xml:space="preserve"> and new workers become accustomed to the work within a supportive environment. </w:t>
      </w:r>
    </w:p>
    <w:p w:rsidR="00E81CDA" w:rsidP="006F78D2" w:rsidRDefault="00E81CDA" w14:paraId="0414D336" w14:textId="77777777">
      <w:pPr>
        <w:numPr>
          <w:ilvl w:val="0"/>
          <w:numId w:val="34"/>
        </w:numPr>
      </w:pPr>
      <w:r>
        <w:rPr>
          <w:b/>
        </w:rPr>
        <w:t>Quality, resilient networks:</w:t>
      </w:r>
      <w:r>
        <w:t xml:space="preserve"> Inordinately rushing construction, or building networks without appropriate oversight or training, will jeopardize the long-term integrity of the networks being built. Strong labor standards will ensure networks are built to the quality and standards expected of this critical infrastructure. </w:t>
      </w:r>
    </w:p>
    <w:p w:rsidR="00E81CDA" w:rsidP="00E81CDA" w:rsidRDefault="00E81CDA" w14:paraId="2DF775B1" w14:textId="77777777">
      <w:r>
        <w:t xml:space="preserve">The first step to strong labor standards is recognizing and highlighting the regulations and laws by which subgrantees are bound. Alabama is very familiar with the nature of the following laws and the work needed to ensure compliance: </w:t>
      </w:r>
    </w:p>
    <w:p w:rsidR="00E81CDA" w:rsidP="00E81CDA" w:rsidRDefault="00E81CDA" w14:paraId="096ACE30" w14:textId="0E0F3B3B">
      <w:pPr>
        <w:pStyle w:val="Caption"/>
      </w:pPr>
      <w:bookmarkStart w:name="_heading=h.1fob9te" w:colFirst="0" w:colLast="0" w:id="208"/>
      <w:bookmarkStart w:name="_Toc150852791" w:id="209"/>
      <w:bookmarkEnd w:id="208"/>
      <w:r>
        <w:t xml:space="preserve">Table </w:t>
      </w:r>
      <w:r w:rsidR="00597437">
        <w:fldChar w:fldCharType="begin"/>
      </w:r>
      <w:r w:rsidR="00597437">
        <w:instrText xml:space="preserve"> SEQ Table \* ARABIC </w:instrText>
      </w:r>
      <w:r w:rsidR="00597437">
        <w:fldChar w:fldCharType="separate"/>
      </w:r>
      <w:r w:rsidR="00444AF1">
        <w:rPr>
          <w:noProof/>
        </w:rPr>
        <w:t>16</w:t>
      </w:r>
      <w:r w:rsidR="00597437">
        <w:rPr>
          <w:noProof/>
        </w:rPr>
        <w:fldChar w:fldCharType="end"/>
      </w:r>
      <w:r>
        <w:t xml:space="preserve">: </w:t>
      </w:r>
      <w:r w:rsidRPr="0030676D">
        <w:t>U.S. labor laws noted in the BEAD NOFO</w:t>
      </w:r>
      <w:bookmarkEnd w:id="209"/>
    </w:p>
    <w:tbl>
      <w:tblPr>
        <w:tblStyle w:val="TableGrid"/>
        <w:tblW w:w="9570" w:type="dxa"/>
        <w:tblLayout w:type="fixed"/>
        <w:tblLook w:val="0600" w:firstRow="0" w:lastRow="0" w:firstColumn="0" w:lastColumn="0" w:noHBand="1" w:noVBand="1"/>
      </w:tblPr>
      <w:tblGrid>
        <w:gridCol w:w="4560"/>
        <w:gridCol w:w="5010"/>
      </w:tblGrid>
      <w:tr w:rsidR="00E81CDA" w:rsidTr="00C20E70" w14:paraId="03687E02" w14:textId="77777777">
        <w:trPr>
          <w:trHeight w:val="20"/>
          <w:tblHeader/>
        </w:trPr>
        <w:tc>
          <w:tcPr>
            <w:tcW w:w="4560" w:type="dxa"/>
            <w:tcBorders>
              <w:top w:val="nil"/>
              <w:right w:val="single" w:color="FFFFFF" w:themeColor="background1" w:sz="4" w:space="0"/>
            </w:tcBorders>
            <w:shd w:val="clear" w:color="auto" w:fill="0A2458"/>
          </w:tcPr>
          <w:p w:rsidRPr="00991298" w:rsidR="00E81CDA" w:rsidP="00003324" w:rsidRDefault="00E81CDA" w14:paraId="6174B478" w14:textId="48C45D81">
            <w:pPr>
              <w:widowControl/>
              <w:contextualSpacing/>
              <w:jc w:val="left"/>
            </w:pPr>
            <w:r w:rsidRPr="00991298">
              <w:t xml:space="preserve">Labor </w:t>
            </w:r>
            <w:r w:rsidR="001966B0">
              <w:rPr>
                <w:bCs/>
              </w:rPr>
              <w:t>l</w:t>
            </w:r>
            <w:r w:rsidRPr="00991298">
              <w:rPr>
                <w:bCs/>
              </w:rPr>
              <w:t>aw</w:t>
            </w:r>
          </w:p>
        </w:tc>
        <w:tc>
          <w:tcPr>
            <w:tcW w:w="5010" w:type="dxa"/>
            <w:tcBorders>
              <w:top w:val="nil"/>
              <w:left w:val="single" w:color="FFFFFF" w:themeColor="background1" w:sz="4" w:space="0"/>
            </w:tcBorders>
            <w:shd w:val="clear" w:color="auto" w:fill="0A2458"/>
          </w:tcPr>
          <w:p w:rsidRPr="00991298" w:rsidR="00E81CDA" w:rsidP="00003324" w:rsidRDefault="00E81CDA" w14:paraId="553C3FCD" w14:textId="77777777">
            <w:pPr>
              <w:widowControl/>
              <w:contextualSpacing/>
              <w:jc w:val="left"/>
            </w:pPr>
            <w:r w:rsidRPr="00991298">
              <w:t>Summary</w:t>
            </w:r>
          </w:p>
        </w:tc>
      </w:tr>
      <w:tr w:rsidR="00E81CDA" w:rsidTr="00C20E70" w14:paraId="72625DAE" w14:textId="77777777">
        <w:trPr>
          <w:cantSplit/>
          <w:trHeight w:val="20"/>
        </w:trPr>
        <w:tc>
          <w:tcPr>
            <w:tcW w:w="4560" w:type="dxa"/>
          </w:tcPr>
          <w:p w:rsidR="00E81CDA" w:rsidP="00003324" w:rsidRDefault="00E81CDA" w14:paraId="5AB6C0BB" w14:textId="77777777">
            <w:pPr>
              <w:widowControl/>
              <w:contextualSpacing/>
              <w:jc w:val="left"/>
            </w:pPr>
            <w:r>
              <w:t>Fair Labor Standards Act</w:t>
            </w:r>
          </w:p>
        </w:tc>
        <w:tc>
          <w:tcPr>
            <w:tcW w:w="5010" w:type="dxa"/>
          </w:tcPr>
          <w:p w:rsidR="00E81CDA" w:rsidP="00003324" w:rsidRDefault="00E81CDA" w14:paraId="300CB401" w14:textId="77777777">
            <w:pPr>
              <w:widowControl/>
              <w:contextualSpacing/>
              <w:jc w:val="left"/>
            </w:pPr>
            <w:r>
              <w:t>Establishment of minimum wage, overtime pay, recordkeeping, and child labor standards affecting full-time and part-time workers across private and public sectors</w:t>
            </w:r>
          </w:p>
        </w:tc>
      </w:tr>
      <w:tr w:rsidR="00E81CDA" w:rsidTr="00C20E70" w14:paraId="58516ED8" w14:textId="77777777">
        <w:trPr>
          <w:cantSplit/>
          <w:trHeight w:val="20"/>
        </w:trPr>
        <w:tc>
          <w:tcPr>
            <w:tcW w:w="4560" w:type="dxa"/>
          </w:tcPr>
          <w:p w:rsidR="00E81CDA" w:rsidP="00003324" w:rsidRDefault="00E81CDA" w14:paraId="42B0DBD0" w14:textId="51B44900">
            <w:pPr>
              <w:widowControl/>
              <w:contextualSpacing/>
              <w:jc w:val="left"/>
            </w:pPr>
            <w:r>
              <w:t>Occupational Safety and Health Act</w:t>
            </w:r>
          </w:p>
        </w:tc>
        <w:tc>
          <w:tcPr>
            <w:tcW w:w="5010" w:type="dxa"/>
          </w:tcPr>
          <w:p w:rsidR="00E81CDA" w:rsidP="00003324" w:rsidRDefault="00E81CDA" w14:paraId="15EDA14B" w14:textId="77777777">
            <w:pPr>
              <w:widowControl/>
              <w:contextualSpacing/>
              <w:jc w:val="left"/>
            </w:pPr>
            <w:r>
              <w:t>Establishment of safe and healthy workplace standards</w:t>
            </w:r>
          </w:p>
        </w:tc>
      </w:tr>
      <w:tr w:rsidR="00E81CDA" w:rsidTr="00C20E70" w14:paraId="7A709B40" w14:textId="77777777">
        <w:trPr>
          <w:cantSplit/>
          <w:trHeight w:val="20"/>
        </w:trPr>
        <w:tc>
          <w:tcPr>
            <w:tcW w:w="4560" w:type="dxa"/>
          </w:tcPr>
          <w:p w:rsidR="00E81CDA" w:rsidP="00003324" w:rsidRDefault="00E81CDA" w14:paraId="471641F0" w14:textId="77777777">
            <w:pPr>
              <w:widowControl/>
              <w:contextualSpacing/>
              <w:jc w:val="left"/>
            </w:pPr>
            <w:r>
              <w:t>Service Contract Act</w:t>
            </w:r>
          </w:p>
        </w:tc>
        <w:tc>
          <w:tcPr>
            <w:tcW w:w="5010" w:type="dxa"/>
          </w:tcPr>
          <w:p w:rsidR="00E81CDA" w:rsidP="00003324" w:rsidRDefault="00E81CDA" w14:paraId="3BEC7C7D" w14:textId="4A809C33">
            <w:pPr>
              <w:widowControl/>
              <w:contextualSpacing/>
              <w:jc w:val="left"/>
            </w:pPr>
            <w:r>
              <w:t xml:space="preserve">Establishment of standards for contractors and subcontractors performing services on prime contracts in excess of </w:t>
            </w:r>
            <w:r w:rsidR="00AD269A">
              <w:t>$</w:t>
            </w:r>
            <w:r>
              <w:t>2,500</w:t>
            </w:r>
          </w:p>
        </w:tc>
      </w:tr>
      <w:tr w:rsidR="00E81CDA" w:rsidTr="00C20E70" w14:paraId="79723A35" w14:textId="77777777">
        <w:trPr>
          <w:cantSplit/>
          <w:trHeight w:val="20"/>
        </w:trPr>
        <w:tc>
          <w:tcPr>
            <w:tcW w:w="4560" w:type="dxa"/>
          </w:tcPr>
          <w:p w:rsidR="00E81CDA" w:rsidP="00003324" w:rsidRDefault="00E81CDA" w14:paraId="4D00F044" w14:textId="77777777">
            <w:pPr>
              <w:widowControl/>
              <w:contextualSpacing/>
              <w:jc w:val="left"/>
            </w:pPr>
            <w:r>
              <w:t>Title VI of the Civil Rights Act of 1964 (see also 15 C.F.R. Part 8)</w:t>
            </w:r>
          </w:p>
          <w:p w:rsidR="00E81CDA" w:rsidP="00003324" w:rsidRDefault="00E81CDA" w14:paraId="380E5105" w14:textId="77777777">
            <w:pPr>
              <w:widowControl/>
              <w:contextualSpacing/>
              <w:jc w:val="left"/>
            </w:pPr>
            <w:r>
              <w:t xml:space="preserve"> </w:t>
            </w:r>
          </w:p>
        </w:tc>
        <w:tc>
          <w:tcPr>
            <w:tcW w:w="5010" w:type="dxa"/>
          </w:tcPr>
          <w:p w:rsidR="00E81CDA" w:rsidP="00003324" w:rsidRDefault="00E81CDA" w14:paraId="1847115F" w14:textId="77777777">
            <w:pPr>
              <w:widowControl/>
              <w:contextualSpacing/>
              <w:jc w:val="left"/>
            </w:pPr>
            <w:r>
              <w:t>Prohibition on discrimination on the basis of race, color, or national origin under programs or activities receiving federal financial assistance, including from the Department of Commerce</w:t>
            </w:r>
          </w:p>
        </w:tc>
      </w:tr>
      <w:tr w:rsidR="00E81CDA" w:rsidTr="00C20E70" w14:paraId="22D6A39F" w14:textId="77777777">
        <w:trPr>
          <w:cantSplit/>
          <w:trHeight w:val="20"/>
        </w:trPr>
        <w:tc>
          <w:tcPr>
            <w:tcW w:w="4560" w:type="dxa"/>
          </w:tcPr>
          <w:p w:rsidR="00E81CDA" w:rsidP="00003324" w:rsidRDefault="00E81CDA" w14:paraId="2E2FF525" w14:textId="77777777">
            <w:pPr>
              <w:widowControl/>
              <w:contextualSpacing/>
              <w:jc w:val="left"/>
            </w:pPr>
            <w:r>
              <w:t>Title IX of the Education Amendments of 1972</w:t>
            </w:r>
          </w:p>
        </w:tc>
        <w:tc>
          <w:tcPr>
            <w:tcW w:w="5010" w:type="dxa"/>
          </w:tcPr>
          <w:p w:rsidR="00E81CDA" w:rsidP="00003324" w:rsidRDefault="00E81CDA" w14:paraId="00DC69E2" w14:textId="77777777">
            <w:pPr>
              <w:widowControl/>
              <w:contextualSpacing/>
              <w:jc w:val="left"/>
            </w:pPr>
            <w:r>
              <w:t>Prohibition of discrimination on the basis of sex under federally assisted education programs or activities</w:t>
            </w:r>
          </w:p>
        </w:tc>
      </w:tr>
      <w:tr w:rsidR="00E81CDA" w:rsidTr="00C20E70" w14:paraId="03D88F6E" w14:textId="77777777">
        <w:trPr>
          <w:cantSplit/>
          <w:trHeight w:val="20"/>
        </w:trPr>
        <w:tc>
          <w:tcPr>
            <w:tcW w:w="4560" w:type="dxa"/>
          </w:tcPr>
          <w:p w:rsidR="00E81CDA" w:rsidP="00003324" w:rsidRDefault="00E81CDA" w14:paraId="1F4FDE29" w14:textId="77777777">
            <w:pPr>
              <w:widowControl/>
              <w:contextualSpacing/>
              <w:jc w:val="left"/>
            </w:pPr>
            <w:r>
              <w:t>The Americans with Disabilities Act of 1990</w:t>
            </w:r>
          </w:p>
          <w:p w:rsidR="00E81CDA" w:rsidP="00003324" w:rsidRDefault="00E81CDA" w14:paraId="560A903D" w14:textId="77777777">
            <w:pPr>
              <w:widowControl/>
              <w:contextualSpacing/>
              <w:jc w:val="left"/>
            </w:pPr>
            <w:r>
              <w:t xml:space="preserve"> </w:t>
            </w:r>
          </w:p>
        </w:tc>
        <w:tc>
          <w:tcPr>
            <w:tcW w:w="5010" w:type="dxa"/>
          </w:tcPr>
          <w:p w:rsidR="00E81CDA" w:rsidP="00003324" w:rsidRDefault="00E81CDA" w14:paraId="6E4C6556" w14:textId="77777777">
            <w:pPr>
              <w:widowControl/>
              <w:contextualSpacing/>
              <w:jc w:val="left"/>
            </w:pPr>
            <w:r>
              <w:t>Prohibition of discrimination on the basis of disability under programs, activities, and services provided or made available by Eligible Entities and local governments or instrumentalities or agencies thereto, as well as public or private entities that provide transportation</w:t>
            </w:r>
          </w:p>
        </w:tc>
      </w:tr>
      <w:tr w:rsidR="00E81CDA" w:rsidTr="00C20E70" w14:paraId="725E343D" w14:textId="77777777">
        <w:trPr>
          <w:cantSplit/>
          <w:trHeight w:val="20"/>
        </w:trPr>
        <w:tc>
          <w:tcPr>
            <w:tcW w:w="4560" w:type="dxa"/>
          </w:tcPr>
          <w:p w:rsidR="00E81CDA" w:rsidP="00003324" w:rsidRDefault="00E81CDA" w14:paraId="260313C1" w14:textId="77777777">
            <w:pPr>
              <w:widowControl/>
              <w:contextualSpacing/>
              <w:jc w:val="left"/>
            </w:pPr>
            <w:r>
              <w:t>Section 504 of the Rehabilitation Act of 1973</w:t>
            </w:r>
          </w:p>
        </w:tc>
        <w:tc>
          <w:tcPr>
            <w:tcW w:w="5010" w:type="dxa"/>
          </w:tcPr>
          <w:p w:rsidR="00E81CDA" w:rsidP="00003324" w:rsidRDefault="00E81CDA" w14:paraId="5F198DB5" w14:textId="77777777">
            <w:pPr>
              <w:widowControl/>
              <w:contextualSpacing/>
              <w:jc w:val="left"/>
            </w:pPr>
            <w:r>
              <w:t>Prohibition of discrimination on the basis of handicap under any program or activity receiving or benefiting from federal assistance</w:t>
            </w:r>
          </w:p>
        </w:tc>
      </w:tr>
      <w:tr w:rsidR="00E81CDA" w:rsidTr="00C20E70" w14:paraId="4561DD08" w14:textId="77777777">
        <w:trPr>
          <w:cantSplit/>
          <w:trHeight w:val="20"/>
        </w:trPr>
        <w:tc>
          <w:tcPr>
            <w:tcW w:w="4560" w:type="dxa"/>
          </w:tcPr>
          <w:p w:rsidR="00E81CDA" w:rsidP="00003324" w:rsidRDefault="00E81CDA" w14:paraId="2307000C" w14:textId="77777777">
            <w:pPr>
              <w:widowControl/>
              <w:contextualSpacing/>
              <w:jc w:val="left"/>
            </w:pPr>
            <w:r>
              <w:t>The Age Discrimination Act of 1975</w:t>
            </w:r>
          </w:p>
        </w:tc>
        <w:tc>
          <w:tcPr>
            <w:tcW w:w="5010" w:type="dxa"/>
          </w:tcPr>
          <w:p w:rsidR="00E81CDA" w:rsidP="00003324" w:rsidRDefault="00E81CDA" w14:paraId="5E9997D0" w14:textId="77777777">
            <w:pPr>
              <w:widowControl/>
              <w:contextualSpacing/>
              <w:jc w:val="left"/>
            </w:pPr>
            <w:r>
              <w:t>Prohibition of discrimination on the basis of age in programs or activities receiving federal financial assistance</w:t>
            </w:r>
          </w:p>
        </w:tc>
      </w:tr>
      <w:tr w:rsidR="00E81CDA" w:rsidTr="00C20E70" w14:paraId="64A0182E" w14:textId="77777777">
        <w:trPr>
          <w:cantSplit/>
          <w:trHeight w:val="20"/>
        </w:trPr>
        <w:tc>
          <w:tcPr>
            <w:tcW w:w="4560" w:type="dxa"/>
          </w:tcPr>
          <w:p w:rsidR="00E81CDA" w:rsidP="00003324" w:rsidRDefault="00E81CDA" w14:paraId="566946E9" w14:textId="77777777">
            <w:pPr>
              <w:widowControl/>
              <w:contextualSpacing/>
              <w:jc w:val="left"/>
            </w:pPr>
            <w:r>
              <w:t>Parts II and III of Executive Order 11246, Equal Employment Opportunity</w:t>
            </w:r>
          </w:p>
          <w:p w:rsidR="00E81CDA" w:rsidP="00003324" w:rsidRDefault="00E81CDA" w14:paraId="1FD22BAB" w14:textId="77777777">
            <w:pPr>
              <w:widowControl/>
              <w:contextualSpacing/>
              <w:jc w:val="left"/>
            </w:pPr>
            <w:r>
              <w:t xml:space="preserve"> </w:t>
            </w:r>
          </w:p>
        </w:tc>
        <w:tc>
          <w:tcPr>
            <w:tcW w:w="5010" w:type="dxa"/>
          </w:tcPr>
          <w:p w:rsidR="00E81CDA" w:rsidP="00003324" w:rsidRDefault="00E81CDA" w14:paraId="5CE1FC7C" w14:textId="77777777">
            <w:pPr>
              <w:widowControl/>
              <w:contextualSpacing/>
              <w:jc w:val="left"/>
            </w:pPr>
            <w:r>
              <w:t>Requires that federally assisted construction contracts incorporate and fulfill the nondiscrimination provisions of §§ 202 and 203 of E.O. 11246 and Department of Labor regulations implementing E.O. 11246 (41 C.F.R. § 60-1.4(b))</w:t>
            </w:r>
          </w:p>
        </w:tc>
      </w:tr>
      <w:tr w:rsidR="00E81CDA" w:rsidTr="00C20E70" w14:paraId="5A6A685F" w14:textId="77777777">
        <w:trPr>
          <w:cantSplit/>
          <w:trHeight w:val="20"/>
        </w:trPr>
        <w:tc>
          <w:tcPr>
            <w:tcW w:w="4560" w:type="dxa"/>
          </w:tcPr>
          <w:p w:rsidR="00E81CDA" w:rsidP="00003324" w:rsidRDefault="00E81CDA" w14:paraId="6CCC9591" w14:textId="77777777">
            <w:pPr>
              <w:widowControl/>
              <w:contextualSpacing/>
              <w:jc w:val="left"/>
            </w:pPr>
            <w:r>
              <w:t>Executive Order 13166, Improving Access to Services for Persons with Limited English Proficiency</w:t>
            </w:r>
          </w:p>
          <w:p w:rsidR="00E81CDA" w:rsidP="00003324" w:rsidRDefault="00E81CDA" w14:paraId="7F92DB5A" w14:textId="77777777">
            <w:pPr>
              <w:widowControl/>
              <w:contextualSpacing/>
              <w:jc w:val="left"/>
            </w:pPr>
            <w:r>
              <w:t xml:space="preserve"> </w:t>
            </w:r>
          </w:p>
        </w:tc>
        <w:tc>
          <w:tcPr>
            <w:tcW w:w="5010" w:type="dxa"/>
          </w:tcPr>
          <w:p w:rsidR="00E81CDA" w:rsidP="00003324" w:rsidRDefault="00E81CDA" w14:paraId="3FF5F951" w14:textId="7403E558">
            <w:pPr>
              <w:widowControl/>
              <w:contextualSpacing/>
              <w:jc w:val="left"/>
            </w:pPr>
            <w:r>
              <w:t>Requires federal agencies to examine the services</w:t>
            </w:r>
            <w:r w:rsidR="003D6C72">
              <w:t xml:space="preserve"> </w:t>
            </w:r>
            <w:r>
              <w:t>that they provide, identify any need for services to those with limited English proficiency (LEP), and develop and implement a system to provide those services so LEP persons can have meaningful access to them</w:t>
            </w:r>
          </w:p>
        </w:tc>
      </w:tr>
      <w:tr w:rsidR="00E81CDA" w:rsidTr="00C20E70" w14:paraId="6E393C29" w14:textId="77777777">
        <w:trPr>
          <w:cantSplit/>
          <w:trHeight w:val="20"/>
        </w:trPr>
        <w:tc>
          <w:tcPr>
            <w:tcW w:w="4560" w:type="dxa"/>
          </w:tcPr>
          <w:p w:rsidR="00E81CDA" w:rsidP="00003324" w:rsidRDefault="00E81CDA" w14:paraId="3F32FD72" w14:textId="77777777">
            <w:pPr>
              <w:widowControl/>
              <w:contextualSpacing/>
              <w:jc w:val="left"/>
            </w:pPr>
            <w:r>
              <w:t xml:space="preserve">Executive Order 13798, Promoting Free </w:t>
            </w:r>
            <w:proofErr w:type="gramStart"/>
            <w:r>
              <w:t>Speech</w:t>
            </w:r>
            <w:proofErr w:type="gramEnd"/>
            <w:r>
              <w:t xml:space="preserve"> and Religious Liberty (see also OMB M-20-09 Guidance Regarding Federal Grants and Executive Order 13798)</w:t>
            </w:r>
          </w:p>
        </w:tc>
        <w:tc>
          <w:tcPr>
            <w:tcW w:w="5010" w:type="dxa"/>
          </w:tcPr>
          <w:p w:rsidR="00E81CDA" w:rsidP="00003324" w:rsidRDefault="00E81CDA" w14:paraId="2231DEB3" w14:textId="7F5E5A50">
            <w:pPr>
              <w:widowControl/>
              <w:contextualSpacing/>
              <w:jc w:val="left"/>
            </w:pPr>
            <w:r>
              <w:t>States or other public grantees may not condition subawards of federal grant money in a manner that would disadvantage grant applicants based on their religious character</w:t>
            </w:r>
          </w:p>
        </w:tc>
      </w:tr>
    </w:tbl>
    <w:p w:rsidR="005D3E6E" w:rsidP="003D6E61" w:rsidRDefault="005D3E6E" w14:paraId="67D20599" w14:textId="77777777">
      <w:pPr>
        <w:spacing w:after="0" w:line="240" w:lineRule="auto"/>
      </w:pPr>
    </w:p>
    <w:p w:rsidR="00E81CDA" w:rsidP="00E81CDA" w:rsidRDefault="005D3E6E" w14:paraId="574F2E62" w14:textId="0942E5CE">
      <w:r>
        <w:t xml:space="preserve">As part of the information </w:t>
      </w:r>
      <w:r w:rsidRPr="00651261">
        <w:t>that prospective subgrantees will be required to provide in their applications</w:t>
      </w:r>
      <w:r w:rsidR="00D52AA3">
        <w:t xml:space="preserve"> in accordance with Section 8.1 above, </w:t>
      </w:r>
      <w:r w:rsidR="008E269E">
        <w:t>ADECA</w:t>
      </w:r>
      <w:r w:rsidR="00E81CDA">
        <w:t xml:space="preserve"> will </w:t>
      </w:r>
      <w:r w:rsidR="008E269E">
        <w:t>require</w:t>
      </w:r>
      <w:r w:rsidR="00E81CDA">
        <w:t xml:space="preserve"> applicants to self-certify compliance with the laws and regulations listed in the </w:t>
      </w:r>
      <w:r w:rsidR="008E269E">
        <w:t xml:space="preserve">BEAD </w:t>
      </w:r>
      <w:r w:rsidR="00E81CDA">
        <w:t xml:space="preserve">NOFO, as well as all applicable state and federal labor laws. In alignment with </w:t>
      </w:r>
      <w:r w:rsidR="00D52AA3">
        <w:t xml:space="preserve">the </w:t>
      </w:r>
      <w:r w:rsidR="0D32AB7A">
        <w:t>BEAD NOFO</w:t>
      </w:r>
      <w:r w:rsidR="00E81CDA">
        <w:t>,</w:t>
      </w:r>
      <w:r w:rsidR="008B464D">
        <w:rPr>
          <w:rStyle w:val="FootnoteReference"/>
        </w:rPr>
        <w:footnoteReference w:id="74"/>
      </w:r>
      <w:r w:rsidR="00E81CDA">
        <w:t xml:space="preserve"> </w:t>
      </w:r>
      <w:r w:rsidR="008E269E">
        <w:t>ADECA</w:t>
      </w:r>
      <w:r w:rsidR="00E81CDA">
        <w:t xml:space="preserve"> will require: </w:t>
      </w:r>
    </w:p>
    <w:p w:rsidR="00E81CDA" w:rsidP="006F78D2" w:rsidRDefault="00E81CDA" w14:paraId="13B33C5F" w14:textId="3A1EADD0">
      <w:pPr>
        <w:numPr>
          <w:ilvl w:val="0"/>
          <w:numId w:val="27"/>
        </w:numPr>
      </w:pPr>
      <w:r>
        <w:t xml:space="preserve">Certification from an </w:t>
      </w:r>
      <w:r w:rsidR="008B464D">
        <w:t>o</w:t>
      </w:r>
      <w:r>
        <w:t>fficer/</w:t>
      </w:r>
      <w:r w:rsidR="008B464D">
        <w:t>d</w:t>
      </w:r>
      <w:r>
        <w:t>irector-level employee (or equivalent) on past compliance with federal labor and employment laws</w:t>
      </w:r>
    </w:p>
    <w:p w:rsidR="00E81CDA" w:rsidP="006F78D2" w:rsidRDefault="00E81CDA" w14:paraId="5E1FC906" w14:textId="77777777">
      <w:pPr>
        <w:numPr>
          <w:ilvl w:val="0"/>
          <w:numId w:val="27"/>
        </w:numPr>
      </w:pPr>
      <w:r>
        <w:t>Disclosure of any violations of labor and employment laws in the last three years, or written confirmation of no such violations</w:t>
      </w:r>
    </w:p>
    <w:p w:rsidR="00E81CDA" w:rsidP="006F78D2" w:rsidRDefault="00E81CDA" w14:paraId="046FD415" w14:textId="77777777">
      <w:pPr>
        <w:numPr>
          <w:ilvl w:val="0"/>
          <w:numId w:val="27"/>
        </w:numPr>
      </w:pPr>
      <w:r>
        <w:t>Written description of steps taken to mitigate any violations that occurred in the past three years</w:t>
      </w:r>
    </w:p>
    <w:p w:rsidR="00E81CDA" w:rsidP="006F78D2" w:rsidRDefault="00E81CDA" w14:paraId="5127E87E" w14:textId="3BC0DE0D">
      <w:pPr>
        <w:numPr>
          <w:ilvl w:val="0"/>
          <w:numId w:val="27"/>
        </w:numPr>
      </w:pPr>
      <w:r>
        <w:t xml:space="preserve">Applicable wage scales and wages and overtime payment practices for each class of employee that will be directly involved in the physical construction of </w:t>
      </w:r>
      <w:r w:rsidR="00BA6B4E">
        <w:t>the broadband network</w:t>
      </w:r>
    </w:p>
    <w:p w:rsidR="00E81CDA" w:rsidP="006F78D2" w:rsidRDefault="00E81CDA" w14:paraId="030F12D4" w14:textId="0B790B16">
      <w:pPr>
        <w:numPr>
          <w:ilvl w:val="0"/>
          <w:numId w:val="27"/>
        </w:numPr>
      </w:pPr>
      <w:r>
        <w:t>Plans for the implementation of workforce safety committees that will be authorized to raise any health and safety concerns</w:t>
      </w:r>
      <w:r w:rsidR="006044DE">
        <w:t xml:space="preserve"> in connection with the delivery of deployment projects</w:t>
      </w:r>
    </w:p>
    <w:p w:rsidR="00E81CDA" w:rsidP="00E81CDA" w:rsidRDefault="00E81CDA" w14:paraId="7451F573" w14:textId="5F1511B7">
      <w:r>
        <w:t xml:space="preserve">Self-certification is a common practice that firms are accustomed to complying </w:t>
      </w:r>
      <w:r w:rsidDel="009D5561">
        <w:t>with</w:t>
      </w:r>
      <w:r w:rsidR="009D5561">
        <w:t xml:space="preserve"> and</w:t>
      </w:r>
      <w:r>
        <w:t xml:space="preserve"> will take place during the subgrantee application process. </w:t>
      </w:r>
      <w:r w:rsidR="005C54B7">
        <w:t>ADECA</w:t>
      </w:r>
      <w:r>
        <w:t xml:space="preserve"> will </w:t>
      </w:r>
      <w:r w:rsidR="005C54B7">
        <w:t>require</w:t>
      </w:r>
      <w:r>
        <w:t xml:space="preserve"> subgrantee applicants to certify compliance with state workforce and labor laws as well, should state regulations exceed or expand on guidance in the </w:t>
      </w:r>
      <w:r w:rsidR="00BA4952">
        <w:t xml:space="preserve">BEAD </w:t>
      </w:r>
      <w:r>
        <w:t>NOFO.</w:t>
      </w:r>
    </w:p>
    <w:p w:rsidR="00E81CDA" w:rsidP="00E81CDA" w:rsidRDefault="00E81CDA" w14:paraId="074243F4" w14:textId="5C51C79E">
      <w:r>
        <w:t xml:space="preserve">As with potential labor law infractions in other industries, </w:t>
      </w:r>
      <w:r w:rsidR="00BA4952">
        <w:t>ADECA</w:t>
      </w:r>
      <w:r w:rsidDel="00BA4952">
        <w:t xml:space="preserve"> </w:t>
      </w:r>
      <w:r>
        <w:t>makes it known that potential infractions may be reported to the Alabama Department of Labor. Reported infractions will be investigated under the existing protocols established by the state, and the individuals or entities filing reports will be covered under state whistleblower policies</w:t>
      </w:r>
      <w:r w:rsidR="00B76361">
        <w:t>,</w:t>
      </w:r>
      <w:r>
        <w:t xml:space="preserve"> as applicable to the situation and law. </w:t>
      </w:r>
    </w:p>
    <w:p w:rsidR="00E81CDA" w:rsidP="00E81CDA" w:rsidRDefault="00E81CDA" w14:paraId="1435A5E9" w14:textId="11A3D68A">
      <w:r>
        <w:t xml:space="preserve">To further ensure self-certification results in appropriate adherence to labor laws, </w:t>
      </w:r>
      <w:r w:rsidR="00DB51FB">
        <w:t>ADECA</w:t>
      </w:r>
      <w:r>
        <w:t xml:space="preserve"> will follow best practices for evaluation upon indications of noncompliance. Specifically, auditors or compliance workers employed by the state may request and scrutinize business records of </w:t>
      </w:r>
      <w:r w:rsidR="00082D44">
        <w:t>subgrantee</w:t>
      </w:r>
      <w:r>
        <w:t xml:space="preserve"> firms and impose fines should noncompliance be discovered. </w:t>
      </w:r>
    </w:p>
    <w:p w:rsidR="00E81CDA" w:rsidP="00E81CDA" w:rsidRDefault="00F91B20" w14:paraId="692A8CF2" w14:textId="7037C7F9">
      <w:sdt>
        <w:sdtPr>
          <w:tag w:val="goog_rdk_2"/>
          <w:id w:val="1713772707"/>
          <w:placeholder>
            <w:docPart w:val="1492B1D844A84910ACFE8267DFD8260F"/>
          </w:placeholder>
          <w:showingPlcHdr/>
        </w:sdtPr>
        <w:sdtContent/>
      </w:sdt>
      <w:r w:rsidR="00E81CDA">
        <w:t xml:space="preserve">Lastly, in alignment with </w:t>
      </w:r>
      <w:r w:rsidR="00DB51FB">
        <w:t xml:space="preserve">the BEAD </w:t>
      </w:r>
      <w:r w:rsidR="00E81CDA">
        <w:t xml:space="preserve">NOFO, </w:t>
      </w:r>
      <w:r w:rsidR="00DB51FB">
        <w:t>ADECA</w:t>
      </w:r>
      <w:r w:rsidR="00E81CDA">
        <w:t xml:space="preserve"> encourages workers to create worker-led health and safety committees who can then meet with employer management upon request to raise concerns about labor laws and ensure compliance with occupational safety and health requirements.</w:t>
      </w:r>
      <w:r w:rsidR="006E727D">
        <w:rPr>
          <w:rStyle w:val="FootnoteReference"/>
        </w:rPr>
        <w:footnoteReference w:id="75"/>
      </w:r>
      <w:r w:rsidR="00E81CDA">
        <w:t xml:space="preserve"> </w:t>
      </w:r>
    </w:p>
    <w:p w:rsidR="00E81CDA" w:rsidP="006F78D2" w:rsidRDefault="00E81CDA" w14:paraId="206E0DB0" w14:textId="77777777">
      <w:pPr>
        <w:pStyle w:val="Heading2"/>
        <w:numPr>
          <w:ilvl w:val="1"/>
          <w:numId w:val="23"/>
        </w:numPr>
      </w:pPr>
      <w:bookmarkStart w:name="_heading=h.30njja83nbz1" w:colFirst="0" w:colLast="0" w:id="210"/>
      <w:bookmarkStart w:name="_Toc150852666" w:id="211"/>
      <w:bookmarkEnd w:id="210"/>
      <w:r>
        <w:t>Ensuring recruitment of qualified, diverse firms</w:t>
      </w:r>
      <w:bookmarkEnd w:id="211"/>
      <w:r>
        <w:t xml:space="preserve"> </w:t>
      </w:r>
    </w:p>
    <w:p w:rsidR="00E81CDA" w:rsidP="00E81CDA" w:rsidRDefault="00E81CDA" w14:paraId="390FD063" w14:textId="08393981">
      <w:r>
        <w:t>Not only does the recruitment of qualified</w:t>
      </w:r>
      <w:r w:rsidR="006E727D">
        <w:t>,</w:t>
      </w:r>
      <w:r>
        <w:t xml:space="preserve"> diverse firms as part of the BEAD deployment demonstrate a fair and unbiased process, the scale of the work that needs to be done is so profound that excluding any qualified firms could jeopardize the efficient completion of the work that needs to be done. </w:t>
      </w:r>
    </w:p>
    <w:p w:rsidR="00E81CDA" w:rsidP="00E81CDA" w:rsidRDefault="006E727D" w14:paraId="2EBA2954" w14:textId="32245CB7">
      <w:r>
        <w:t xml:space="preserve">ADECA </w:t>
      </w:r>
      <w:r w:rsidR="00E81CDA">
        <w:t xml:space="preserve">encourages businesses </w:t>
      </w:r>
      <w:r>
        <w:t>owned by women, ethnic minorities, and veterans</w:t>
      </w:r>
      <w:r w:rsidR="00E81CDA">
        <w:t xml:space="preserve"> to prepare to engage in the BEAD process. </w:t>
      </w:r>
      <w:r>
        <w:t>T</w:t>
      </w:r>
      <w:r w:rsidR="00E81CDA">
        <w:t>his includes firms that directly engage in telecommunications activities</w:t>
      </w:r>
      <w:r>
        <w:t>,</w:t>
      </w:r>
      <w:r w:rsidR="00E81CDA">
        <w:t xml:space="preserve"> such as telecom construction contractors, </w:t>
      </w:r>
      <w:proofErr w:type="spellStart"/>
      <w:r w:rsidR="00E81CDA">
        <w:t>lineworkers</w:t>
      </w:r>
      <w:proofErr w:type="spellEnd"/>
      <w:r w:rsidR="00E81CDA">
        <w:t xml:space="preserve"> and installers, and ISPs; however, the deployment process will also require significant participation from firms and businesses not traditionally associated with telecommunications. For example, the deployment process also requires construction of all types, electricians, road flagging crews, tree-trimmers, accountants, and more. </w:t>
      </w:r>
      <w:r>
        <w:t>ADECA</w:t>
      </w:r>
      <w:r w:rsidR="00E81CDA">
        <w:t xml:space="preserve"> expects firms that supply these services will frequently be brought on as subcontractors or partners to </w:t>
      </w:r>
      <w:r>
        <w:t xml:space="preserve">BEAD </w:t>
      </w:r>
      <w:r w:rsidR="00E81CDA">
        <w:t xml:space="preserve">applicants, and ensuring recruitment of qualified, diverse firms is essential for these types of businesses as well. </w:t>
      </w:r>
    </w:p>
    <w:p w:rsidR="00E81CDA" w:rsidP="00E81CDA" w:rsidRDefault="00E81CDA" w14:paraId="36D03A4E" w14:textId="2A5BC36E">
      <w:r>
        <w:t xml:space="preserve">To further encourage diverse participation in the </w:t>
      </w:r>
      <w:r w:rsidR="0082597C">
        <w:t xml:space="preserve">BEAD-related </w:t>
      </w:r>
      <w:r>
        <w:t xml:space="preserve">workforce, the state will take the following additional actions: </w:t>
      </w:r>
    </w:p>
    <w:p w:rsidR="00E81CDA" w:rsidP="006F78D2" w:rsidRDefault="00E81CDA" w14:paraId="6D59A46A" w14:textId="325D9876">
      <w:pPr>
        <w:numPr>
          <w:ilvl w:val="0"/>
          <w:numId w:val="29"/>
        </w:numPr>
      </w:pPr>
      <w:r>
        <w:t xml:space="preserve">Collaborate with </w:t>
      </w:r>
      <w:r w:rsidR="00336F0D">
        <w:t xml:space="preserve">the Alabama Minority Business Development Agency Business Center, Alabama Minority Business Enterprise Center, </w:t>
      </w:r>
      <w:r w:rsidR="00570949">
        <w:t xml:space="preserve">Alabama Office of Minority Affairs, </w:t>
      </w:r>
      <w:r>
        <w:t xml:space="preserve">Alabama Small Business Development Center, Alabama State Black Chamber of Commerce Network, </w:t>
      </w:r>
      <w:r w:rsidR="00336F0D">
        <w:t xml:space="preserve">Alabama </w:t>
      </w:r>
      <w:proofErr w:type="spellStart"/>
      <w:r w:rsidR="00336F0D">
        <w:t>VetStart</w:t>
      </w:r>
      <w:proofErr w:type="spellEnd"/>
      <w:r w:rsidR="00336F0D">
        <w:t xml:space="preserve">, </w:t>
      </w:r>
      <w:r w:rsidR="009F5F2A">
        <w:t>Office</w:t>
      </w:r>
      <w:r>
        <w:t xml:space="preserve"> of </w:t>
      </w:r>
      <w:r w:rsidR="009F5F2A">
        <w:t>Minority</w:t>
      </w:r>
      <w:r>
        <w:t xml:space="preserve"> Business </w:t>
      </w:r>
      <w:r w:rsidR="009F5F2A">
        <w:t xml:space="preserve">Enterprise, REACH Women’s Business Center (serving Central Alabama), </w:t>
      </w:r>
      <w:r w:rsidR="00336F0D">
        <w:t xml:space="preserve">Veterans Business Outreach Center at Mississippi State University (serving Louisiana, Mississippi, and Alabama), </w:t>
      </w:r>
      <w:r>
        <w:t xml:space="preserve">Women’s Business Center of North Alabama, Women’s Business Center of Southern Alabama, and other partners to ensure </w:t>
      </w:r>
      <w:r w:rsidR="00855519">
        <w:t>that m</w:t>
      </w:r>
      <w:r>
        <w:t xml:space="preserve">inority, </w:t>
      </w:r>
      <w:r w:rsidR="00855519">
        <w:t>v</w:t>
      </w:r>
      <w:r>
        <w:t xml:space="preserve">eteran, and/or </w:t>
      </w:r>
      <w:r w:rsidR="00855519">
        <w:t>w</w:t>
      </w:r>
      <w:r>
        <w:t xml:space="preserve">omen </w:t>
      </w:r>
      <w:r w:rsidR="00855519">
        <w:t>b</w:t>
      </w:r>
      <w:r>
        <w:t xml:space="preserve">usiness </w:t>
      </w:r>
      <w:r w:rsidR="00855519">
        <w:t>e</w:t>
      </w:r>
      <w:r>
        <w:t xml:space="preserve">nterprises are on all relevant solicitation lists. </w:t>
      </w:r>
    </w:p>
    <w:p w:rsidR="00E81CDA" w:rsidP="006F78D2" w:rsidRDefault="00E81CDA" w14:paraId="23056DCC" w14:textId="2ACBA66B">
      <w:pPr>
        <w:numPr>
          <w:ilvl w:val="0"/>
          <w:numId w:val="29"/>
        </w:numPr>
      </w:pPr>
      <w:r>
        <w:t xml:space="preserve">Assemble, maintain, and share a list of </w:t>
      </w:r>
      <w:proofErr w:type="gramStart"/>
      <w:r>
        <w:t>veteran</w:t>
      </w:r>
      <w:proofErr w:type="gramEnd"/>
      <w:r>
        <w:t>, minority, and/or women business enterprises that have expressed interest in participation in BEAD deployments and promote the list to help make connections to the broader telecommunications business community.</w:t>
      </w:r>
    </w:p>
    <w:p w:rsidR="00E81CDA" w:rsidP="006F78D2" w:rsidRDefault="00E81CDA" w14:paraId="2251E52E" w14:textId="600259AC">
      <w:pPr>
        <w:numPr>
          <w:ilvl w:val="0"/>
          <w:numId w:val="29"/>
        </w:numPr>
      </w:pPr>
      <w:r>
        <w:t xml:space="preserve">Ensure recruitment efforts by training providers and </w:t>
      </w:r>
      <w:r w:rsidR="00965E92">
        <w:t xml:space="preserve">help </w:t>
      </w:r>
      <w:r>
        <w:t xml:space="preserve">employers target diverse communities by being a conduit between those entities and groups whose goals include encouraging diverse workforce participation, such as job and career centers in communities with higher populations of people of color, HBCUs, nonprofit and faith groups, and others who have a focus on economic empowerment and promoting inclusive economies. </w:t>
      </w:r>
    </w:p>
    <w:p w:rsidR="00E81CDA" w:rsidP="00E81CDA" w:rsidRDefault="00E81CDA" w14:paraId="3AD1E6C9" w14:textId="54563956">
      <w:r>
        <w:t xml:space="preserve">To affirm its commitment to </w:t>
      </w:r>
      <w:r w:rsidR="004F1792">
        <w:t>diverse firms and job availability to diverse worker pools</w:t>
      </w:r>
      <w:r>
        <w:t xml:space="preserve">, </w:t>
      </w:r>
      <w:r w:rsidR="004F1792">
        <w:t>ADECA</w:t>
      </w:r>
      <w:r>
        <w:t xml:space="preserve"> intends to allow applicants to voluntarily disclose in their application if they or any of their partners </w:t>
      </w:r>
      <w:r w:rsidR="004F1792">
        <w:t>or</w:t>
      </w:r>
      <w:r>
        <w:t xml:space="preserve"> subcontractors qualify as a veteran-owned, women-owned, or minority-owned business</w:t>
      </w:r>
      <w:r w:rsidR="00413EC3">
        <w:t>es</w:t>
      </w:r>
      <w:r>
        <w:t xml:space="preserve">. </w:t>
      </w:r>
    </w:p>
    <w:p w:rsidR="00E81CDA" w:rsidP="00E81CDA" w:rsidRDefault="00E81CDA" w14:paraId="218F7507" w14:textId="77777777">
      <w:r>
        <w:t xml:space="preserve">Lastly, </w:t>
      </w:r>
      <w:proofErr w:type="gramStart"/>
      <w:r>
        <w:t>state</w:t>
      </w:r>
      <w:proofErr w:type="gramEnd"/>
      <w:r>
        <w:t xml:space="preserve"> and local economies and tax bases benefit the most when firms from Labor Surplus Areas are engaged, particularly when they fill staff openings locally. In Alabama, those areas are designated by the U.S. Department of Labor as:</w:t>
      </w:r>
    </w:p>
    <w:p w:rsidR="00E81CDA" w:rsidP="001B4244" w:rsidRDefault="00E81CDA" w14:paraId="0AC369A2" w14:textId="77777777">
      <w:pPr>
        <w:numPr>
          <w:ilvl w:val="0"/>
          <w:numId w:val="28"/>
        </w:numPr>
      </w:pPr>
      <w:r>
        <w:t>Dallas County</w:t>
      </w:r>
    </w:p>
    <w:p w:rsidR="00E81CDA" w:rsidP="001B4244" w:rsidRDefault="00E81CDA" w14:paraId="05B82DA4" w14:textId="77777777">
      <w:pPr>
        <w:numPr>
          <w:ilvl w:val="0"/>
          <w:numId w:val="28"/>
        </w:numPr>
      </w:pPr>
      <w:r>
        <w:t xml:space="preserve">Lowndes County </w:t>
      </w:r>
    </w:p>
    <w:p w:rsidR="00E81CDA" w:rsidP="001B4244" w:rsidRDefault="00E81CDA" w14:paraId="05BBB27D" w14:textId="77777777">
      <w:pPr>
        <w:numPr>
          <w:ilvl w:val="0"/>
          <w:numId w:val="28"/>
        </w:numPr>
      </w:pPr>
      <w:r>
        <w:t>Perry County</w:t>
      </w:r>
    </w:p>
    <w:p w:rsidR="00E81CDA" w:rsidP="001B4244" w:rsidRDefault="00E81CDA" w14:paraId="0CBB2AF2" w14:textId="77777777">
      <w:pPr>
        <w:numPr>
          <w:ilvl w:val="0"/>
          <w:numId w:val="28"/>
        </w:numPr>
      </w:pPr>
      <w:r>
        <w:t>Prichard, Mobile County</w:t>
      </w:r>
    </w:p>
    <w:p w:rsidR="00E81CDA" w:rsidP="001B4244" w:rsidRDefault="00E81CDA" w14:paraId="036B4EF9" w14:textId="77777777">
      <w:pPr>
        <w:numPr>
          <w:ilvl w:val="0"/>
          <w:numId w:val="28"/>
        </w:numPr>
      </w:pPr>
      <w:r>
        <w:t>Selma, Dallas County</w:t>
      </w:r>
    </w:p>
    <w:p w:rsidR="004F1792" w:rsidP="001B4244" w:rsidRDefault="00E81CDA" w14:paraId="77A401D2" w14:textId="77777777">
      <w:pPr>
        <w:numPr>
          <w:ilvl w:val="0"/>
          <w:numId w:val="28"/>
        </w:numPr>
      </w:pPr>
      <w:r>
        <w:t>Wilcox County</w:t>
      </w:r>
    </w:p>
    <w:p w:rsidR="00E81CDA" w:rsidP="004545BB" w:rsidRDefault="004F1792" w14:paraId="46C15DC1" w14:textId="45BDE72D">
      <w:r>
        <w:t xml:space="preserve">More information regarding ADECA’s proposed </w:t>
      </w:r>
      <w:r w:rsidR="00FF7363">
        <w:t xml:space="preserve">approach for inclusion of minority business </w:t>
      </w:r>
      <w:r w:rsidRPr="00D44EF9" w:rsidR="00FF7363">
        <w:t>enterprises</w:t>
      </w:r>
      <w:r w:rsidRPr="00D44EF9" w:rsidR="007F12C1">
        <w:t>, women</w:t>
      </w:r>
      <w:r w:rsidRPr="00D44EF9" w:rsidR="008919A6">
        <w:t>’s business enterprises</w:t>
      </w:r>
      <w:r w:rsidRPr="00D44EF9" w:rsidR="00DF035A">
        <w:t>, and labor surplus area firms in BEAD projects can be found below in Section 10.</w:t>
      </w:r>
      <w:r w:rsidRPr="00D44EF9" w:rsidR="00FF7363">
        <w:t xml:space="preserve"> </w:t>
      </w:r>
    </w:p>
    <w:p w:rsidR="00E81CDA" w:rsidP="006F78D2" w:rsidRDefault="00E81CDA" w14:paraId="033690E8" w14:textId="77777777">
      <w:pPr>
        <w:pStyle w:val="Heading2"/>
        <w:numPr>
          <w:ilvl w:val="1"/>
          <w:numId w:val="23"/>
        </w:numPr>
        <w:rPr>
          <w:color w:val="2F5496"/>
        </w:rPr>
      </w:pPr>
      <w:bookmarkStart w:name="_heading=h.6a43jy7o8q1t" w:colFirst="0" w:colLast="0" w:id="212"/>
      <w:bookmarkStart w:name="_Toc150852667" w:id="213"/>
      <w:bookmarkEnd w:id="212"/>
      <w:r>
        <w:t>Subgrantee selection process related to workforce considerations</w:t>
      </w:r>
      <w:bookmarkEnd w:id="213"/>
    </w:p>
    <w:p w:rsidR="00E81CDA" w:rsidP="00E81CDA" w:rsidRDefault="00F3197B" w14:paraId="5F61B4F3" w14:textId="679E42AE">
      <w:r>
        <w:t xml:space="preserve">Section 8.2 above discusses in detail the binding legal commitments </w:t>
      </w:r>
      <w:r w:rsidR="00871C28">
        <w:t>ADECA will require BEAD subgrantees to make related to labor standards and protections</w:t>
      </w:r>
      <w:r w:rsidR="008F4D1B">
        <w:t xml:space="preserve">, which include </w:t>
      </w:r>
      <w:r w:rsidR="000A6BF8">
        <w:t xml:space="preserve">commitments </w:t>
      </w:r>
      <w:r w:rsidR="00B644F8">
        <w:t>related to</w:t>
      </w:r>
      <w:r w:rsidR="00DB4C88">
        <w:t xml:space="preserve"> workforce readiness</w:t>
      </w:r>
      <w:r w:rsidR="00ED26DF">
        <w:t xml:space="preserve">. </w:t>
      </w:r>
      <w:r w:rsidR="00DA3601">
        <w:t>ADECA</w:t>
      </w:r>
      <w:r w:rsidR="00E81CDA">
        <w:t xml:space="preserve"> will take the following approach to the subgrantee selection process </w:t>
      </w:r>
      <w:r w:rsidR="00326E3B">
        <w:t xml:space="preserve">to ensure </w:t>
      </w:r>
      <w:r w:rsidR="00C92613">
        <w:t xml:space="preserve">an </w:t>
      </w:r>
      <w:r w:rsidR="00CC7E4D">
        <w:t>appropriately skilled and credential</w:t>
      </w:r>
      <w:r w:rsidR="00C92613">
        <w:t>ed</w:t>
      </w:r>
      <w:r w:rsidR="009628FE">
        <w:t xml:space="preserve"> workforce</w:t>
      </w:r>
      <w:r w:rsidRPr="00D44EF9" w:rsidR="00E81CDA">
        <w:t>:</w:t>
      </w:r>
      <w:r w:rsidR="00E81CDA">
        <w:t xml:space="preserve"> </w:t>
      </w:r>
    </w:p>
    <w:p w:rsidR="00E81CDA" w:rsidP="006F78D2" w:rsidRDefault="00E81CDA" w14:paraId="1EC8E2A5" w14:textId="77777777">
      <w:pPr>
        <w:numPr>
          <w:ilvl w:val="0"/>
          <w:numId w:val="30"/>
        </w:numPr>
        <w:rPr>
          <w:b/>
        </w:rPr>
      </w:pPr>
      <w:r>
        <w:rPr>
          <w:b/>
        </w:rPr>
        <w:t xml:space="preserve">Require disclosure of any workforce violations within the past three years. </w:t>
      </w:r>
      <w:r>
        <w:t xml:space="preserve">If violations exist, require documentation of how the applicant has updated their policies and practices to ensure compliance moving forward. </w:t>
      </w:r>
    </w:p>
    <w:p w:rsidR="00E81CDA" w:rsidP="006F78D2" w:rsidRDefault="00E81CDA" w14:paraId="1BAB87CB" w14:textId="6D41BD47">
      <w:pPr>
        <w:numPr>
          <w:ilvl w:val="0"/>
          <w:numId w:val="30"/>
        </w:numPr>
      </w:pPr>
      <w:r>
        <w:rPr>
          <w:b/>
        </w:rPr>
        <w:t>Require documentation of whether subgrantees, their partners, and contractors qualify as a minority-owned enterprise</w:t>
      </w:r>
      <w:r w:rsidR="00F879E3">
        <w:rPr>
          <w:b/>
        </w:rPr>
        <w:t>s</w:t>
      </w:r>
      <w:r>
        <w:rPr>
          <w:b/>
        </w:rPr>
        <w:t>, women-owned enterprise</w:t>
      </w:r>
      <w:r w:rsidR="00F879E3">
        <w:rPr>
          <w:b/>
        </w:rPr>
        <w:t>s</w:t>
      </w:r>
      <w:r>
        <w:rPr>
          <w:b/>
        </w:rPr>
        <w:t xml:space="preserve">, or </w:t>
      </w:r>
      <w:r w:rsidR="00963010">
        <w:rPr>
          <w:b/>
        </w:rPr>
        <w:t>labor surplus area firms</w:t>
      </w:r>
      <w:r>
        <w:rPr>
          <w:b/>
        </w:rPr>
        <w:t>.</w:t>
      </w:r>
      <w:r w:rsidR="00963010">
        <w:rPr>
          <w:rStyle w:val="FootnoteReference"/>
          <w:b/>
        </w:rPr>
        <w:footnoteReference w:id="76"/>
      </w:r>
      <w:r>
        <w:t xml:space="preserve"> </w:t>
      </w:r>
      <w:r w:rsidR="00963010">
        <w:t>ADECA</w:t>
      </w:r>
      <w:r>
        <w:t xml:space="preserve"> may use answers to these questions as a tiebreaker in the event that multiple </w:t>
      </w:r>
      <w:proofErr w:type="gramStart"/>
      <w:r>
        <w:t>equally</w:t>
      </w:r>
      <w:r w:rsidR="00963010">
        <w:t>-</w:t>
      </w:r>
      <w:r>
        <w:t>qualified</w:t>
      </w:r>
      <w:proofErr w:type="gramEnd"/>
      <w:r>
        <w:t xml:space="preserve"> and equally</w:t>
      </w:r>
      <w:r w:rsidR="00963010">
        <w:t>-</w:t>
      </w:r>
      <w:r>
        <w:t xml:space="preserve">scoring applications for the same area are received. </w:t>
      </w:r>
    </w:p>
    <w:p w:rsidR="00E81CDA" w:rsidP="005A4009" w:rsidRDefault="00E81CDA" w14:paraId="1E8544E6" w14:textId="3EFC2D3B">
      <w:pPr>
        <w:keepNext/>
        <w:numPr>
          <w:ilvl w:val="0"/>
          <w:numId w:val="30"/>
        </w:numPr>
        <w:rPr>
          <w:b/>
        </w:rPr>
      </w:pPr>
      <w:r>
        <w:rPr>
          <w:b/>
        </w:rPr>
        <w:t xml:space="preserve">Require a written description or affirmation of </w:t>
      </w:r>
      <w:r w:rsidR="00082D44">
        <w:rPr>
          <w:b/>
        </w:rPr>
        <w:t>subgrantee</w:t>
      </w:r>
      <w:r>
        <w:rPr>
          <w:b/>
        </w:rPr>
        <w:t xml:space="preserve"> policies or practices for any of the following items:</w:t>
      </w:r>
    </w:p>
    <w:p w:rsidR="00E81CDA" w:rsidP="005A4009" w:rsidRDefault="00E81CDA" w14:paraId="79B0F056" w14:textId="46C3C890">
      <w:pPr>
        <w:numPr>
          <w:ilvl w:val="1"/>
          <w:numId w:val="30"/>
        </w:numPr>
        <w:ind w:left="1080"/>
      </w:pPr>
      <w:r>
        <w:t xml:space="preserve">Using a </w:t>
      </w:r>
      <w:proofErr w:type="gramStart"/>
      <w:r>
        <w:t>directly</w:t>
      </w:r>
      <w:r w:rsidR="00963010">
        <w:t>-</w:t>
      </w:r>
      <w:r>
        <w:t>employed</w:t>
      </w:r>
      <w:proofErr w:type="gramEnd"/>
      <w:r>
        <w:t xml:space="preserve"> workforce, as opposed to a subcontracted workforce</w:t>
      </w:r>
    </w:p>
    <w:p w:rsidR="00E81CDA" w:rsidP="005A4009" w:rsidRDefault="00E81CDA" w14:paraId="140109B5" w14:textId="77777777">
      <w:pPr>
        <w:numPr>
          <w:ilvl w:val="1"/>
          <w:numId w:val="30"/>
        </w:numPr>
        <w:ind w:left="1080"/>
      </w:pPr>
      <w:r>
        <w:t>Use of local hire provisions</w:t>
      </w:r>
    </w:p>
    <w:p w:rsidR="00E81CDA" w:rsidP="005A4009" w:rsidRDefault="00E81CDA" w14:paraId="06DE1EFA" w14:textId="5FBA5963">
      <w:pPr>
        <w:numPr>
          <w:ilvl w:val="1"/>
          <w:numId w:val="30"/>
        </w:numPr>
        <w:ind w:left="1080"/>
      </w:pPr>
      <w:r>
        <w:t>Steps taken to prevent the misclassification of workers</w:t>
      </w:r>
    </w:p>
    <w:p w:rsidR="00E81CDA" w:rsidP="006F78D2" w:rsidRDefault="00963010" w14:paraId="12571578" w14:textId="15F38F76">
      <w:pPr>
        <w:numPr>
          <w:ilvl w:val="0"/>
          <w:numId w:val="30"/>
        </w:numPr>
        <w:rPr>
          <w:b/>
        </w:rPr>
      </w:pPr>
      <w:r>
        <w:rPr>
          <w:b/>
        </w:rPr>
        <w:t>Require</w:t>
      </w:r>
      <w:r w:rsidR="00E81CDA">
        <w:rPr>
          <w:b/>
        </w:rPr>
        <w:t xml:space="preserve"> applicants to describe their usage of on-the-job training, internship, or apprenticeship programs, as well as credentials they confer upon program completion. </w:t>
      </w:r>
      <w:r w:rsidR="00E81CDA">
        <w:t xml:space="preserve">This can not only lead to better retention of staff but allows pathways for workers with a wide range of educational backgrounds to participate. </w:t>
      </w:r>
    </w:p>
    <w:p w:rsidR="00E81CDA" w:rsidP="006F78D2" w:rsidRDefault="00C256BC" w14:paraId="31DF5C5C" w14:textId="3E2562CF">
      <w:pPr>
        <w:numPr>
          <w:ilvl w:val="0"/>
          <w:numId w:val="30"/>
        </w:numPr>
        <w:rPr>
          <w:b/>
        </w:rPr>
      </w:pPr>
      <w:r>
        <w:rPr>
          <w:b/>
        </w:rPr>
        <w:t>Require</w:t>
      </w:r>
      <w:r w:rsidR="00E81CDA">
        <w:rPr>
          <w:b/>
        </w:rPr>
        <w:t xml:space="preserve"> applicants to describe the actions they take specific to recruiting a diverse workforce and/or future plans to do more outreach to diverse groups. </w:t>
      </w:r>
      <w:r w:rsidR="00E81CDA">
        <w:t xml:space="preserve">This answer may include a description of specific outreach or materials intended to be welcoming to women, people of color, or other groups not typically represented in most </w:t>
      </w:r>
      <w:proofErr w:type="gramStart"/>
      <w:r w:rsidR="00E81CDA">
        <w:t>telecommunications</w:t>
      </w:r>
      <w:proofErr w:type="gramEnd"/>
      <w:r w:rsidR="00E81CDA">
        <w:t xml:space="preserve"> construction workforce</w:t>
      </w:r>
      <w:r w:rsidR="00833C8C">
        <w:t>s</w:t>
      </w:r>
      <w:r w:rsidR="00E81CDA">
        <w:t xml:space="preserve">. </w:t>
      </w:r>
    </w:p>
    <w:p w:rsidR="00E81CDA" w:rsidP="006F78D2" w:rsidRDefault="00833C8C" w14:paraId="60E6FF00" w14:textId="746939E1">
      <w:pPr>
        <w:numPr>
          <w:ilvl w:val="0"/>
          <w:numId w:val="30"/>
        </w:numPr>
        <w:rPr>
          <w:b/>
        </w:rPr>
      </w:pPr>
      <w:r>
        <w:rPr>
          <w:b/>
        </w:rPr>
        <w:t>Require</w:t>
      </w:r>
      <w:r w:rsidR="00E81CDA">
        <w:rPr>
          <w:b/>
        </w:rPr>
        <w:t xml:space="preserve"> that </w:t>
      </w:r>
      <w:r w:rsidR="00082D44">
        <w:rPr>
          <w:b/>
        </w:rPr>
        <w:t>subgrantees</w:t>
      </w:r>
      <w:r w:rsidR="00E81CDA">
        <w:rPr>
          <w:b/>
        </w:rPr>
        <w:t xml:space="preserve"> state whether they offer Davis-Bacon prevailing wages.</w:t>
      </w:r>
      <w:r w:rsidR="00E81CDA">
        <w:t xml:space="preserve"> </w:t>
      </w:r>
    </w:p>
    <w:p w:rsidR="00E81CDA" w:rsidP="00E81CDA" w:rsidRDefault="00E81CDA" w14:paraId="18D18B14" w14:textId="6B4C74C6">
      <w:r w:rsidRPr="000F3D48">
        <w:t xml:space="preserve">Please see Section 5 </w:t>
      </w:r>
      <w:r w:rsidR="00C924AF">
        <w:t xml:space="preserve">above </w:t>
      </w:r>
      <w:r w:rsidRPr="000F3D48">
        <w:t xml:space="preserve">for a full description of the proposed </w:t>
      </w:r>
      <w:r w:rsidR="00C924AF">
        <w:t xml:space="preserve">broadband deployment </w:t>
      </w:r>
      <w:r w:rsidRPr="000F3D48">
        <w:t>subgrantee selection process.</w:t>
      </w:r>
      <w:r>
        <w:t xml:space="preserve"> </w:t>
      </w:r>
    </w:p>
    <w:p w:rsidR="00E81CDA" w:rsidP="006F78D2" w:rsidRDefault="00E81CDA" w14:paraId="39D13D35" w14:textId="62947483">
      <w:pPr>
        <w:pStyle w:val="Heading2"/>
        <w:numPr>
          <w:ilvl w:val="1"/>
          <w:numId w:val="23"/>
        </w:numPr>
      </w:pPr>
      <w:bookmarkStart w:name="_heading=h.ifsteph9xrim" w:colFirst="0" w:colLast="0" w:id="214"/>
      <w:bookmarkStart w:name="_Toc150852668" w:id="215"/>
      <w:bookmarkEnd w:id="214"/>
      <w:r>
        <w:t>Ensuring long-term economic impact from BEAD deployments</w:t>
      </w:r>
      <w:bookmarkEnd w:id="215"/>
    </w:p>
    <w:p w:rsidR="00E81CDA" w:rsidP="00E81CDA" w:rsidRDefault="00E81CDA" w14:paraId="2B25E3E9" w14:textId="0DB73DA4">
      <w:r>
        <w:t xml:space="preserve">Alabama’s economy is undoubtedly going to benefit from the broadband expansion that will occur over the next few years. Some benefits will happen ambiently simply due to increased spending in the economy during construction, or the increase in home values that occur with the presence of fiber infrastructure. However, the major long-term impacts to the economy will occur if more broadband adoption happens because of these deployments and if broadband users across the state use their connectivity to access efficient services, move businesses online, leverage new technologies, access remote learning and working opportunities, use telehealth when appropriate, and more. </w:t>
      </w:r>
    </w:p>
    <w:p w:rsidR="00E81CDA" w:rsidP="00E81CDA" w:rsidRDefault="00E81CDA" w14:paraId="67A52A53" w14:textId="5BBD0F65">
      <w:r>
        <w:t xml:space="preserve">As noted in the </w:t>
      </w:r>
      <w:r w:rsidR="001A1760">
        <w:t>Five-Year Action Plan</w:t>
      </w:r>
      <w:r>
        <w:t>, Alabama has previously estimated significant impact to jobs and household earnings with the deployment of high-speed internet and increased adoption across the state.</w:t>
      </w:r>
      <w:r w:rsidR="001A1760">
        <w:rPr>
          <w:rStyle w:val="FootnoteReference"/>
        </w:rPr>
        <w:footnoteReference w:id="77"/>
      </w:r>
      <w:r>
        <w:t xml:space="preserve"> This section elaborates on that work to describe how BEAD deployments will help Alabama’s economy in the short</w:t>
      </w:r>
      <w:r w:rsidR="00281863">
        <w:t>-</w:t>
      </w:r>
      <w:r>
        <w:t xml:space="preserve"> and long</w:t>
      </w:r>
      <w:r w:rsidR="00281863">
        <w:t>-</w:t>
      </w:r>
      <w:r>
        <w:t xml:space="preserve">term. </w:t>
      </w:r>
    </w:p>
    <w:p w:rsidR="00E81CDA" w:rsidP="006F78D2" w:rsidRDefault="00E81CDA" w14:paraId="46559356" w14:textId="77777777">
      <w:pPr>
        <w:pStyle w:val="Heading3"/>
        <w:numPr>
          <w:ilvl w:val="2"/>
          <w:numId w:val="23"/>
        </w:numPr>
      </w:pPr>
      <w:bookmarkStart w:name="_heading=h.c492yip95lsv" w:colFirst="0" w:colLast="0" w:id="216"/>
      <w:bookmarkStart w:name="_Toc150852669" w:id="217"/>
      <w:bookmarkEnd w:id="216"/>
      <w:r>
        <w:t>Short-term economic impact from initial construction outlay</w:t>
      </w:r>
      <w:bookmarkEnd w:id="217"/>
    </w:p>
    <w:p w:rsidR="00E81CDA" w:rsidP="00E81CDA" w:rsidRDefault="00E81CDA" w14:paraId="5C021445" w14:textId="65DC2E92">
      <w:r>
        <w:t xml:space="preserve">Input-output models are industry-standard tools that use advanced data modeling to estimate how money and workforce flow through the economy and between industries; in this case, the model shows how the sector contributes significant direct, indirect, and induced benefits to the state’s economy. The initial broadband construction spending leads to a direct effect that results from the increased demand for goods and services in the broadband construction supply chain (for example, the increased demand for </w:t>
      </w:r>
      <w:r>
        <w:rPr>
          <w:highlight w:val="white"/>
        </w:rPr>
        <w:t xml:space="preserve">conduit, fiber, and network electronics). The indirect effect results from the increased demand for goods and services that the broadband supply chain </w:t>
      </w:r>
      <w:r>
        <w:rPr>
          <w:i/>
          <w:highlight w:val="white"/>
        </w:rPr>
        <w:t>uses</w:t>
      </w:r>
      <w:r>
        <w:rPr>
          <w:highlight w:val="white"/>
        </w:rPr>
        <w:t xml:space="preserve"> (for example, the increased demand for the materials and equipment that contribute to the manufacture of conduit and fiber, or the transportation needed to deliver said goods)</w:t>
      </w:r>
      <w:r>
        <w:t xml:space="preserve">. As the initial, direct, and indirect effects increase earnings for workers, these workers spend their earnings on various goods and services (for example, at grocery stores, restaurants, and clothing stores), which is represented by the induced effect. </w:t>
      </w:r>
    </w:p>
    <w:p w:rsidR="00E81CDA" w:rsidP="00E81CDA" w:rsidRDefault="00E81CDA" w14:paraId="56D08696" w14:textId="74D8BEA1">
      <w:r>
        <w:t xml:space="preserve">The </w:t>
      </w:r>
      <w:r w:rsidR="00C055D8">
        <w:t>tables</w:t>
      </w:r>
      <w:r>
        <w:t xml:space="preserve"> below outline the total estimated benefits from a $1.</w:t>
      </w:r>
      <w:r w:rsidR="005E336C">
        <w:t>68</w:t>
      </w:r>
      <w:r>
        <w:t xml:space="preserve"> billion investment and a $1.9 billion investment in broadband in Alabama. Sales are</w:t>
      </w:r>
      <w:r w:rsidR="003D0727">
        <w:t xml:space="preserve"> </w:t>
      </w:r>
      <w:r>
        <w:t>the industry’s total annual gross receipts for products and services.</w:t>
      </w:r>
      <w:r w:rsidR="00701816">
        <w:rPr>
          <w:rStyle w:val="FootnoteReference"/>
        </w:rPr>
        <w:footnoteReference w:id="78"/>
      </w:r>
      <w:r>
        <w:t xml:space="preserve"> A job is any position in which a worker provides labor in exchange for monetary compensation. Earnings include wages, salaries, supplements (additional employee benefits), and proprietor income. </w:t>
      </w:r>
    </w:p>
    <w:p w:rsidRPr="006E1A07" w:rsidR="00E81CDA" w:rsidP="006E1A07" w:rsidRDefault="00E81CDA" w14:paraId="18C81B6F" w14:textId="41B34BFA">
      <w:pPr>
        <w:pStyle w:val="Caption"/>
      </w:pPr>
      <w:bookmarkStart w:name="_Toc150852792" w:id="218"/>
      <w:r w:rsidRPr="006E1A07">
        <w:t xml:space="preserve">Table </w:t>
      </w:r>
      <w:r w:rsidR="00597437">
        <w:fldChar w:fldCharType="begin"/>
      </w:r>
      <w:r w:rsidR="00597437">
        <w:instrText xml:space="preserve"> SEQ Table \* ARABIC </w:instrText>
      </w:r>
      <w:r w:rsidR="00597437">
        <w:fldChar w:fldCharType="separate"/>
      </w:r>
      <w:r w:rsidR="00444AF1">
        <w:rPr>
          <w:noProof/>
        </w:rPr>
        <w:t>17</w:t>
      </w:r>
      <w:r w:rsidR="00597437">
        <w:rPr>
          <w:noProof/>
        </w:rPr>
        <w:fldChar w:fldCharType="end"/>
      </w:r>
      <w:r w:rsidRPr="006E1A07">
        <w:t>: Estimated economic effects of investing $1.</w:t>
      </w:r>
      <w:r w:rsidR="005E336C">
        <w:t>68</w:t>
      </w:r>
      <w:r w:rsidRPr="006E1A07">
        <w:t xml:space="preserve"> billion in broadband construction</w:t>
      </w:r>
      <w:r w:rsidRPr="006E1A07">
        <w:rPr>
          <w:vertAlign w:val="superscript"/>
        </w:rPr>
        <w:footnoteReference w:id="79"/>
      </w:r>
      <w:bookmarkEnd w:id="218"/>
    </w:p>
    <w:tbl>
      <w:tblPr>
        <w:tblW w:w="672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600" w:firstRow="0" w:lastRow="0" w:firstColumn="0" w:lastColumn="0" w:noHBand="1" w:noVBand="1"/>
      </w:tblPr>
      <w:tblGrid>
        <w:gridCol w:w="1410"/>
        <w:gridCol w:w="1872"/>
        <w:gridCol w:w="1720"/>
        <w:gridCol w:w="1720"/>
      </w:tblGrid>
      <w:tr w:rsidR="00E81CDA" w:rsidTr="000520E1" w14:paraId="18D4175B" w14:textId="77777777">
        <w:trPr>
          <w:trHeight w:val="20"/>
          <w:jc w:val="center"/>
        </w:trPr>
        <w:tc>
          <w:tcPr>
            <w:tcW w:w="1410" w:type="dxa"/>
            <w:tcBorders>
              <w:left w:val="single" w:color="000000" w:sz="6" w:space="0"/>
              <w:bottom w:val="single" w:color="000000" w:sz="6" w:space="0"/>
              <w:right w:val="single" w:color="FFFFFF" w:themeColor="background1" w:sz="6" w:space="0"/>
            </w:tcBorders>
            <w:shd w:val="clear" w:color="auto" w:fill="0A2458"/>
            <w:tcMar>
              <w:top w:w="0" w:type="dxa"/>
              <w:left w:w="40" w:type="dxa"/>
              <w:bottom w:w="0" w:type="dxa"/>
              <w:right w:w="40" w:type="dxa"/>
            </w:tcMar>
          </w:tcPr>
          <w:p w:rsidR="00E81CDA" w:rsidP="0011473B" w:rsidRDefault="00E81CDA" w14:paraId="4FD13D3A" w14:textId="77777777">
            <w:pPr>
              <w:keepNext/>
              <w:spacing w:after="0" w:line="240" w:lineRule="auto"/>
              <w:jc w:val="left"/>
            </w:pPr>
            <w:r w:rsidRPr="00CA593A">
              <w:t>Effect</w:t>
            </w:r>
          </w:p>
        </w:tc>
        <w:tc>
          <w:tcPr>
            <w:tcW w:w="1872" w:type="dxa"/>
            <w:tcBorders>
              <w:left w:val="single" w:color="FFFFFF" w:themeColor="background1" w:sz="6" w:space="0"/>
              <w:bottom w:val="single" w:color="000000" w:sz="6" w:space="0"/>
              <w:right w:val="single" w:color="FFFFFF" w:themeColor="background1" w:sz="6" w:space="0"/>
            </w:tcBorders>
            <w:shd w:val="clear" w:color="auto" w:fill="0A2458"/>
            <w:tcMar>
              <w:top w:w="0" w:type="dxa"/>
              <w:left w:w="40" w:type="dxa"/>
              <w:bottom w:w="0" w:type="dxa"/>
              <w:right w:w="40" w:type="dxa"/>
            </w:tcMar>
          </w:tcPr>
          <w:p w:rsidR="00E81CDA" w:rsidP="0011473B" w:rsidRDefault="00E81CDA" w14:paraId="2926B3FC" w14:textId="77777777">
            <w:pPr>
              <w:keepNext/>
              <w:spacing w:after="0" w:line="240" w:lineRule="auto"/>
              <w:jc w:val="left"/>
            </w:pPr>
            <w:r w:rsidRPr="00CA593A">
              <w:t>Sales</w:t>
            </w:r>
          </w:p>
        </w:tc>
        <w:tc>
          <w:tcPr>
            <w:tcW w:w="1720" w:type="dxa"/>
            <w:tcBorders>
              <w:left w:val="single" w:color="FFFFFF" w:themeColor="background1" w:sz="6" w:space="0"/>
              <w:bottom w:val="single" w:color="000000" w:sz="6" w:space="0"/>
              <w:right w:val="single" w:color="FFFFFF" w:themeColor="background1" w:sz="6" w:space="0"/>
            </w:tcBorders>
            <w:shd w:val="clear" w:color="auto" w:fill="0A2458"/>
            <w:tcMar>
              <w:top w:w="0" w:type="dxa"/>
              <w:left w:w="40" w:type="dxa"/>
              <w:bottom w:w="0" w:type="dxa"/>
              <w:right w:w="40" w:type="dxa"/>
            </w:tcMar>
          </w:tcPr>
          <w:p w:rsidR="00E81CDA" w:rsidP="0011473B" w:rsidRDefault="00E81CDA" w14:paraId="4CD3A330" w14:textId="77777777">
            <w:pPr>
              <w:keepNext/>
              <w:spacing w:after="0" w:line="240" w:lineRule="auto"/>
              <w:jc w:val="left"/>
            </w:pPr>
            <w:r w:rsidRPr="00CA593A">
              <w:t>Jobs</w:t>
            </w:r>
          </w:p>
        </w:tc>
        <w:tc>
          <w:tcPr>
            <w:tcW w:w="1720" w:type="dxa"/>
            <w:tcBorders>
              <w:left w:val="single" w:color="FFFFFF" w:themeColor="background1" w:sz="6" w:space="0"/>
              <w:bottom w:val="single" w:color="000000" w:sz="6" w:space="0"/>
              <w:right w:val="single" w:color="000000" w:sz="6" w:space="0"/>
            </w:tcBorders>
            <w:shd w:val="clear" w:color="auto" w:fill="0A2458"/>
            <w:tcMar>
              <w:top w:w="0" w:type="dxa"/>
              <w:left w:w="40" w:type="dxa"/>
              <w:bottom w:w="0" w:type="dxa"/>
              <w:right w:w="40" w:type="dxa"/>
            </w:tcMar>
          </w:tcPr>
          <w:p w:rsidR="00E81CDA" w:rsidP="0011473B" w:rsidRDefault="00E81CDA" w14:paraId="6E283DB4" w14:textId="77777777">
            <w:pPr>
              <w:keepNext/>
              <w:spacing w:after="0" w:line="240" w:lineRule="auto"/>
              <w:jc w:val="left"/>
            </w:pPr>
            <w:r w:rsidRPr="00CA593A">
              <w:t>Earnings</w:t>
            </w:r>
          </w:p>
        </w:tc>
      </w:tr>
      <w:tr w:rsidR="00E81CDA" w:rsidTr="0011473B" w14:paraId="592D3F20" w14:textId="77777777">
        <w:trPr>
          <w:trHeight w:val="20"/>
          <w:jc w:val="center"/>
        </w:trPr>
        <w:tc>
          <w:tcPr>
            <w:tcW w:w="1410" w:type="dxa"/>
            <w:tcBorders>
              <w:left w:val="single" w:color="000000" w:sz="6" w:space="0"/>
              <w:bottom w:val="single" w:color="000000" w:sz="6" w:space="0"/>
              <w:right w:val="single" w:color="000000" w:sz="6" w:space="0"/>
            </w:tcBorders>
            <w:shd w:val="clear" w:color="auto" w:fill="auto"/>
            <w:tcMar>
              <w:top w:w="0" w:type="dxa"/>
              <w:left w:w="40" w:type="dxa"/>
              <w:bottom w:w="0" w:type="dxa"/>
              <w:right w:w="40" w:type="dxa"/>
            </w:tcMar>
          </w:tcPr>
          <w:p w:rsidR="00E81CDA" w:rsidP="0011473B" w:rsidRDefault="00E81CDA" w14:paraId="1B90C65E" w14:textId="77777777">
            <w:pPr>
              <w:keepNext/>
              <w:spacing w:after="0" w:line="240" w:lineRule="auto"/>
              <w:jc w:val="left"/>
            </w:pPr>
            <w:r>
              <w:t>Initial</w:t>
            </w:r>
          </w:p>
        </w:tc>
        <w:tc>
          <w:tcPr>
            <w:tcW w:w="1872" w:type="dxa"/>
            <w:tcBorders>
              <w:top w:val="single" w:color="000000" w:sz="5" w:space="0"/>
              <w:left w:val="single" w:color="000000" w:sz="5" w:space="0"/>
              <w:bottom w:val="single" w:color="000000" w:sz="5" w:space="0"/>
              <w:right w:val="single" w:color="000000" w:sz="5" w:space="0"/>
            </w:tcBorders>
            <w:tcMar>
              <w:left w:w="0" w:type="dxa"/>
              <w:right w:w="0" w:type="dxa"/>
            </w:tcMar>
          </w:tcPr>
          <w:p w:rsidR="00E81CDA" w:rsidP="0011473B" w:rsidRDefault="00E81CDA" w14:paraId="1C16C27E" w14:textId="77777777">
            <w:pPr>
              <w:spacing w:after="0" w:line="240" w:lineRule="auto"/>
              <w:ind w:left="90" w:right="105"/>
              <w:jc w:val="left"/>
            </w:pPr>
            <w:r>
              <w:t>$1,681,466,281</w:t>
            </w:r>
          </w:p>
        </w:tc>
        <w:tc>
          <w:tcPr>
            <w:tcW w:w="1720" w:type="dxa"/>
            <w:tcBorders>
              <w:top w:val="single" w:color="000000" w:sz="5" w:space="0"/>
              <w:left w:val="single" w:color="CCCCCC" w:sz="5" w:space="0"/>
              <w:bottom w:val="single" w:color="000000" w:sz="5" w:space="0"/>
              <w:right w:val="single" w:color="000000" w:sz="5" w:space="0"/>
            </w:tcBorders>
            <w:tcMar>
              <w:left w:w="0" w:type="dxa"/>
              <w:right w:w="0" w:type="dxa"/>
            </w:tcMar>
          </w:tcPr>
          <w:p w:rsidR="00E81CDA" w:rsidP="0011473B" w:rsidRDefault="00E81CDA" w14:paraId="3030140C" w14:textId="77777777">
            <w:pPr>
              <w:spacing w:after="0" w:line="240" w:lineRule="auto"/>
              <w:ind w:left="90" w:right="105"/>
              <w:jc w:val="left"/>
            </w:pPr>
            <w:r>
              <w:t>4,135</w:t>
            </w:r>
          </w:p>
        </w:tc>
        <w:tc>
          <w:tcPr>
            <w:tcW w:w="1720" w:type="dxa"/>
            <w:tcBorders>
              <w:top w:val="single" w:color="000000" w:sz="5" w:space="0"/>
              <w:left w:val="single" w:color="CCCCCC" w:sz="5" w:space="0"/>
              <w:bottom w:val="single" w:color="000000" w:sz="5" w:space="0"/>
              <w:right w:val="single" w:color="000000" w:sz="5" w:space="0"/>
            </w:tcBorders>
            <w:tcMar>
              <w:left w:w="0" w:type="dxa"/>
              <w:right w:w="0" w:type="dxa"/>
            </w:tcMar>
          </w:tcPr>
          <w:p w:rsidR="00E81CDA" w:rsidP="0011473B" w:rsidRDefault="00E81CDA" w14:paraId="3F7DD3A5" w14:textId="77777777">
            <w:pPr>
              <w:spacing w:after="0" w:line="240" w:lineRule="auto"/>
              <w:ind w:left="90" w:right="105"/>
              <w:jc w:val="left"/>
            </w:pPr>
            <w:r>
              <w:t>$391,768,731</w:t>
            </w:r>
          </w:p>
        </w:tc>
      </w:tr>
      <w:tr w:rsidR="00E81CDA" w:rsidTr="0011473B" w14:paraId="4687288D" w14:textId="77777777">
        <w:trPr>
          <w:trHeight w:val="20"/>
          <w:jc w:val="center"/>
        </w:trPr>
        <w:tc>
          <w:tcPr>
            <w:tcW w:w="1410" w:type="dxa"/>
            <w:tcBorders>
              <w:left w:val="single" w:color="000000" w:sz="6" w:space="0"/>
              <w:bottom w:val="single" w:color="000000" w:sz="6" w:space="0"/>
              <w:right w:val="single" w:color="000000" w:sz="6" w:space="0"/>
            </w:tcBorders>
            <w:shd w:val="clear" w:color="auto" w:fill="auto"/>
            <w:tcMar>
              <w:top w:w="0" w:type="dxa"/>
              <w:left w:w="40" w:type="dxa"/>
              <w:bottom w:w="0" w:type="dxa"/>
              <w:right w:w="40" w:type="dxa"/>
            </w:tcMar>
          </w:tcPr>
          <w:p w:rsidR="00E81CDA" w:rsidP="0011473B" w:rsidRDefault="00E81CDA" w14:paraId="37DB94D4" w14:textId="77777777">
            <w:pPr>
              <w:keepNext/>
              <w:spacing w:after="0" w:line="240" w:lineRule="auto"/>
              <w:jc w:val="left"/>
            </w:pPr>
            <w:r>
              <w:t>Direct</w:t>
            </w:r>
          </w:p>
        </w:tc>
        <w:tc>
          <w:tcPr>
            <w:tcW w:w="1872" w:type="dxa"/>
            <w:tcBorders>
              <w:top w:val="single" w:color="CCCCCC" w:sz="5" w:space="0"/>
              <w:left w:val="single" w:color="000000" w:sz="5" w:space="0"/>
              <w:bottom w:val="single" w:color="000000" w:sz="5" w:space="0"/>
              <w:right w:val="single" w:color="000000" w:sz="5" w:space="0"/>
            </w:tcBorders>
            <w:tcMar>
              <w:left w:w="0" w:type="dxa"/>
              <w:right w:w="0" w:type="dxa"/>
            </w:tcMar>
          </w:tcPr>
          <w:p w:rsidR="00E81CDA" w:rsidP="0011473B" w:rsidRDefault="00E81CDA" w14:paraId="7DE9598F" w14:textId="77777777">
            <w:pPr>
              <w:spacing w:after="0" w:line="240" w:lineRule="auto"/>
              <w:ind w:left="90" w:right="105"/>
              <w:jc w:val="left"/>
            </w:pPr>
            <w:r>
              <w:t>$327,581,294</w:t>
            </w:r>
          </w:p>
        </w:tc>
        <w:tc>
          <w:tcPr>
            <w:tcW w:w="1720" w:type="dxa"/>
            <w:tcBorders>
              <w:top w:val="single" w:color="CCCCCC" w:sz="5" w:space="0"/>
              <w:left w:val="single" w:color="CCCCCC" w:sz="5" w:space="0"/>
              <w:bottom w:val="single" w:color="000000" w:sz="5" w:space="0"/>
              <w:right w:val="single" w:color="000000" w:sz="5" w:space="0"/>
            </w:tcBorders>
            <w:tcMar>
              <w:left w:w="0" w:type="dxa"/>
              <w:right w:w="0" w:type="dxa"/>
            </w:tcMar>
          </w:tcPr>
          <w:p w:rsidR="00E81CDA" w:rsidP="0011473B" w:rsidRDefault="00E81CDA" w14:paraId="7C1DCD43" w14:textId="77777777">
            <w:pPr>
              <w:spacing w:after="0" w:line="240" w:lineRule="auto"/>
              <w:ind w:left="90" w:right="105"/>
              <w:jc w:val="left"/>
            </w:pPr>
            <w:r>
              <w:t>2,076</w:t>
            </w:r>
          </w:p>
        </w:tc>
        <w:tc>
          <w:tcPr>
            <w:tcW w:w="1720" w:type="dxa"/>
            <w:tcBorders>
              <w:top w:val="single" w:color="CCCCCC" w:sz="5" w:space="0"/>
              <w:left w:val="single" w:color="CCCCCC" w:sz="5" w:space="0"/>
              <w:bottom w:val="single" w:color="000000" w:sz="5" w:space="0"/>
              <w:right w:val="single" w:color="000000" w:sz="5" w:space="0"/>
            </w:tcBorders>
            <w:tcMar>
              <w:left w:w="0" w:type="dxa"/>
              <w:right w:w="0" w:type="dxa"/>
            </w:tcMar>
          </w:tcPr>
          <w:p w:rsidR="00E81CDA" w:rsidP="0011473B" w:rsidRDefault="00E81CDA" w14:paraId="1E588F88" w14:textId="77777777">
            <w:pPr>
              <w:spacing w:after="0" w:line="240" w:lineRule="auto"/>
              <w:ind w:left="90" w:right="105"/>
              <w:jc w:val="left"/>
            </w:pPr>
            <w:r>
              <w:t>$118,511,335</w:t>
            </w:r>
          </w:p>
        </w:tc>
      </w:tr>
      <w:tr w:rsidR="00E81CDA" w:rsidTr="0011473B" w14:paraId="5DEE4371" w14:textId="77777777">
        <w:trPr>
          <w:trHeight w:val="20"/>
          <w:jc w:val="center"/>
        </w:trPr>
        <w:tc>
          <w:tcPr>
            <w:tcW w:w="1410" w:type="dxa"/>
            <w:tcBorders>
              <w:left w:val="single" w:color="000000" w:sz="6" w:space="0"/>
              <w:bottom w:val="single" w:color="000000" w:sz="6" w:space="0"/>
              <w:right w:val="single" w:color="000000" w:sz="6" w:space="0"/>
            </w:tcBorders>
            <w:shd w:val="clear" w:color="auto" w:fill="auto"/>
            <w:tcMar>
              <w:top w:w="0" w:type="dxa"/>
              <w:left w:w="40" w:type="dxa"/>
              <w:bottom w:w="0" w:type="dxa"/>
              <w:right w:w="40" w:type="dxa"/>
            </w:tcMar>
          </w:tcPr>
          <w:p w:rsidR="00E81CDA" w:rsidP="0011473B" w:rsidRDefault="00E81CDA" w14:paraId="4A2B8263" w14:textId="77777777">
            <w:pPr>
              <w:keepNext/>
              <w:spacing w:after="0" w:line="240" w:lineRule="auto"/>
              <w:jc w:val="left"/>
            </w:pPr>
            <w:r>
              <w:t>Indirect</w:t>
            </w:r>
          </w:p>
        </w:tc>
        <w:tc>
          <w:tcPr>
            <w:tcW w:w="1872" w:type="dxa"/>
            <w:tcBorders>
              <w:top w:val="single" w:color="CCCCCC" w:sz="5" w:space="0"/>
              <w:left w:val="single" w:color="000000" w:sz="5" w:space="0"/>
              <w:bottom w:val="single" w:color="000000" w:sz="5" w:space="0"/>
              <w:right w:val="single" w:color="000000" w:sz="5" w:space="0"/>
            </w:tcBorders>
            <w:tcMar>
              <w:left w:w="0" w:type="dxa"/>
              <w:right w:w="0" w:type="dxa"/>
            </w:tcMar>
          </w:tcPr>
          <w:p w:rsidR="00E81CDA" w:rsidP="0011473B" w:rsidRDefault="00E81CDA" w14:paraId="0235EFA7" w14:textId="77777777">
            <w:pPr>
              <w:spacing w:after="0" w:line="240" w:lineRule="auto"/>
              <w:ind w:left="90" w:right="105"/>
              <w:jc w:val="left"/>
            </w:pPr>
            <w:r>
              <w:t>$95,924,167</w:t>
            </w:r>
          </w:p>
        </w:tc>
        <w:tc>
          <w:tcPr>
            <w:tcW w:w="1720" w:type="dxa"/>
            <w:tcBorders>
              <w:top w:val="single" w:color="CCCCCC" w:sz="5" w:space="0"/>
              <w:left w:val="single" w:color="CCCCCC" w:sz="5" w:space="0"/>
              <w:bottom w:val="single" w:color="000000" w:sz="5" w:space="0"/>
              <w:right w:val="single" w:color="000000" w:sz="5" w:space="0"/>
            </w:tcBorders>
            <w:tcMar>
              <w:left w:w="0" w:type="dxa"/>
              <w:right w:w="0" w:type="dxa"/>
            </w:tcMar>
          </w:tcPr>
          <w:p w:rsidR="00E81CDA" w:rsidP="0011473B" w:rsidRDefault="00E81CDA" w14:paraId="6A378B6B" w14:textId="77777777">
            <w:pPr>
              <w:spacing w:after="0" w:line="240" w:lineRule="auto"/>
              <w:ind w:left="90" w:right="105"/>
              <w:jc w:val="left"/>
            </w:pPr>
            <w:r>
              <w:t>705</w:t>
            </w:r>
          </w:p>
        </w:tc>
        <w:tc>
          <w:tcPr>
            <w:tcW w:w="1720" w:type="dxa"/>
            <w:tcBorders>
              <w:top w:val="single" w:color="CCCCCC" w:sz="5" w:space="0"/>
              <w:left w:val="single" w:color="CCCCCC" w:sz="5" w:space="0"/>
              <w:bottom w:val="single" w:color="000000" w:sz="5" w:space="0"/>
              <w:right w:val="single" w:color="000000" w:sz="5" w:space="0"/>
            </w:tcBorders>
            <w:tcMar>
              <w:left w:w="0" w:type="dxa"/>
              <w:right w:w="0" w:type="dxa"/>
            </w:tcMar>
          </w:tcPr>
          <w:p w:rsidR="00E81CDA" w:rsidP="0011473B" w:rsidRDefault="00E81CDA" w14:paraId="6FEC7916" w14:textId="77777777">
            <w:pPr>
              <w:spacing w:after="0" w:line="240" w:lineRule="auto"/>
              <w:ind w:left="90" w:right="105"/>
              <w:jc w:val="left"/>
            </w:pPr>
            <w:r>
              <w:t>$36,145,148</w:t>
            </w:r>
          </w:p>
        </w:tc>
      </w:tr>
      <w:tr w:rsidR="00E81CDA" w:rsidTr="0011473B" w14:paraId="4F67B6DB" w14:textId="77777777">
        <w:trPr>
          <w:trHeight w:val="20"/>
          <w:jc w:val="center"/>
        </w:trPr>
        <w:tc>
          <w:tcPr>
            <w:tcW w:w="1410" w:type="dxa"/>
            <w:tcBorders>
              <w:left w:val="single" w:color="000000" w:sz="6" w:space="0"/>
              <w:bottom w:val="single" w:color="000000" w:sz="6" w:space="0"/>
              <w:right w:val="single" w:color="000000" w:sz="6" w:space="0"/>
            </w:tcBorders>
            <w:shd w:val="clear" w:color="auto" w:fill="auto"/>
            <w:tcMar>
              <w:top w:w="0" w:type="dxa"/>
              <w:left w:w="40" w:type="dxa"/>
              <w:bottom w:w="0" w:type="dxa"/>
              <w:right w:w="40" w:type="dxa"/>
            </w:tcMar>
          </w:tcPr>
          <w:p w:rsidR="00E81CDA" w:rsidP="0011473B" w:rsidRDefault="00E81CDA" w14:paraId="189E2909" w14:textId="77777777">
            <w:pPr>
              <w:keepNext/>
              <w:spacing w:after="0" w:line="240" w:lineRule="auto"/>
              <w:jc w:val="left"/>
            </w:pPr>
            <w:r>
              <w:t>Induced</w:t>
            </w:r>
          </w:p>
        </w:tc>
        <w:tc>
          <w:tcPr>
            <w:tcW w:w="1872" w:type="dxa"/>
            <w:tcBorders>
              <w:top w:val="single" w:color="CCCCCC" w:sz="5" w:space="0"/>
              <w:left w:val="single" w:color="000000" w:sz="5" w:space="0"/>
              <w:bottom w:val="single" w:color="000000" w:sz="5" w:space="0"/>
              <w:right w:val="single" w:color="000000" w:sz="5" w:space="0"/>
            </w:tcBorders>
            <w:tcMar>
              <w:left w:w="0" w:type="dxa"/>
              <w:right w:w="0" w:type="dxa"/>
            </w:tcMar>
          </w:tcPr>
          <w:p w:rsidR="00E81CDA" w:rsidP="0011473B" w:rsidRDefault="00E81CDA" w14:paraId="0698EFBA" w14:textId="77777777">
            <w:pPr>
              <w:spacing w:after="0" w:line="240" w:lineRule="auto"/>
              <w:ind w:left="90" w:right="105"/>
              <w:jc w:val="left"/>
            </w:pPr>
            <w:r>
              <w:t>$549,590,505</w:t>
            </w:r>
          </w:p>
        </w:tc>
        <w:tc>
          <w:tcPr>
            <w:tcW w:w="1720" w:type="dxa"/>
            <w:tcBorders>
              <w:top w:val="single" w:color="CCCCCC" w:sz="5" w:space="0"/>
              <w:left w:val="single" w:color="CCCCCC" w:sz="5" w:space="0"/>
              <w:bottom w:val="single" w:color="000000" w:sz="5" w:space="0"/>
              <w:right w:val="single" w:color="000000" w:sz="5" w:space="0"/>
            </w:tcBorders>
            <w:tcMar>
              <w:left w:w="0" w:type="dxa"/>
              <w:right w:w="0" w:type="dxa"/>
            </w:tcMar>
          </w:tcPr>
          <w:p w:rsidR="00E81CDA" w:rsidP="0011473B" w:rsidRDefault="00E81CDA" w14:paraId="3431618D" w14:textId="77777777">
            <w:pPr>
              <w:spacing w:after="0" w:line="240" w:lineRule="auto"/>
              <w:ind w:left="90" w:right="105"/>
              <w:jc w:val="left"/>
            </w:pPr>
            <w:r>
              <w:t>4,232</w:t>
            </w:r>
          </w:p>
        </w:tc>
        <w:tc>
          <w:tcPr>
            <w:tcW w:w="1720" w:type="dxa"/>
            <w:tcBorders>
              <w:top w:val="single" w:color="CCCCCC" w:sz="5" w:space="0"/>
              <w:left w:val="single" w:color="CCCCCC" w:sz="5" w:space="0"/>
              <w:bottom w:val="single" w:color="000000" w:sz="5" w:space="0"/>
              <w:right w:val="single" w:color="000000" w:sz="5" w:space="0"/>
            </w:tcBorders>
            <w:tcMar>
              <w:left w:w="0" w:type="dxa"/>
              <w:right w:w="0" w:type="dxa"/>
            </w:tcMar>
          </w:tcPr>
          <w:p w:rsidR="00E81CDA" w:rsidP="0011473B" w:rsidRDefault="00E81CDA" w14:paraId="657833CA" w14:textId="77777777">
            <w:pPr>
              <w:spacing w:after="0" w:line="240" w:lineRule="auto"/>
              <w:ind w:left="90" w:right="105"/>
              <w:jc w:val="left"/>
            </w:pPr>
            <w:r>
              <w:t>$215,757,666</w:t>
            </w:r>
          </w:p>
        </w:tc>
      </w:tr>
      <w:tr w:rsidR="00E81CDA" w:rsidTr="0011473B" w14:paraId="3AD478BF" w14:textId="77777777">
        <w:trPr>
          <w:trHeight w:val="20"/>
          <w:jc w:val="center"/>
        </w:trPr>
        <w:tc>
          <w:tcPr>
            <w:tcW w:w="1410" w:type="dxa"/>
            <w:tcBorders>
              <w:left w:val="single" w:color="000000" w:sz="6" w:space="0"/>
              <w:bottom w:val="single" w:color="000000" w:sz="6" w:space="0"/>
              <w:right w:val="single" w:color="000000" w:sz="6" w:space="0"/>
            </w:tcBorders>
            <w:shd w:val="clear" w:color="auto" w:fill="auto"/>
            <w:tcMar>
              <w:top w:w="0" w:type="dxa"/>
              <w:left w:w="40" w:type="dxa"/>
              <w:bottom w:w="0" w:type="dxa"/>
              <w:right w:w="40" w:type="dxa"/>
            </w:tcMar>
          </w:tcPr>
          <w:p w:rsidR="00E81CDA" w:rsidP="0011473B" w:rsidRDefault="00E81CDA" w14:paraId="58DECDAB" w14:textId="77777777">
            <w:pPr>
              <w:keepNext/>
              <w:spacing w:after="0" w:line="240" w:lineRule="auto"/>
              <w:jc w:val="left"/>
            </w:pPr>
            <w:r>
              <w:rPr>
                <w:b/>
              </w:rPr>
              <w:t>Total</w:t>
            </w:r>
          </w:p>
        </w:tc>
        <w:tc>
          <w:tcPr>
            <w:tcW w:w="1872" w:type="dxa"/>
            <w:tcBorders>
              <w:top w:val="single" w:color="CCCCCC" w:sz="5" w:space="0"/>
              <w:left w:val="single" w:color="000000" w:sz="5" w:space="0"/>
              <w:bottom w:val="single" w:color="000000" w:sz="5" w:space="0"/>
              <w:right w:val="single" w:color="000000" w:sz="5" w:space="0"/>
            </w:tcBorders>
            <w:tcMar>
              <w:left w:w="0" w:type="dxa"/>
              <w:right w:w="0" w:type="dxa"/>
            </w:tcMar>
          </w:tcPr>
          <w:p w:rsidR="00E81CDA" w:rsidP="0011473B" w:rsidRDefault="00E81CDA" w14:paraId="7684F85A" w14:textId="77777777">
            <w:pPr>
              <w:spacing w:after="0" w:line="240" w:lineRule="auto"/>
              <w:ind w:left="90" w:right="105"/>
              <w:jc w:val="left"/>
            </w:pPr>
            <w:r>
              <w:rPr>
                <w:b/>
              </w:rPr>
              <w:t>$2,654,562,246</w:t>
            </w:r>
          </w:p>
        </w:tc>
        <w:tc>
          <w:tcPr>
            <w:tcW w:w="1720" w:type="dxa"/>
            <w:tcBorders>
              <w:top w:val="single" w:color="CCCCCC" w:sz="5" w:space="0"/>
              <w:left w:val="single" w:color="CCCCCC" w:sz="5" w:space="0"/>
              <w:bottom w:val="single" w:color="000000" w:sz="5" w:space="0"/>
              <w:right w:val="single" w:color="000000" w:sz="5" w:space="0"/>
            </w:tcBorders>
            <w:tcMar>
              <w:left w:w="0" w:type="dxa"/>
              <w:right w:w="0" w:type="dxa"/>
            </w:tcMar>
          </w:tcPr>
          <w:p w:rsidR="00E81CDA" w:rsidP="0011473B" w:rsidRDefault="00E81CDA" w14:paraId="66388FBA" w14:textId="77777777">
            <w:pPr>
              <w:spacing w:after="0" w:line="240" w:lineRule="auto"/>
              <w:ind w:left="90" w:right="105"/>
              <w:jc w:val="left"/>
            </w:pPr>
            <w:r>
              <w:rPr>
                <w:b/>
              </w:rPr>
              <w:t>11,148</w:t>
            </w:r>
          </w:p>
        </w:tc>
        <w:tc>
          <w:tcPr>
            <w:tcW w:w="1720" w:type="dxa"/>
            <w:tcBorders>
              <w:top w:val="single" w:color="CCCCCC" w:sz="5" w:space="0"/>
              <w:left w:val="single" w:color="CCCCCC" w:sz="5" w:space="0"/>
              <w:bottom w:val="single" w:color="000000" w:sz="5" w:space="0"/>
              <w:right w:val="single" w:color="000000" w:sz="5" w:space="0"/>
            </w:tcBorders>
            <w:tcMar>
              <w:left w:w="0" w:type="dxa"/>
              <w:right w:w="0" w:type="dxa"/>
            </w:tcMar>
          </w:tcPr>
          <w:p w:rsidR="00E81CDA" w:rsidP="0011473B" w:rsidRDefault="00E81CDA" w14:paraId="22EEB64D" w14:textId="77777777">
            <w:pPr>
              <w:spacing w:after="0" w:line="240" w:lineRule="auto"/>
              <w:ind w:left="90" w:right="105"/>
              <w:jc w:val="left"/>
            </w:pPr>
            <w:r>
              <w:rPr>
                <w:b/>
              </w:rPr>
              <w:t>$762,182,881</w:t>
            </w:r>
          </w:p>
        </w:tc>
      </w:tr>
    </w:tbl>
    <w:p w:rsidRPr="006E1A07" w:rsidR="00E81CDA" w:rsidP="00B70A13" w:rsidRDefault="00E81CDA" w14:paraId="356CFC6B" w14:textId="72D7FF8D">
      <w:pPr>
        <w:pStyle w:val="Caption"/>
        <w:spacing w:before="200"/>
      </w:pPr>
      <w:bookmarkStart w:name="_heading=h.roa5r7in6vhl" w:colFirst="0" w:colLast="0" w:id="219"/>
      <w:bookmarkStart w:name="_heading=h.tyjcwt" w:colFirst="0" w:colLast="0" w:id="220"/>
      <w:bookmarkStart w:name="_Toc150852793" w:id="221"/>
      <w:bookmarkEnd w:id="219"/>
      <w:bookmarkEnd w:id="220"/>
      <w:r w:rsidRPr="006E1A07">
        <w:t xml:space="preserve">Table </w:t>
      </w:r>
      <w:r w:rsidR="00597437">
        <w:fldChar w:fldCharType="begin"/>
      </w:r>
      <w:r w:rsidR="00597437">
        <w:instrText xml:space="preserve"> SEQ Table \* ARABIC </w:instrText>
      </w:r>
      <w:r w:rsidR="00597437">
        <w:fldChar w:fldCharType="separate"/>
      </w:r>
      <w:r w:rsidR="00444AF1">
        <w:rPr>
          <w:noProof/>
        </w:rPr>
        <w:t>18</w:t>
      </w:r>
      <w:r w:rsidR="00597437">
        <w:rPr>
          <w:noProof/>
        </w:rPr>
        <w:fldChar w:fldCharType="end"/>
      </w:r>
      <w:r w:rsidRPr="006E1A07">
        <w:t>: Estimated economic effects of investing $1.9 billion in broadband construction</w:t>
      </w:r>
      <w:r w:rsidRPr="0018102E">
        <w:rPr>
          <w:vertAlign w:val="superscript"/>
        </w:rPr>
        <w:footnoteReference w:id="80"/>
      </w:r>
      <w:bookmarkEnd w:id="221"/>
    </w:p>
    <w:tbl>
      <w:tblPr>
        <w:tblW w:w="672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600" w:firstRow="0" w:lastRow="0" w:firstColumn="0" w:lastColumn="0" w:noHBand="1" w:noVBand="1"/>
      </w:tblPr>
      <w:tblGrid>
        <w:gridCol w:w="1410"/>
        <w:gridCol w:w="1872"/>
        <w:gridCol w:w="1720"/>
        <w:gridCol w:w="1720"/>
      </w:tblGrid>
      <w:tr w:rsidR="00E81CDA" w:rsidTr="0018102E" w14:paraId="7F0547C5" w14:textId="77777777">
        <w:trPr>
          <w:trHeight w:val="20"/>
          <w:jc w:val="center"/>
        </w:trPr>
        <w:tc>
          <w:tcPr>
            <w:tcW w:w="1410" w:type="dxa"/>
            <w:tcBorders>
              <w:left w:val="single" w:color="000000" w:sz="6" w:space="0"/>
              <w:bottom w:val="single" w:color="000000" w:sz="6" w:space="0"/>
              <w:right w:val="single" w:color="FFFFFF" w:themeColor="background1" w:sz="6" w:space="0"/>
            </w:tcBorders>
            <w:shd w:val="clear" w:color="auto" w:fill="0A2458"/>
            <w:tcMar>
              <w:top w:w="0" w:type="dxa"/>
              <w:left w:w="40" w:type="dxa"/>
              <w:bottom w:w="0" w:type="dxa"/>
              <w:right w:w="40" w:type="dxa"/>
            </w:tcMar>
          </w:tcPr>
          <w:p w:rsidR="00E81CDA" w:rsidP="00C055D8" w:rsidRDefault="00E81CDA" w14:paraId="311C5C21" w14:textId="77777777">
            <w:pPr>
              <w:keepNext/>
              <w:spacing w:after="0" w:line="240" w:lineRule="auto"/>
              <w:jc w:val="left"/>
            </w:pPr>
            <w:r w:rsidRPr="00C055D8">
              <w:t>Effect</w:t>
            </w:r>
          </w:p>
        </w:tc>
        <w:tc>
          <w:tcPr>
            <w:tcW w:w="1872" w:type="dxa"/>
            <w:tcBorders>
              <w:left w:val="single" w:color="FFFFFF" w:themeColor="background1" w:sz="6" w:space="0"/>
              <w:bottom w:val="single" w:color="000000" w:sz="6" w:space="0"/>
              <w:right w:val="single" w:color="FFFFFF" w:themeColor="background1" w:sz="6" w:space="0"/>
            </w:tcBorders>
            <w:shd w:val="clear" w:color="auto" w:fill="0A2458"/>
            <w:tcMar>
              <w:top w:w="0" w:type="dxa"/>
              <w:left w:w="40" w:type="dxa"/>
              <w:bottom w:w="0" w:type="dxa"/>
              <w:right w:w="40" w:type="dxa"/>
            </w:tcMar>
          </w:tcPr>
          <w:p w:rsidR="00E81CDA" w:rsidP="00C055D8" w:rsidRDefault="00E81CDA" w14:paraId="28072DDD" w14:textId="77777777">
            <w:pPr>
              <w:keepNext/>
              <w:spacing w:after="0" w:line="240" w:lineRule="auto"/>
              <w:jc w:val="left"/>
            </w:pPr>
            <w:r w:rsidRPr="00C055D8">
              <w:t>Sales</w:t>
            </w:r>
          </w:p>
        </w:tc>
        <w:tc>
          <w:tcPr>
            <w:tcW w:w="1720" w:type="dxa"/>
            <w:tcBorders>
              <w:left w:val="single" w:color="FFFFFF" w:themeColor="background1" w:sz="6" w:space="0"/>
              <w:bottom w:val="single" w:color="000000" w:sz="6" w:space="0"/>
              <w:right w:val="single" w:color="FFFFFF" w:themeColor="background1" w:sz="6" w:space="0"/>
            </w:tcBorders>
            <w:shd w:val="clear" w:color="auto" w:fill="0A2458"/>
            <w:tcMar>
              <w:top w:w="0" w:type="dxa"/>
              <w:left w:w="40" w:type="dxa"/>
              <w:bottom w:w="0" w:type="dxa"/>
              <w:right w:w="40" w:type="dxa"/>
            </w:tcMar>
          </w:tcPr>
          <w:p w:rsidR="00E81CDA" w:rsidP="00C055D8" w:rsidRDefault="00E81CDA" w14:paraId="367742E4" w14:textId="77777777">
            <w:pPr>
              <w:keepNext/>
              <w:spacing w:after="0" w:line="240" w:lineRule="auto"/>
              <w:jc w:val="left"/>
            </w:pPr>
            <w:r w:rsidRPr="00C055D8">
              <w:t>Jobs</w:t>
            </w:r>
          </w:p>
        </w:tc>
        <w:tc>
          <w:tcPr>
            <w:tcW w:w="1720" w:type="dxa"/>
            <w:tcBorders>
              <w:left w:val="single" w:color="FFFFFF" w:themeColor="background1" w:sz="6" w:space="0"/>
              <w:bottom w:val="single" w:color="000000" w:sz="6" w:space="0"/>
              <w:right w:val="single" w:color="000000" w:sz="6" w:space="0"/>
            </w:tcBorders>
            <w:shd w:val="clear" w:color="auto" w:fill="0A2458"/>
            <w:tcMar>
              <w:top w:w="0" w:type="dxa"/>
              <w:left w:w="40" w:type="dxa"/>
              <w:bottom w:w="0" w:type="dxa"/>
              <w:right w:w="40" w:type="dxa"/>
            </w:tcMar>
          </w:tcPr>
          <w:p w:rsidR="00E81CDA" w:rsidP="00C055D8" w:rsidRDefault="00E81CDA" w14:paraId="184DE2DF" w14:textId="77777777">
            <w:pPr>
              <w:keepNext/>
              <w:spacing w:after="0" w:line="240" w:lineRule="auto"/>
              <w:jc w:val="left"/>
            </w:pPr>
            <w:r w:rsidRPr="00C055D8">
              <w:t>Earnings</w:t>
            </w:r>
          </w:p>
        </w:tc>
      </w:tr>
      <w:tr w:rsidR="00E81CDA" w:rsidTr="00C055D8" w14:paraId="24B8FE20" w14:textId="77777777">
        <w:trPr>
          <w:trHeight w:val="20"/>
          <w:jc w:val="center"/>
        </w:trPr>
        <w:tc>
          <w:tcPr>
            <w:tcW w:w="1410" w:type="dxa"/>
            <w:tcBorders>
              <w:left w:val="single" w:color="000000" w:sz="6" w:space="0"/>
              <w:bottom w:val="single" w:color="000000" w:sz="6" w:space="0"/>
              <w:right w:val="single" w:color="000000" w:sz="6" w:space="0"/>
            </w:tcBorders>
            <w:shd w:val="clear" w:color="auto" w:fill="auto"/>
            <w:tcMar>
              <w:top w:w="0" w:type="dxa"/>
              <w:left w:w="40" w:type="dxa"/>
              <w:bottom w:w="0" w:type="dxa"/>
              <w:right w:w="40" w:type="dxa"/>
            </w:tcMar>
          </w:tcPr>
          <w:p w:rsidR="00E81CDA" w:rsidP="00C055D8" w:rsidRDefault="00E81CDA" w14:paraId="089F4AB4" w14:textId="77777777">
            <w:pPr>
              <w:keepNext/>
              <w:spacing w:after="0" w:line="240" w:lineRule="auto"/>
              <w:jc w:val="left"/>
            </w:pPr>
            <w:r>
              <w:t>Initial</w:t>
            </w:r>
          </w:p>
        </w:tc>
        <w:tc>
          <w:tcPr>
            <w:tcW w:w="1872" w:type="dxa"/>
            <w:tcBorders>
              <w:top w:val="single" w:color="000000" w:sz="5" w:space="0"/>
              <w:left w:val="single" w:color="000000" w:sz="5" w:space="0"/>
              <w:bottom w:val="single" w:color="000000" w:sz="5" w:space="0"/>
              <w:right w:val="single" w:color="000000" w:sz="5" w:space="0"/>
            </w:tcBorders>
            <w:tcMar>
              <w:left w:w="0" w:type="dxa"/>
              <w:right w:w="0" w:type="dxa"/>
            </w:tcMar>
          </w:tcPr>
          <w:p w:rsidR="00E81CDA" w:rsidP="00C055D8" w:rsidRDefault="00E81CDA" w14:paraId="620191DD" w14:textId="77777777">
            <w:pPr>
              <w:spacing w:after="0" w:line="240" w:lineRule="auto"/>
              <w:ind w:left="90" w:right="105"/>
              <w:jc w:val="left"/>
            </w:pPr>
            <w:r>
              <w:t>$1,911,746,281</w:t>
            </w:r>
          </w:p>
        </w:tc>
        <w:tc>
          <w:tcPr>
            <w:tcW w:w="1720" w:type="dxa"/>
            <w:tcBorders>
              <w:top w:val="single" w:color="000000" w:sz="5" w:space="0"/>
              <w:left w:val="single" w:color="CCCCCC" w:sz="5" w:space="0"/>
              <w:bottom w:val="single" w:color="000000" w:sz="5" w:space="0"/>
              <w:right w:val="single" w:color="000000" w:sz="5" w:space="0"/>
            </w:tcBorders>
            <w:tcMar>
              <w:left w:w="0" w:type="dxa"/>
              <w:right w:w="0" w:type="dxa"/>
            </w:tcMar>
          </w:tcPr>
          <w:p w:rsidR="00E81CDA" w:rsidP="00C055D8" w:rsidRDefault="00E81CDA" w14:paraId="7145A725" w14:textId="77777777">
            <w:pPr>
              <w:spacing w:after="0" w:line="240" w:lineRule="auto"/>
              <w:ind w:left="90" w:right="105"/>
              <w:jc w:val="left"/>
            </w:pPr>
            <w:r>
              <w:t>4,702</w:t>
            </w:r>
          </w:p>
        </w:tc>
        <w:tc>
          <w:tcPr>
            <w:tcW w:w="1720" w:type="dxa"/>
            <w:tcBorders>
              <w:top w:val="single" w:color="000000" w:sz="5" w:space="0"/>
              <w:left w:val="single" w:color="CCCCCC" w:sz="5" w:space="0"/>
              <w:bottom w:val="single" w:color="000000" w:sz="5" w:space="0"/>
              <w:right w:val="single" w:color="000000" w:sz="5" w:space="0"/>
            </w:tcBorders>
            <w:tcMar>
              <w:left w:w="0" w:type="dxa"/>
              <w:right w:w="0" w:type="dxa"/>
            </w:tcMar>
          </w:tcPr>
          <w:p w:rsidR="00E81CDA" w:rsidP="00C055D8" w:rsidRDefault="00E81CDA" w14:paraId="182A2ACF" w14:textId="77777777">
            <w:pPr>
              <w:spacing w:after="0" w:line="240" w:lineRule="auto"/>
              <w:ind w:left="90" w:right="105"/>
              <w:jc w:val="left"/>
            </w:pPr>
            <w:r>
              <w:t>$445,422,203</w:t>
            </w:r>
          </w:p>
        </w:tc>
      </w:tr>
      <w:tr w:rsidR="00E81CDA" w:rsidTr="00C055D8" w14:paraId="05AED89B" w14:textId="77777777">
        <w:trPr>
          <w:trHeight w:val="20"/>
          <w:jc w:val="center"/>
        </w:trPr>
        <w:tc>
          <w:tcPr>
            <w:tcW w:w="1410" w:type="dxa"/>
            <w:tcBorders>
              <w:left w:val="single" w:color="000000" w:sz="6" w:space="0"/>
              <w:bottom w:val="single" w:color="000000" w:sz="6" w:space="0"/>
              <w:right w:val="single" w:color="000000" w:sz="6" w:space="0"/>
            </w:tcBorders>
            <w:shd w:val="clear" w:color="auto" w:fill="auto"/>
            <w:tcMar>
              <w:top w:w="0" w:type="dxa"/>
              <w:left w:w="40" w:type="dxa"/>
              <w:bottom w:w="0" w:type="dxa"/>
              <w:right w:w="40" w:type="dxa"/>
            </w:tcMar>
          </w:tcPr>
          <w:p w:rsidR="00E81CDA" w:rsidP="00C055D8" w:rsidRDefault="00E81CDA" w14:paraId="67F9CA92" w14:textId="77777777">
            <w:pPr>
              <w:keepNext/>
              <w:spacing w:after="0" w:line="240" w:lineRule="auto"/>
              <w:jc w:val="left"/>
            </w:pPr>
            <w:r>
              <w:t>Direct</w:t>
            </w:r>
          </w:p>
        </w:tc>
        <w:tc>
          <w:tcPr>
            <w:tcW w:w="1872" w:type="dxa"/>
            <w:tcBorders>
              <w:top w:val="single" w:color="CCCCCC" w:sz="5" w:space="0"/>
              <w:left w:val="single" w:color="000000" w:sz="5" w:space="0"/>
              <w:bottom w:val="single" w:color="000000" w:sz="5" w:space="0"/>
              <w:right w:val="single" w:color="000000" w:sz="5" w:space="0"/>
            </w:tcBorders>
            <w:tcMar>
              <w:left w:w="0" w:type="dxa"/>
              <w:right w:w="0" w:type="dxa"/>
            </w:tcMar>
          </w:tcPr>
          <w:p w:rsidR="00E81CDA" w:rsidP="00C055D8" w:rsidRDefault="00E81CDA" w14:paraId="74DD1EAC" w14:textId="77777777">
            <w:pPr>
              <w:spacing w:after="0" w:line="240" w:lineRule="auto"/>
              <w:ind w:left="90" w:right="105"/>
              <w:jc w:val="left"/>
            </w:pPr>
            <w:r>
              <w:t>$372,444,174</w:t>
            </w:r>
          </w:p>
        </w:tc>
        <w:tc>
          <w:tcPr>
            <w:tcW w:w="1720" w:type="dxa"/>
            <w:tcBorders>
              <w:top w:val="single" w:color="CCCCCC" w:sz="5" w:space="0"/>
              <w:left w:val="single" w:color="CCCCCC" w:sz="5" w:space="0"/>
              <w:bottom w:val="single" w:color="000000" w:sz="5" w:space="0"/>
              <w:right w:val="single" w:color="000000" w:sz="5" w:space="0"/>
            </w:tcBorders>
            <w:tcMar>
              <w:left w:w="0" w:type="dxa"/>
              <w:right w:w="0" w:type="dxa"/>
            </w:tcMar>
          </w:tcPr>
          <w:p w:rsidR="00E81CDA" w:rsidP="00C055D8" w:rsidRDefault="00E81CDA" w14:paraId="61EEB24E" w14:textId="77777777">
            <w:pPr>
              <w:spacing w:after="0" w:line="240" w:lineRule="auto"/>
              <w:ind w:left="90" w:right="105"/>
              <w:jc w:val="left"/>
            </w:pPr>
            <w:r>
              <w:t>2,360</w:t>
            </w:r>
          </w:p>
        </w:tc>
        <w:tc>
          <w:tcPr>
            <w:tcW w:w="1720" w:type="dxa"/>
            <w:tcBorders>
              <w:top w:val="single" w:color="CCCCCC" w:sz="5" w:space="0"/>
              <w:left w:val="single" w:color="CCCCCC" w:sz="5" w:space="0"/>
              <w:bottom w:val="single" w:color="000000" w:sz="5" w:space="0"/>
              <w:right w:val="single" w:color="000000" w:sz="5" w:space="0"/>
            </w:tcBorders>
            <w:tcMar>
              <w:left w:w="0" w:type="dxa"/>
              <w:right w:w="0" w:type="dxa"/>
            </w:tcMar>
          </w:tcPr>
          <w:p w:rsidR="00E81CDA" w:rsidP="00C055D8" w:rsidRDefault="00E81CDA" w14:paraId="1D3B4410" w14:textId="77777777">
            <w:pPr>
              <w:spacing w:after="0" w:line="240" w:lineRule="auto"/>
              <w:ind w:left="90" w:right="105"/>
              <w:jc w:val="left"/>
            </w:pPr>
            <w:r>
              <w:t>$134,741,688</w:t>
            </w:r>
          </w:p>
        </w:tc>
      </w:tr>
      <w:tr w:rsidR="00E81CDA" w:rsidTr="00C055D8" w14:paraId="058FDCE4" w14:textId="77777777">
        <w:trPr>
          <w:trHeight w:val="20"/>
          <w:jc w:val="center"/>
        </w:trPr>
        <w:tc>
          <w:tcPr>
            <w:tcW w:w="1410" w:type="dxa"/>
            <w:tcBorders>
              <w:left w:val="single" w:color="000000" w:sz="6" w:space="0"/>
              <w:bottom w:val="single" w:color="000000" w:sz="6" w:space="0"/>
              <w:right w:val="single" w:color="000000" w:sz="6" w:space="0"/>
            </w:tcBorders>
            <w:shd w:val="clear" w:color="auto" w:fill="auto"/>
            <w:tcMar>
              <w:top w:w="0" w:type="dxa"/>
              <w:left w:w="40" w:type="dxa"/>
              <w:bottom w:w="0" w:type="dxa"/>
              <w:right w:w="40" w:type="dxa"/>
            </w:tcMar>
          </w:tcPr>
          <w:p w:rsidR="00E81CDA" w:rsidP="00C055D8" w:rsidRDefault="00E81CDA" w14:paraId="1FB86E07" w14:textId="77777777">
            <w:pPr>
              <w:keepNext/>
              <w:spacing w:after="0" w:line="240" w:lineRule="auto"/>
              <w:jc w:val="left"/>
            </w:pPr>
            <w:r>
              <w:t>Indirect</w:t>
            </w:r>
          </w:p>
        </w:tc>
        <w:tc>
          <w:tcPr>
            <w:tcW w:w="1872" w:type="dxa"/>
            <w:tcBorders>
              <w:top w:val="single" w:color="CCCCCC" w:sz="5" w:space="0"/>
              <w:left w:val="single" w:color="000000" w:sz="5" w:space="0"/>
              <w:bottom w:val="single" w:color="000000" w:sz="5" w:space="0"/>
              <w:right w:val="single" w:color="000000" w:sz="5" w:space="0"/>
            </w:tcBorders>
            <w:tcMar>
              <w:left w:w="0" w:type="dxa"/>
              <w:right w:w="0" w:type="dxa"/>
            </w:tcMar>
          </w:tcPr>
          <w:p w:rsidR="00E81CDA" w:rsidP="00C055D8" w:rsidRDefault="00E81CDA" w14:paraId="0161D378" w14:textId="77777777">
            <w:pPr>
              <w:spacing w:after="0" w:line="240" w:lineRule="auto"/>
              <w:ind w:left="90" w:right="105"/>
              <w:jc w:val="left"/>
            </w:pPr>
            <w:r>
              <w:t>$109,061,163</w:t>
            </w:r>
          </w:p>
        </w:tc>
        <w:tc>
          <w:tcPr>
            <w:tcW w:w="1720" w:type="dxa"/>
            <w:tcBorders>
              <w:top w:val="single" w:color="CCCCCC" w:sz="5" w:space="0"/>
              <w:left w:val="single" w:color="CCCCCC" w:sz="5" w:space="0"/>
              <w:bottom w:val="single" w:color="000000" w:sz="5" w:space="0"/>
              <w:right w:val="single" w:color="000000" w:sz="5" w:space="0"/>
            </w:tcBorders>
            <w:tcMar>
              <w:left w:w="0" w:type="dxa"/>
              <w:right w:w="0" w:type="dxa"/>
            </w:tcMar>
          </w:tcPr>
          <w:p w:rsidR="00E81CDA" w:rsidP="00C055D8" w:rsidRDefault="00E81CDA" w14:paraId="20FA5CAA" w14:textId="77777777">
            <w:pPr>
              <w:spacing w:after="0" w:line="240" w:lineRule="auto"/>
              <w:ind w:left="90" w:right="105"/>
              <w:jc w:val="left"/>
            </w:pPr>
            <w:r>
              <w:t>801</w:t>
            </w:r>
          </w:p>
        </w:tc>
        <w:tc>
          <w:tcPr>
            <w:tcW w:w="1720" w:type="dxa"/>
            <w:tcBorders>
              <w:top w:val="single" w:color="CCCCCC" w:sz="5" w:space="0"/>
              <w:left w:val="single" w:color="CCCCCC" w:sz="5" w:space="0"/>
              <w:bottom w:val="single" w:color="000000" w:sz="5" w:space="0"/>
              <w:right w:val="single" w:color="000000" w:sz="5" w:space="0"/>
            </w:tcBorders>
            <w:tcMar>
              <w:left w:w="0" w:type="dxa"/>
              <w:right w:w="0" w:type="dxa"/>
            </w:tcMar>
          </w:tcPr>
          <w:p w:rsidR="00E81CDA" w:rsidP="00C055D8" w:rsidRDefault="00E81CDA" w14:paraId="3FC1B6D5" w14:textId="77777777">
            <w:pPr>
              <w:spacing w:after="0" w:line="240" w:lineRule="auto"/>
              <w:ind w:left="90" w:right="105"/>
              <w:jc w:val="left"/>
            </w:pPr>
            <w:r>
              <w:t>$41,095,295</w:t>
            </w:r>
          </w:p>
        </w:tc>
      </w:tr>
      <w:tr w:rsidR="00E81CDA" w:rsidTr="00C055D8" w14:paraId="62542FD4" w14:textId="77777777">
        <w:trPr>
          <w:trHeight w:val="20"/>
          <w:jc w:val="center"/>
        </w:trPr>
        <w:tc>
          <w:tcPr>
            <w:tcW w:w="1410" w:type="dxa"/>
            <w:tcBorders>
              <w:left w:val="single" w:color="000000" w:sz="6" w:space="0"/>
              <w:bottom w:val="single" w:color="000000" w:sz="6" w:space="0"/>
              <w:right w:val="single" w:color="000000" w:sz="6" w:space="0"/>
            </w:tcBorders>
            <w:shd w:val="clear" w:color="auto" w:fill="auto"/>
            <w:tcMar>
              <w:top w:w="0" w:type="dxa"/>
              <w:left w:w="40" w:type="dxa"/>
              <w:bottom w:w="0" w:type="dxa"/>
              <w:right w:w="40" w:type="dxa"/>
            </w:tcMar>
          </w:tcPr>
          <w:p w:rsidR="00E81CDA" w:rsidP="00C055D8" w:rsidRDefault="00E81CDA" w14:paraId="7B19C7FA" w14:textId="77777777">
            <w:pPr>
              <w:keepNext/>
              <w:spacing w:after="0" w:line="240" w:lineRule="auto"/>
              <w:jc w:val="left"/>
            </w:pPr>
            <w:r>
              <w:t>Induced</w:t>
            </w:r>
          </w:p>
        </w:tc>
        <w:tc>
          <w:tcPr>
            <w:tcW w:w="1872" w:type="dxa"/>
            <w:tcBorders>
              <w:top w:val="single" w:color="CCCCCC" w:sz="5" w:space="0"/>
              <w:left w:val="single" w:color="000000" w:sz="5" w:space="0"/>
              <w:bottom w:val="single" w:color="000000" w:sz="5" w:space="0"/>
              <w:right w:val="single" w:color="000000" w:sz="5" w:space="0"/>
            </w:tcBorders>
            <w:tcMar>
              <w:left w:w="0" w:type="dxa"/>
              <w:right w:w="0" w:type="dxa"/>
            </w:tcMar>
          </w:tcPr>
          <w:p w:rsidR="00E81CDA" w:rsidP="00C055D8" w:rsidRDefault="00E81CDA" w14:paraId="2719C805" w14:textId="77777777">
            <w:pPr>
              <w:spacing w:after="0" w:line="240" w:lineRule="auto"/>
              <w:ind w:left="90" w:right="105"/>
              <w:jc w:val="left"/>
            </w:pPr>
            <w:r>
              <w:t>$624,857,968</w:t>
            </w:r>
          </w:p>
        </w:tc>
        <w:tc>
          <w:tcPr>
            <w:tcW w:w="1720" w:type="dxa"/>
            <w:tcBorders>
              <w:top w:val="single" w:color="CCCCCC" w:sz="5" w:space="0"/>
              <w:left w:val="single" w:color="CCCCCC" w:sz="5" w:space="0"/>
              <w:bottom w:val="single" w:color="000000" w:sz="5" w:space="0"/>
              <w:right w:val="single" w:color="000000" w:sz="5" w:space="0"/>
            </w:tcBorders>
            <w:tcMar>
              <w:left w:w="0" w:type="dxa"/>
              <w:right w:w="0" w:type="dxa"/>
            </w:tcMar>
          </w:tcPr>
          <w:p w:rsidR="00E81CDA" w:rsidP="00C055D8" w:rsidRDefault="00E81CDA" w14:paraId="231B2795" w14:textId="77777777">
            <w:pPr>
              <w:spacing w:after="0" w:line="240" w:lineRule="auto"/>
              <w:ind w:left="90" w:right="105"/>
              <w:jc w:val="left"/>
            </w:pPr>
            <w:r>
              <w:t>4,812</w:t>
            </w:r>
          </w:p>
        </w:tc>
        <w:tc>
          <w:tcPr>
            <w:tcW w:w="1720" w:type="dxa"/>
            <w:tcBorders>
              <w:top w:val="single" w:color="CCCCCC" w:sz="5" w:space="0"/>
              <w:left w:val="single" w:color="CCCCCC" w:sz="5" w:space="0"/>
              <w:bottom w:val="single" w:color="000000" w:sz="5" w:space="0"/>
              <w:right w:val="single" w:color="000000" w:sz="5" w:space="0"/>
            </w:tcBorders>
            <w:tcMar>
              <w:left w:w="0" w:type="dxa"/>
              <w:right w:w="0" w:type="dxa"/>
            </w:tcMar>
          </w:tcPr>
          <w:p w:rsidR="00E81CDA" w:rsidP="00C055D8" w:rsidRDefault="00E81CDA" w14:paraId="63CA48B5" w14:textId="77777777">
            <w:pPr>
              <w:spacing w:after="0" w:line="240" w:lineRule="auto"/>
              <w:ind w:left="90" w:right="105"/>
              <w:jc w:val="left"/>
            </w:pPr>
            <w:r>
              <w:t>$245,306,088</w:t>
            </w:r>
          </w:p>
        </w:tc>
      </w:tr>
      <w:tr w:rsidR="00E81CDA" w:rsidTr="00C055D8" w14:paraId="572056F2" w14:textId="77777777">
        <w:trPr>
          <w:trHeight w:val="20"/>
          <w:jc w:val="center"/>
        </w:trPr>
        <w:tc>
          <w:tcPr>
            <w:tcW w:w="1410" w:type="dxa"/>
            <w:tcBorders>
              <w:left w:val="single" w:color="000000" w:sz="6" w:space="0"/>
              <w:bottom w:val="single" w:color="000000" w:sz="6" w:space="0"/>
              <w:right w:val="single" w:color="000000" w:sz="6" w:space="0"/>
            </w:tcBorders>
            <w:shd w:val="clear" w:color="auto" w:fill="auto"/>
            <w:tcMar>
              <w:top w:w="0" w:type="dxa"/>
              <w:left w:w="40" w:type="dxa"/>
              <w:bottom w:w="0" w:type="dxa"/>
              <w:right w:w="40" w:type="dxa"/>
            </w:tcMar>
          </w:tcPr>
          <w:p w:rsidR="00E81CDA" w:rsidP="00C055D8" w:rsidRDefault="00E81CDA" w14:paraId="52BBBD51" w14:textId="77777777">
            <w:pPr>
              <w:keepNext/>
              <w:spacing w:after="0" w:line="240" w:lineRule="auto"/>
              <w:jc w:val="left"/>
            </w:pPr>
            <w:r>
              <w:rPr>
                <w:b/>
              </w:rPr>
              <w:t>Total</w:t>
            </w:r>
          </w:p>
        </w:tc>
        <w:tc>
          <w:tcPr>
            <w:tcW w:w="1872" w:type="dxa"/>
            <w:tcBorders>
              <w:top w:val="single" w:color="CCCCCC" w:sz="5" w:space="0"/>
              <w:left w:val="single" w:color="000000" w:sz="5" w:space="0"/>
              <w:bottom w:val="single" w:color="000000" w:sz="5" w:space="0"/>
              <w:right w:val="single" w:color="000000" w:sz="5" w:space="0"/>
            </w:tcBorders>
            <w:tcMar>
              <w:left w:w="0" w:type="dxa"/>
              <w:right w:w="0" w:type="dxa"/>
            </w:tcMar>
          </w:tcPr>
          <w:p w:rsidR="00E81CDA" w:rsidP="00C055D8" w:rsidRDefault="00E81CDA" w14:paraId="075ABC73" w14:textId="77777777">
            <w:pPr>
              <w:spacing w:after="0" w:line="240" w:lineRule="auto"/>
              <w:ind w:left="90" w:right="105"/>
              <w:jc w:val="left"/>
            </w:pPr>
            <w:r>
              <w:rPr>
                <w:b/>
              </w:rPr>
              <w:t>$3,018,109,586</w:t>
            </w:r>
          </w:p>
        </w:tc>
        <w:tc>
          <w:tcPr>
            <w:tcW w:w="1720" w:type="dxa"/>
            <w:tcBorders>
              <w:top w:val="single" w:color="CCCCCC" w:sz="5" w:space="0"/>
              <w:left w:val="single" w:color="CCCCCC" w:sz="5" w:space="0"/>
              <w:bottom w:val="single" w:color="000000" w:sz="5" w:space="0"/>
              <w:right w:val="single" w:color="000000" w:sz="5" w:space="0"/>
            </w:tcBorders>
            <w:tcMar>
              <w:left w:w="0" w:type="dxa"/>
              <w:right w:w="0" w:type="dxa"/>
            </w:tcMar>
          </w:tcPr>
          <w:p w:rsidR="00E81CDA" w:rsidP="00C055D8" w:rsidRDefault="00E81CDA" w14:paraId="3EFC2A18" w14:textId="77777777">
            <w:pPr>
              <w:spacing w:after="0" w:line="240" w:lineRule="auto"/>
              <w:ind w:left="90" w:right="105"/>
              <w:jc w:val="left"/>
            </w:pPr>
            <w:r>
              <w:rPr>
                <w:b/>
              </w:rPr>
              <w:t>12,675</w:t>
            </w:r>
          </w:p>
        </w:tc>
        <w:tc>
          <w:tcPr>
            <w:tcW w:w="1720" w:type="dxa"/>
            <w:tcBorders>
              <w:top w:val="single" w:color="CCCCCC" w:sz="5" w:space="0"/>
              <w:left w:val="single" w:color="CCCCCC" w:sz="5" w:space="0"/>
              <w:bottom w:val="single" w:color="000000" w:sz="5" w:space="0"/>
              <w:right w:val="single" w:color="000000" w:sz="5" w:space="0"/>
            </w:tcBorders>
            <w:tcMar>
              <w:left w:w="0" w:type="dxa"/>
              <w:right w:w="0" w:type="dxa"/>
            </w:tcMar>
          </w:tcPr>
          <w:p w:rsidR="00E81CDA" w:rsidP="00C055D8" w:rsidRDefault="00E81CDA" w14:paraId="6AE7BBE6" w14:textId="77777777">
            <w:pPr>
              <w:spacing w:after="0" w:line="240" w:lineRule="auto"/>
              <w:ind w:left="90" w:right="105"/>
              <w:jc w:val="left"/>
            </w:pPr>
            <w:r>
              <w:rPr>
                <w:b/>
              </w:rPr>
              <w:t>$866,565,274</w:t>
            </w:r>
          </w:p>
        </w:tc>
      </w:tr>
    </w:tbl>
    <w:p w:rsidR="00E81CDA" w:rsidP="006F78D2" w:rsidRDefault="00E81CDA" w14:paraId="3AD72E44" w14:textId="77777777">
      <w:pPr>
        <w:pStyle w:val="Heading3"/>
        <w:numPr>
          <w:ilvl w:val="2"/>
          <w:numId w:val="23"/>
        </w:numPr>
      </w:pPr>
      <w:bookmarkStart w:name="_heading=h.uqlzxijw41a1" w:colFirst="0" w:colLast="0" w:id="222"/>
      <w:bookmarkStart w:name="_Toc150852670" w:id="223"/>
      <w:bookmarkEnd w:id="222"/>
      <w:r>
        <w:t>Long-term objectives for enhancing economic growth and job creation</w:t>
      </w:r>
      <w:bookmarkEnd w:id="223"/>
    </w:p>
    <w:p w:rsidR="00E81CDA" w:rsidP="00E81CDA" w:rsidRDefault="00E81CDA" w14:paraId="6C16B29A" w14:textId="7515E253">
      <w:pPr>
        <w:rPr>
          <w:sz w:val="22"/>
          <w:szCs w:val="22"/>
        </w:rPr>
      </w:pPr>
      <w:r>
        <w:t>While the economic benefits from construction spending are considerable, and some economic benefits (like an increase in home values</w:t>
      </w:r>
      <w:r w:rsidR="002A1FFF">
        <w:t>)</w:t>
      </w:r>
      <w:r w:rsidR="00990FE1">
        <w:rPr>
          <w:rStyle w:val="FootnoteReference"/>
        </w:rPr>
        <w:footnoteReference w:id="81"/>
      </w:r>
      <w:r>
        <w:t xml:space="preserve"> can be expected just from the presence of fiber on a street, the long-term benefits to Alabama’s economy will be fully realized as a result of increased utilization of the internet. In other words, building better networks is good, but encouraging as much adoption as possible is necessary to maximize the long-term economic benefits. </w:t>
      </w:r>
    </w:p>
    <w:p w:rsidR="00E81CDA" w:rsidP="00E81CDA" w:rsidRDefault="00E81CDA" w14:paraId="3F646959" w14:textId="17618868">
      <w:r>
        <w:t>Importantly, increased high-speed broadband usage and adoption will greatly benefit the state’s existing economic development priorities and plans. Specifically, the BEAD Program will allow the state to:</w:t>
      </w:r>
    </w:p>
    <w:p w:rsidR="00E81CDA" w:rsidP="006F78D2" w:rsidRDefault="00E81CDA" w14:paraId="0A2A509B" w14:textId="77777777">
      <w:pPr>
        <w:numPr>
          <w:ilvl w:val="0"/>
          <w:numId w:val="31"/>
        </w:numPr>
      </w:pPr>
      <w:r>
        <w:t>Empower workforce advancement and economic growth in unserved and underserved communities and population groups through broadband expansion projects</w:t>
      </w:r>
    </w:p>
    <w:p w:rsidR="00E81CDA" w:rsidP="006F78D2" w:rsidRDefault="00E81CDA" w14:paraId="1462F28C" w14:textId="77777777">
      <w:pPr>
        <w:numPr>
          <w:ilvl w:val="0"/>
          <w:numId w:val="31"/>
        </w:numPr>
      </w:pPr>
      <w:r>
        <w:t>Reduce obstacles to digital connectivity and foster an environment conducive to economic growth, academic achievement, and improved healthcare outcomes</w:t>
      </w:r>
    </w:p>
    <w:p w:rsidR="00E81CDA" w:rsidP="006F78D2" w:rsidRDefault="00E81CDA" w14:paraId="32FFAD17" w14:textId="77777777">
      <w:pPr>
        <w:numPr>
          <w:ilvl w:val="0"/>
          <w:numId w:val="31"/>
        </w:numPr>
      </w:pPr>
      <w:r>
        <w:t>Support programs that alleviate barriers to digital connectivity, enabling economic empowerment, promoting academic success, and enhancing community health</w:t>
      </w:r>
    </w:p>
    <w:p w:rsidR="00E81CDA" w:rsidP="00E81CDA" w:rsidRDefault="00E81CDA" w14:paraId="15A02918" w14:textId="1B8DC9EC">
      <w:r>
        <w:t>Additionally, Alabama’s significant existing economic output and emphasis on industrial and manufacturing recruitment will receive a further boost with ubiquitous high-speed broadband. Not only is high-speed broadband necessary for the significant technology, robotics, software, and AI that is essential for industrial manufacturing</w:t>
      </w:r>
      <w:r w:rsidR="00AA1E96">
        <w:t>—</w:t>
      </w:r>
      <w:r>
        <w:t xml:space="preserve">one of the major benefits of broadband when it comes to large employers is the quality of life that it brings to employees. Especially when it comes to recruiting technologists, knowledge workers, specialists, and skilled occupations, being able to tout widespread availability of high-speed broadband to the home is a major selling point. Excellent broadband at home also allows for greater hybrid work configurations and access to virtual training opportunities, which is beneficial to employers and employees alike. </w:t>
      </w:r>
    </w:p>
    <w:p w:rsidR="00E81CDA" w:rsidP="00E81CDA" w:rsidRDefault="00E81CDA" w14:paraId="3C553A1D" w14:textId="570E980B">
      <w:r>
        <w:t>In summary, as Alabama deploys broadband across the state under the Internet for All mandate, truly maximizing the economic impact of that broadband will require two primary strategies. First, it requires working hard to increase broadband adoption</w:t>
      </w:r>
      <w:r w:rsidR="009179DE">
        <w:t>,</w:t>
      </w:r>
      <w:r>
        <w:t xml:space="preserve"> both in areas of new builds as well as areas of existing broadband</w:t>
      </w:r>
      <w:r w:rsidR="009179DE">
        <w:t>,</w:t>
      </w:r>
      <w:r>
        <w:t xml:space="preserve"> so that as many people </w:t>
      </w:r>
      <w:r w:rsidR="00EF66F5">
        <w:t>as possible</w:t>
      </w:r>
      <w:r>
        <w:t xml:space="preserve"> can take advantage of the opportunities that great broadband affords. </w:t>
      </w:r>
      <w:r w:rsidR="00EF66F5">
        <w:t>S</w:t>
      </w:r>
      <w:r>
        <w:t xml:space="preserve">econd, it requires the state continuing down the path of pursuing economic development strategies that leverage the unique ability for high-speed broadband to provide Alabama businesses better access to talent and technology, and allow Alabama’s existing and prospective employers to recruit, train, and retain workers. </w:t>
      </w:r>
    </w:p>
    <w:p w:rsidR="00BE3C9A" w:rsidRDefault="00BE3C9A" w14:paraId="5DDDB648" w14:textId="77777777">
      <w:pPr>
        <w:jc w:val="left"/>
        <w:rPr>
          <w:rFonts w:ascii="Georgia" w:hAnsi="Georgia" w:eastAsiaTheme="majorEastAsia" w:cstheme="majorBidi"/>
          <w:b/>
          <w:bCs/>
          <w:color w:val="242451"/>
          <w:sz w:val="28"/>
          <w:szCs w:val="28"/>
        </w:rPr>
      </w:pPr>
      <w:r>
        <w:br w:type="page"/>
      </w:r>
    </w:p>
    <w:p w:rsidR="00A77417" w:rsidP="006F78D2" w:rsidRDefault="00A77417" w14:paraId="13249F07" w14:textId="56F9C2C3">
      <w:pPr>
        <w:pStyle w:val="Heading1"/>
      </w:pPr>
      <w:bookmarkStart w:name="_Toc150852671" w:id="224"/>
      <w:r>
        <w:t>Minority Business Enterprises (MBE</w:t>
      </w:r>
      <w:r w:rsidR="008C11CC">
        <w:t>s</w:t>
      </w:r>
      <w:r>
        <w:t>) / Women’s Business Enterprises (WBE</w:t>
      </w:r>
      <w:r w:rsidR="006F04CC">
        <w:t>s</w:t>
      </w:r>
      <w:r>
        <w:t xml:space="preserve">) / </w:t>
      </w:r>
      <w:r w:rsidR="006F04CC">
        <w:t>L</w:t>
      </w:r>
      <w:r>
        <w:t xml:space="preserve">abor </w:t>
      </w:r>
      <w:r w:rsidR="006F04CC">
        <w:t>S</w:t>
      </w:r>
      <w:r>
        <w:t xml:space="preserve">urplus </w:t>
      </w:r>
      <w:r w:rsidR="006F04CC">
        <w:t>A</w:t>
      </w:r>
      <w:r>
        <w:t xml:space="preserve">rea </w:t>
      </w:r>
      <w:r w:rsidR="006F04CC">
        <w:t>(LSA</w:t>
      </w:r>
      <w:r w:rsidR="00B67A5F">
        <w:t>)</w:t>
      </w:r>
      <w:r>
        <w:t xml:space="preserve"> </w:t>
      </w:r>
      <w:proofErr w:type="gramStart"/>
      <w:r w:rsidR="005F4873">
        <w:t>f</w:t>
      </w:r>
      <w:r>
        <w:t>irms</w:t>
      </w:r>
      <w:proofErr w:type="gramEnd"/>
      <w:r>
        <w:t xml:space="preserve"> </w:t>
      </w:r>
      <w:r w:rsidR="005F4873">
        <w:t>i</w:t>
      </w:r>
      <w:r>
        <w:t>nclusion</w:t>
      </w:r>
      <w:r w:rsidR="00B06DE5">
        <w:t xml:space="preserve"> (Requirement 13)</w:t>
      </w:r>
      <w:bookmarkEnd w:id="224"/>
    </w:p>
    <w:p w:rsidR="7CD58159" w:rsidP="4DAB7B41" w:rsidRDefault="7CD58159" w14:paraId="45FB2F26" w14:textId="1AB5B0E8">
      <w:r>
        <w:t>This section documen</w:t>
      </w:r>
      <w:r w:rsidR="009D3BB3">
        <w:t>ts the process</w:t>
      </w:r>
      <w:r w:rsidR="002A0BCD">
        <w:t>, strategy, and data tracking methods</w:t>
      </w:r>
      <w:r w:rsidR="003A1D6B">
        <w:t xml:space="preserve"> that ADECA will implement to ensure that MBEs,</w:t>
      </w:r>
      <w:r w:rsidR="00090F6A">
        <w:t xml:space="preserve"> WBEs, and LSA firms are recruited, used, and retained when </w:t>
      </w:r>
      <w:proofErr w:type="gramStart"/>
      <w:r w:rsidR="00090F6A">
        <w:t>possible</w:t>
      </w:r>
      <w:proofErr w:type="gramEnd"/>
      <w:r w:rsidR="00090F6A">
        <w:t xml:space="preserve"> </w:t>
      </w:r>
      <w:r w:rsidR="00D63C97">
        <w:t>for</w:t>
      </w:r>
      <w:r w:rsidR="00D8543F">
        <w:t xml:space="preserve"> BEAD-related activities,</w:t>
      </w:r>
      <w:r w:rsidR="12222FBC">
        <w:t xml:space="preserve"> consistent with </w:t>
      </w:r>
      <w:r w:rsidR="00926BAB">
        <w:t>applicable federal/state law</w:t>
      </w:r>
      <w:r w:rsidR="12222FBC">
        <w:t>, 2 C.F.R. Part 200, and the BEAD NOFO</w:t>
      </w:r>
      <w:r>
        <w:t>.</w:t>
      </w:r>
    </w:p>
    <w:p w:rsidR="7CD58159" w:rsidP="4DAB7B41" w:rsidRDefault="7CD58159" w14:paraId="67489322" w14:textId="38AF079D">
      <w:r>
        <w:t>The State of Alabama, through ADECA</w:t>
      </w:r>
      <w:r w:rsidR="009C0A4A">
        <w:t xml:space="preserve">’s </w:t>
      </w:r>
      <w:r>
        <w:t>Office of Minority Business Enterprise (</w:t>
      </w:r>
      <w:r w:rsidR="00BB6670">
        <w:t>OMBE</w:t>
      </w:r>
      <w:r>
        <w:t xml:space="preserve">) and the Alabama Department of Transportation (ALDOT), offers certification processes for MBEs and WBEs, thus facilitating real-time business opportunities. </w:t>
      </w:r>
      <w:r w:rsidR="00163BBD">
        <w:t>ADECA facilitates the certification and connection of MBEs and WBEs with opportunities through various programs. MBE certification by ADECA signifies that a business is at least 51 percent owned and operated by one or more minorities and, similarly, WBE certification</w:t>
      </w:r>
      <w:r w:rsidR="008F20E8">
        <w:t xml:space="preserve"> by ADECA</w:t>
      </w:r>
      <w:r w:rsidR="00163BBD">
        <w:t xml:space="preserve"> requires a woman or women to have majority ownership and control of the business entity.</w:t>
      </w:r>
      <w:r w:rsidRPr="4DAB7B41" w:rsidR="00163BBD">
        <w:rPr>
          <w:vertAlign w:val="superscript"/>
        </w:rPr>
        <w:footnoteReference w:id="82"/>
      </w:r>
      <w:r w:rsidR="006004A8">
        <w:t xml:space="preserve"> </w:t>
      </w:r>
      <w:r>
        <w:t xml:space="preserve">The </w:t>
      </w:r>
      <w:r w:rsidR="001E638A">
        <w:t>Alabama</w:t>
      </w:r>
      <w:r>
        <w:t xml:space="preserve"> Office of Minority Affairs (</w:t>
      </w:r>
      <w:r w:rsidR="001E638A">
        <w:t>A</w:t>
      </w:r>
      <w:r>
        <w:t>OMA) also plays a pivotal role in ensuring that minority and women business owners have direct communication lines for assistance in doing business within the state</w:t>
      </w:r>
      <w:r w:rsidR="0027342C">
        <w:t>.</w:t>
      </w:r>
      <w:r w:rsidRPr="4DAB7B41">
        <w:rPr>
          <w:vertAlign w:val="superscript"/>
        </w:rPr>
        <w:footnoteReference w:id="83"/>
      </w:r>
    </w:p>
    <w:p w:rsidR="00C91F53" w:rsidP="006F78D2" w:rsidRDefault="008F2D7B" w14:paraId="7B6A9F46" w14:textId="567EFAF3">
      <w:pPr>
        <w:pStyle w:val="Heading2"/>
        <w:numPr>
          <w:ilvl w:val="1"/>
          <w:numId w:val="23"/>
        </w:numPr>
      </w:pPr>
      <w:bookmarkStart w:name="_Toc150852672" w:id="225"/>
      <w:r w:rsidRPr="008F2D7B">
        <w:t>Process, strategy</w:t>
      </w:r>
      <w:r w:rsidR="001E638A">
        <w:t>,</w:t>
      </w:r>
      <w:r w:rsidRPr="008F2D7B">
        <w:t xml:space="preserve"> and data tracking methods to ensure that minority businesses, women-owned business enterprises, and labor surplus area firms are recruited, used, and retained when possible</w:t>
      </w:r>
      <w:bookmarkEnd w:id="225"/>
    </w:p>
    <w:p w:rsidR="00E52D48" w:rsidP="00564B4F" w:rsidRDefault="00E52D48" w14:paraId="6ADC656D" w14:textId="77777777">
      <w:pPr>
        <w:spacing w:after="0" w:line="240" w:lineRule="auto"/>
      </w:pPr>
    </w:p>
    <w:p w:rsidRPr="00C841AF" w:rsidR="00C841AF" w:rsidP="00C841AF" w:rsidRDefault="00E0410F" w14:paraId="61DAF6AC" w14:textId="430E1C93">
      <w:r>
        <w:t xml:space="preserve">ADECA is committed to promoting diversity and inclusion by encouraging the recruitment, utilization, and retention of MBEs, WBEs, and LSA firms when possible. </w:t>
      </w:r>
      <w:r w:rsidR="1EAA9C46">
        <w:t>The Alabama Department of Finance’s Purchasing Division maintains a portal where MBEs/WBEs can register to receive bid solicitations</w:t>
      </w:r>
      <w:r w:rsidR="4AD056A0">
        <w:t>.</w:t>
      </w:r>
      <w:r w:rsidRPr="4DAB7B41" w:rsidR="00C841AF">
        <w:rPr>
          <w:vertAlign w:val="superscript"/>
        </w:rPr>
        <w:footnoteReference w:id="84"/>
      </w:r>
      <w:r w:rsidR="1EAA9C46">
        <w:t xml:space="preserve"> Registered businesses are then tracked by OMBE, where a comprehensive database of MBEs/WBEs and LSA</w:t>
      </w:r>
      <w:r w:rsidR="00321F37">
        <w:t xml:space="preserve"> firms</w:t>
      </w:r>
      <w:r w:rsidR="1EAA9C46">
        <w:t xml:space="preserve"> is maintained</w:t>
      </w:r>
      <w:r w:rsidR="00214D50">
        <w:t>.</w:t>
      </w:r>
      <w:r w:rsidRPr="4DAB7B41" w:rsidR="00C841AF">
        <w:rPr>
          <w:vertAlign w:val="superscript"/>
        </w:rPr>
        <w:footnoteReference w:id="85"/>
      </w:r>
    </w:p>
    <w:p w:rsidRPr="00C841AF" w:rsidR="00623C1F" w:rsidP="4DAB7B41" w:rsidRDefault="00623C1F" w14:paraId="502E4E0F" w14:textId="34DD9773">
      <w:r w:rsidRPr="37B00226">
        <w:t xml:space="preserve">The U.S. Secretary of Labor is required to annually designate </w:t>
      </w:r>
      <w:r w:rsidR="00CA6C65">
        <w:t>LSAs</w:t>
      </w:r>
      <w:r w:rsidRPr="37B00226">
        <w:t xml:space="preserve"> and disseminate this information for the use of all federal agencies in directing procurement activities and in locating new plants or facilities. States may direct federal funding to designated LSAs where there is high unemployment. </w:t>
      </w:r>
      <w:r>
        <w:t>E</w:t>
      </w:r>
      <w:r w:rsidRPr="37B00226">
        <w:t>mployers located in those areas can be given preference in bidding on federal procurement contracts.</w:t>
      </w:r>
      <w:r w:rsidRPr="37B00226">
        <w:rPr>
          <w:rStyle w:val="EndnoteReference"/>
          <w:rFonts w:eastAsia="Open Sans"/>
        </w:rPr>
        <w:footnoteReference w:id="86"/>
      </w:r>
      <w:r w:rsidRPr="1B5DAB12">
        <w:rPr>
          <w:rStyle w:val="EndnoteReference"/>
          <w:rFonts w:eastAsia="Open Sans"/>
        </w:rPr>
        <w:t xml:space="preserve"> </w:t>
      </w:r>
      <w:r w:rsidRPr="4AC3E477">
        <w:rPr>
          <w:rFonts w:eastAsia="Open Sans"/>
        </w:rPr>
        <w:t>An area must have an unemployment rate at least 20</w:t>
      </w:r>
      <w:r>
        <w:rPr>
          <w:rFonts w:eastAsia="Open Sans"/>
        </w:rPr>
        <w:t xml:space="preserve"> percent</w:t>
      </w:r>
      <w:r w:rsidRPr="4AC3E477">
        <w:rPr>
          <w:rFonts w:eastAsia="Open Sans"/>
        </w:rPr>
        <w:t xml:space="preserve"> above the national rate (including Puerto Rico) during the previous two calendar years to qualify as </w:t>
      </w:r>
      <w:r>
        <w:rPr>
          <w:rFonts w:eastAsia="Open Sans"/>
        </w:rPr>
        <w:t xml:space="preserve">an </w:t>
      </w:r>
      <w:r w:rsidRPr="4AC3E477">
        <w:rPr>
          <w:rFonts w:eastAsia="Open Sans"/>
        </w:rPr>
        <w:t>LSA.</w:t>
      </w:r>
      <w:r w:rsidRPr="7C42A024">
        <w:rPr>
          <w:rFonts w:eastAsia="Open Sans"/>
        </w:rPr>
        <w:t xml:space="preserve"> </w:t>
      </w:r>
      <w:r w:rsidRPr="038687F2">
        <w:rPr>
          <w:rFonts w:eastAsia="Open Sans"/>
        </w:rPr>
        <w:t xml:space="preserve">The </w:t>
      </w:r>
      <w:r w:rsidRPr="117D7942">
        <w:rPr>
          <w:rFonts w:eastAsia="Open Sans"/>
        </w:rPr>
        <w:t xml:space="preserve">U.S. Department </w:t>
      </w:r>
      <w:r w:rsidRPr="42383300">
        <w:rPr>
          <w:rFonts w:eastAsia="Open Sans"/>
        </w:rPr>
        <w:t xml:space="preserve">of </w:t>
      </w:r>
      <w:r w:rsidRPr="04CCEFDB">
        <w:rPr>
          <w:rFonts w:eastAsia="Open Sans"/>
        </w:rPr>
        <w:t xml:space="preserve">Labor </w:t>
      </w:r>
      <w:r>
        <w:rPr>
          <w:rFonts w:eastAsia="Open Sans"/>
        </w:rPr>
        <w:t xml:space="preserve">identifies </w:t>
      </w:r>
      <w:r w:rsidR="003F3144">
        <w:rPr>
          <w:rFonts w:eastAsia="Open Sans"/>
        </w:rPr>
        <w:t>six</w:t>
      </w:r>
      <w:r>
        <w:rPr>
          <w:rFonts w:eastAsia="Open Sans"/>
        </w:rPr>
        <w:t xml:space="preserve"> </w:t>
      </w:r>
      <w:r w:rsidRPr="00AF521C">
        <w:rPr>
          <w:rFonts w:eastAsia="Open Sans"/>
        </w:rPr>
        <w:t>cities</w:t>
      </w:r>
      <w:r w:rsidR="003F3144">
        <w:rPr>
          <w:rFonts w:eastAsia="Open Sans"/>
        </w:rPr>
        <w:t xml:space="preserve"> and</w:t>
      </w:r>
      <w:r w:rsidRPr="00AF521C">
        <w:rPr>
          <w:rFonts w:eastAsia="Open Sans"/>
        </w:rPr>
        <w:t xml:space="preserve"> counties </w:t>
      </w:r>
      <w:r>
        <w:rPr>
          <w:rFonts w:eastAsia="Open Sans"/>
        </w:rPr>
        <w:t xml:space="preserve">in </w:t>
      </w:r>
      <w:r w:rsidR="009D5F98">
        <w:rPr>
          <w:rFonts w:eastAsia="Open Sans"/>
        </w:rPr>
        <w:t>Alabama</w:t>
      </w:r>
      <w:r w:rsidRPr="3AA66A9F" w:rsidDel="00AA1064">
        <w:rPr>
          <w:rFonts w:eastAsia="Open Sans"/>
        </w:rPr>
        <w:t xml:space="preserve"> </w:t>
      </w:r>
      <w:r w:rsidRPr="00403C0F">
        <w:rPr>
          <w:rFonts w:eastAsia="Open Sans"/>
        </w:rPr>
        <w:t>as LSA</w:t>
      </w:r>
      <w:r>
        <w:rPr>
          <w:rFonts w:eastAsia="Open Sans"/>
        </w:rPr>
        <w:t>s</w:t>
      </w:r>
      <w:r w:rsidRPr="00403C0F">
        <w:rPr>
          <w:rFonts w:eastAsia="Open Sans"/>
        </w:rPr>
        <w:t xml:space="preserve"> in its 2024 update</w:t>
      </w:r>
      <w:r>
        <w:rPr>
          <w:rFonts w:eastAsia="Open Sans"/>
        </w:rPr>
        <w:t>.</w:t>
      </w:r>
      <w:r>
        <w:rPr>
          <w:rStyle w:val="FootnoteReference"/>
          <w:rFonts w:eastAsia="Open Sans"/>
        </w:rPr>
        <w:footnoteReference w:id="87"/>
      </w:r>
      <w:r>
        <w:rPr>
          <w:rFonts w:eastAsia="Open Sans"/>
        </w:rPr>
        <w:t xml:space="preserve"> </w:t>
      </w:r>
      <w:r w:rsidR="00CE79D8">
        <w:rPr>
          <w:rFonts w:eastAsia="Open Sans"/>
        </w:rPr>
        <w:t xml:space="preserve">The LSAs include </w:t>
      </w:r>
      <w:r w:rsidR="009D5F98">
        <w:rPr>
          <w:rFonts w:eastAsia="Open Sans"/>
        </w:rPr>
        <w:t>the following</w:t>
      </w:r>
      <w:r w:rsidR="001759C8">
        <w:rPr>
          <w:rFonts w:eastAsia="Open Sans"/>
        </w:rPr>
        <w:t xml:space="preserve">, with the </w:t>
      </w:r>
      <w:r w:rsidR="00CE79D8">
        <w:rPr>
          <w:rFonts w:eastAsia="Open Sans"/>
        </w:rPr>
        <w:t>associated</w:t>
      </w:r>
      <w:r w:rsidR="001759C8">
        <w:rPr>
          <w:rFonts w:eastAsia="Open Sans"/>
        </w:rPr>
        <w:t xml:space="preserve"> number of businesses, according to </w:t>
      </w:r>
      <w:r w:rsidR="009806FA">
        <w:rPr>
          <w:rFonts w:eastAsia="Open Sans"/>
        </w:rPr>
        <w:t xml:space="preserve">U.S. </w:t>
      </w:r>
      <w:r w:rsidR="001759C8">
        <w:rPr>
          <w:rFonts w:eastAsia="Open Sans"/>
        </w:rPr>
        <w:t>Census Bureau data</w:t>
      </w:r>
      <w:r w:rsidR="009D5F98">
        <w:rPr>
          <w:rFonts w:eastAsia="Open Sans"/>
        </w:rPr>
        <w:t>:</w:t>
      </w:r>
      <w:r w:rsidR="009806FA">
        <w:rPr>
          <w:rStyle w:val="FootnoteReference"/>
          <w:rFonts w:eastAsia="Open Sans"/>
        </w:rPr>
        <w:footnoteReference w:id="88"/>
      </w:r>
      <w:r w:rsidR="009D5F98">
        <w:rPr>
          <w:rFonts w:eastAsia="Open Sans"/>
        </w:rPr>
        <w:t xml:space="preserve"> </w:t>
      </w:r>
      <w:r w:rsidR="00E875D6">
        <w:rPr>
          <w:rFonts w:eastAsia="Open Sans"/>
        </w:rPr>
        <w:t>Dallas</w:t>
      </w:r>
      <w:r w:rsidR="00CF3FF8">
        <w:rPr>
          <w:rFonts w:eastAsia="Open Sans"/>
        </w:rPr>
        <w:t xml:space="preserve"> </w:t>
      </w:r>
      <w:r w:rsidR="00B34F05">
        <w:rPr>
          <w:rFonts w:eastAsia="Open Sans"/>
        </w:rPr>
        <w:t>County</w:t>
      </w:r>
      <w:r w:rsidR="00CF3FF8">
        <w:rPr>
          <w:rFonts w:eastAsia="Open Sans"/>
        </w:rPr>
        <w:t xml:space="preserve"> (675 businesses)</w:t>
      </w:r>
      <w:r w:rsidR="00E875D6">
        <w:rPr>
          <w:rFonts w:eastAsia="Open Sans"/>
        </w:rPr>
        <w:t>, Lowndes</w:t>
      </w:r>
      <w:r w:rsidR="00F41C4D">
        <w:rPr>
          <w:rFonts w:eastAsia="Open Sans"/>
        </w:rPr>
        <w:t xml:space="preserve"> </w:t>
      </w:r>
      <w:r w:rsidR="00B34F05">
        <w:rPr>
          <w:rFonts w:eastAsia="Open Sans"/>
        </w:rPr>
        <w:t>County</w:t>
      </w:r>
      <w:r w:rsidR="00F41C4D">
        <w:rPr>
          <w:rFonts w:eastAsia="Open Sans"/>
        </w:rPr>
        <w:t xml:space="preserve"> (112 businesses)</w:t>
      </w:r>
      <w:r w:rsidR="00E875D6">
        <w:rPr>
          <w:rFonts w:eastAsia="Open Sans"/>
        </w:rPr>
        <w:t>, Perry</w:t>
      </w:r>
      <w:r w:rsidR="002D26C5">
        <w:rPr>
          <w:rFonts w:eastAsia="Open Sans"/>
        </w:rPr>
        <w:t xml:space="preserve"> </w:t>
      </w:r>
      <w:r w:rsidR="00B34F05">
        <w:rPr>
          <w:rFonts w:eastAsia="Open Sans"/>
        </w:rPr>
        <w:t>County</w:t>
      </w:r>
      <w:r w:rsidR="002D26C5">
        <w:rPr>
          <w:rFonts w:eastAsia="Open Sans"/>
        </w:rPr>
        <w:t xml:space="preserve"> (106 businesses)</w:t>
      </w:r>
      <w:r w:rsidR="00E875D6">
        <w:rPr>
          <w:rFonts w:eastAsia="Open Sans"/>
        </w:rPr>
        <w:t>, Wilcox</w:t>
      </w:r>
      <w:r w:rsidR="00727DD9">
        <w:rPr>
          <w:rFonts w:eastAsia="Open Sans"/>
        </w:rPr>
        <w:t xml:space="preserve"> </w:t>
      </w:r>
      <w:r w:rsidR="00B34F05">
        <w:rPr>
          <w:rFonts w:eastAsia="Open Sans"/>
        </w:rPr>
        <w:t>County</w:t>
      </w:r>
      <w:r w:rsidR="00727DD9">
        <w:rPr>
          <w:rFonts w:eastAsia="Open Sans"/>
        </w:rPr>
        <w:t xml:space="preserve"> (180 businesses)</w:t>
      </w:r>
      <w:r w:rsidR="00434F40">
        <w:rPr>
          <w:rFonts w:eastAsia="Open Sans"/>
        </w:rPr>
        <w:t>,</w:t>
      </w:r>
      <w:r w:rsidR="00E875D6">
        <w:rPr>
          <w:rFonts w:eastAsia="Open Sans"/>
        </w:rPr>
        <w:t xml:space="preserve"> </w:t>
      </w:r>
      <w:r w:rsidR="005265AE">
        <w:rPr>
          <w:rFonts w:eastAsia="Open Sans"/>
        </w:rPr>
        <w:t>the City of</w:t>
      </w:r>
      <w:r w:rsidR="00E875D6">
        <w:rPr>
          <w:rFonts w:eastAsia="Open Sans"/>
        </w:rPr>
        <w:t xml:space="preserve"> Prichard</w:t>
      </w:r>
      <w:r w:rsidR="005075DF">
        <w:rPr>
          <w:rFonts w:eastAsia="Open Sans"/>
        </w:rPr>
        <w:t xml:space="preserve"> </w:t>
      </w:r>
      <w:r w:rsidR="008177CE">
        <w:rPr>
          <w:rFonts w:eastAsia="Open Sans"/>
        </w:rPr>
        <w:t>(224 businesses as of 2017)</w:t>
      </w:r>
      <w:r w:rsidR="000B0BAD">
        <w:rPr>
          <w:rFonts w:eastAsia="Open Sans"/>
        </w:rPr>
        <w:t xml:space="preserve"> </w:t>
      </w:r>
      <w:r w:rsidR="005075DF">
        <w:rPr>
          <w:rFonts w:eastAsia="Open Sans"/>
        </w:rPr>
        <w:t>in Mobile County</w:t>
      </w:r>
      <w:r w:rsidR="00434F40">
        <w:rPr>
          <w:rFonts w:eastAsia="Open Sans"/>
        </w:rPr>
        <w:t>,</w:t>
      </w:r>
      <w:r w:rsidR="005075DF">
        <w:rPr>
          <w:rFonts w:eastAsia="Open Sans"/>
        </w:rPr>
        <w:t xml:space="preserve"> and </w:t>
      </w:r>
      <w:r w:rsidR="005A27EB">
        <w:rPr>
          <w:rFonts w:eastAsia="Open Sans"/>
        </w:rPr>
        <w:t>the City of</w:t>
      </w:r>
      <w:r w:rsidR="005075DF">
        <w:rPr>
          <w:rFonts w:eastAsia="Open Sans"/>
        </w:rPr>
        <w:t xml:space="preserve"> Selma </w:t>
      </w:r>
      <w:r w:rsidR="008177CE">
        <w:rPr>
          <w:rFonts w:eastAsia="Open Sans"/>
        </w:rPr>
        <w:t xml:space="preserve">(452 businesses as of 2017) </w:t>
      </w:r>
      <w:r w:rsidR="005075DF">
        <w:rPr>
          <w:rFonts w:eastAsia="Open Sans"/>
        </w:rPr>
        <w:t>in Dallas County.</w:t>
      </w:r>
      <w:r w:rsidR="000B0BAD">
        <w:rPr>
          <w:rFonts w:eastAsia="Open Sans"/>
        </w:rPr>
        <w:t xml:space="preserve"> The total number of LSA</w:t>
      </w:r>
      <w:r w:rsidR="00620B3A">
        <w:rPr>
          <w:rFonts w:eastAsia="Open Sans"/>
        </w:rPr>
        <w:t xml:space="preserve"> firms</w:t>
      </w:r>
      <w:r w:rsidR="000B0BAD">
        <w:rPr>
          <w:rFonts w:eastAsia="Open Sans"/>
        </w:rPr>
        <w:t xml:space="preserve"> is approximately </w:t>
      </w:r>
      <w:r w:rsidR="000E45DE">
        <w:rPr>
          <w:rFonts w:eastAsia="Open Sans"/>
        </w:rPr>
        <w:t>1,</w:t>
      </w:r>
      <w:r w:rsidR="00225CA2">
        <w:rPr>
          <w:rFonts w:eastAsia="Open Sans"/>
        </w:rPr>
        <w:t>297</w:t>
      </w:r>
      <w:r w:rsidR="00A12743">
        <w:rPr>
          <w:rFonts w:eastAsia="Open Sans"/>
        </w:rPr>
        <w:t xml:space="preserve"> (assuming that all City of Selma businesses are included in the total for Dallas County)</w:t>
      </w:r>
      <w:r w:rsidR="000E45DE">
        <w:rPr>
          <w:rFonts w:eastAsia="Open Sans"/>
        </w:rPr>
        <w:t>.</w:t>
      </w:r>
    </w:p>
    <w:p w:rsidR="00E65515" w:rsidP="006F78D2" w:rsidRDefault="00867C6F" w14:paraId="7007C35E" w14:textId="5B5C9B7F">
      <w:pPr>
        <w:pStyle w:val="Heading3"/>
        <w:numPr>
          <w:ilvl w:val="2"/>
          <w:numId w:val="23"/>
        </w:numPr>
      </w:pPr>
      <w:bookmarkStart w:name="_Toc150852673" w:id="226"/>
      <w:r>
        <w:t xml:space="preserve">Place qualified small and </w:t>
      </w:r>
      <w:r w:rsidR="00EC58A7">
        <w:t>minority businesses and women’s business enterprises on solicitation lists</w:t>
      </w:r>
      <w:bookmarkEnd w:id="226"/>
    </w:p>
    <w:p w:rsidRPr="00EC58A7" w:rsidR="00EC58A7" w:rsidP="00EC58A7" w:rsidRDefault="00E42727" w14:paraId="4A7A1022" w14:textId="560F3B1C">
      <w:r>
        <w:t>ADECA’s</w:t>
      </w:r>
      <w:r w:rsidR="6424E085">
        <w:t xml:space="preserve"> efforts will encompass placing qualified small, minority, and women’s business enterprises on solicitation lists for ADECA</w:t>
      </w:r>
      <w:r w:rsidR="001D4C7A">
        <w:t>-</w:t>
      </w:r>
      <w:r w:rsidR="6424E085">
        <w:t xml:space="preserve">funded solicitations, ensuring they are solicited whenever they are potential sources. Additionally, ADECA will work in conjunction with the </w:t>
      </w:r>
      <w:r w:rsidR="009C58C3">
        <w:t xml:space="preserve">U.S. </w:t>
      </w:r>
      <w:r w:rsidR="6424E085">
        <w:t xml:space="preserve">Department of Commerce, </w:t>
      </w:r>
      <w:r w:rsidR="001E638A">
        <w:t>AOMA</w:t>
      </w:r>
      <w:r w:rsidR="6424E085">
        <w:t xml:space="preserve">, and ALDOT to deliver regional MBE/WBE business development events and outreach, including training sessions, webinars, mentorship opportunities, and programs aimed at connecting MBEs/WBEs with Alabama </w:t>
      </w:r>
      <w:r w:rsidR="004625F1">
        <w:t>s</w:t>
      </w:r>
      <w:r w:rsidR="6424E085">
        <w:t>tate agencies, authorities, and local contracting opportunities.</w:t>
      </w:r>
    </w:p>
    <w:p w:rsidR="00EC58A7" w:rsidP="006F78D2" w:rsidRDefault="00EC58A7" w14:paraId="0CE413EA" w14:textId="3F4ED168">
      <w:pPr>
        <w:pStyle w:val="Heading3"/>
        <w:numPr>
          <w:ilvl w:val="2"/>
          <w:numId w:val="23"/>
        </w:numPr>
      </w:pPr>
      <w:bookmarkStart w:name="_Toc150852674" w:id="227"/>
      <w:r>
        <w:t xml:space="preserve">Assure that small and minority businesses and </w:t>
      </w:r>
      <w:r w:rsidR="00A67DE7">
        <w:t>women’s business enterprises are solicited whenever they are potential sources</w:t>
      </w:r>
      <w:bookmarkEnd w:id="227"/>
    </w:p>
    <w:p w:rsidR="00A67DE7" w:rsidP="4DAB7B41" w:rsidRDefault="2AE55DD2" w14:paraId="1A579FDA" w14:textId="2F6A0E3D">
      <w:r>
        <w:t xml:space="preserve">ADECA, with the support of </w:t>
      </w:r>
      <w:r w:rsidR="001E638A">
        <w:t>AOMA</w:t>
      </w:r>
      <w:r>
        <w:t xml:space="preserve">, will work closely with subgrantees to maximize the utilization of qualified MBEs, WBEs, and </w:t>
      </w:r>
      <w:r w:rsidR="00FE49CD">
        <w:t>LSA</w:t>
      </w:r>
      <w:r>
        <w:t xml:space="preserve"> firms by providing training and opportunities to connect with these certified enterprises.</w:t>
      </w:r>
      <w:r w:rsidR="00BF7CA2">
        <w:t xml:space="preserve"> </w:t>
      </w:r>
      <w:r>
        <w:t xml:space="preserve">Presently, </w:t>
      </w:r>
      <w:r w:rsidR="001E638A">
        <w:t>AOMA</w:t>
      </w:r>
      <w:r>
        <w:t xml:space="preserve"> coordinates with other state agencies to ensure support is provided for </w:t>
      </w:r>
      <w:r w:rsidR="00AF6C9F">
        <w:t>M</w:t>
      </w:r>
      <w:r>
        <w:t xml:space="preserve">BEs/WBEs. </w:t>
      </w:r>
      <w:r w:rsidR="001E638A">
        <w:t>AOMA</w:t>
      </w:r>
      <w:r>
        <w:t xml:space="preserve"> is dedicated to raising the voices of these communities, </w:t>
      </w:r>
      <w:proofErr w:type="gramStart"/>
      <w:r>
        <w:t>aiding</w:t>
      </w:r>
      <w:proofErr w:type="gramEnd"/>
      <w:r>
        <w:t xml:space="preserve"> and connecting </w:t>
      </w:r>
      <w:r w:rsidR="0088547A">
        <w:t>M</w:t>
      </w:r>
      <w:r>
        <w:t>BEs/WBEs with opportunities provided by the state</w:t>
      </w:r>
      <w:r w:rsidR="00B23F92">
        <w:t>.</w:t>
      </w:r>
      <w:r w:rsidRPr="4DAB7B41" w:rsidR="00A67DE7">
        <w:rPr>
          <w:vertAlign w:val="superscript"/>
        </w:rPr>
        <w:footnoteReference w:id="89"/>
      </w:r>
    </w:p>
    <w:p w:rsidR="00A67DE7" w:rsidP="006F78D2" w:rsidRDefault="00A67DE7" w14:paraId="612A1551" w14:textId="2373845B">
      <w:pPr>
        <w:pStyle w:val="Heading3"/>
        <w:numPr>
          <w:ilvl w:val="2"/>
          <w:numId w:val="23"/>
        </w:numPr>
      </w:pPr>
      <w:bookmarkStart w:name="_Toc150852675" w:id="228"/>
      <w:r>
        <w:t>Divide total requirements, when economically feasible, into smaller tasks or quantities to permit maximum participation by small and min</w:t>
      </w:r>
      <w:r w:rsidR="00A50BE9">
        <w:t>ority businesses and women’s business enterprises</w:t>
      </w:r>
      <w:bookmarkEnd w:id="228"/>
    </w:p>
    <w:p w:rsidR="00A50BE9" w:rsidP="00A50BE9" w:rsidRDefault="4EBF19DE" w14:paraId="3353FD72" w14:textId="16F839A1">
      <w:r>
        <w:t xml:space="preserve">By dividing total requirements into smaller tasks or quantities and establishing delivery schedules conducive to participation by small and minority businesses and women’s business enterprises, ADECA aims to promote a more inclusive economic environment in Alabama. Through these efforts, ADECA will maximize participation by small and </w:t>
      </w:r>
      <w:r w:rsidR="004625F1">
        <w:t>s</w:t>
      </w:r>
      <w:r>
        <w:t>tate</w:t>
      </w:r>
      <w:r w:rsidR="0088547A">
        <w:t>-</w:t>
      </w:r>
      <w:r>
        <w:t>certified minority</w:t>
      </w:r>
      <w:r w:rsidR="0088547A">
        <w:t>-</w:t>
      </w:r>
      <w:r>
        <w:t>owned as well as women’s business enterprises.</w:t>
      </w:r>
    </w:p>
    <w:p w:rsidR="00A50BE9" w:rsidP="006F78D2" w:rsidRDefault="00B92323" w14:paraId="2B91026B" w14:textId="42CCA729">
      <w:pPr>
        <w:pStyle w:val="Heading3"/>
        <w:numPr>
          <w:ilvl w:val="2"/>
          <w:numId w:val="23"/>
        </w:numPr>
      </w:pPr>
      <w:bookmarkStart w:name="_Toc150852676" w:id="229"/>
      <w:r>
        <w:t xml:space="preserve">Establish </w:t>
      </w:r>
      <w:r w:rsidR="005F7126">
        <w:t>delivery schedules, where the requirements permit, which encourage participation by small and minority businesses and women’s business enterprises</w:t>
      </w:r>
      <w:bookmarkEnd w:id="229"/>
    </w:p>
    <w:p w:rsidR="005F7126" w:rsidP="005F7126" w:rsidRDefault="52EC7C69" w14:paraId="4AACEE1E" w14:textId="40359700">
      <w:r>
        <w:t>Where requirements permit, ADECA will establish delivery schedules to encourage participation by small and minority businesses and women’s business enterprises. ADECA will also seek to be flexible with its requirements to enable greater MBE/WBE engagement.</w:t>
      </w:r>
    </w:p>
    <w:p w:rsidR="00B12FA9" w:rsidP="006F78D2" w:rsidRDefault="00B12FA9" w14:paraId="2C319A1C" w14:textId="20246D30">
      <w:pPr>
        <w:pStyle w:val="Heading3"/>
        <w:numPr>
          <w:ilvl w:val="2"/>
          <w:numId w:val="23"/>
        </w:numPr>
      </w:pPr>
      <w:bookmarkStart w:name="_Toc150852677" w:id="230"/>
      <w:r>
        <w:t>Use the services and assistance, as appropriate, of such organizations as the Small Business Administration</w:t>
      </w:r>
      <w:r w:rsidR="00E67D41">
        <w:t xml:space="preserve">, </w:t>
      </w:r>
      <w:r>
        <w:t>the Minority Business Development Agency of the Department of Commerce</w:t>
      </w:r>
      <w:r w:rsidR="00E67D41">
        <w:t>, and ADECA</w:t>
      </w:r>
      <w:bookmarkEnd w:id="230"/>
    </w:p>
    <w:p w:rsidR="001D1A83" w:rsidP="4DAB7B41" w:rsidRDefault="5D5515C9" w14:paraId="0E296224" w14:textId="4685127E">
      <w:r>
        <w:t xml:space="preserve">Through partnerships with organizations such as the Small Business Administration </w:t>
      </w:r>
      <w:r w:rsidR="00D83543">
        <w:t>(SBA)</w:t>
      </w:r>
      <w:r>
        <w:t xml:space="preserve"> and the Minority Business Development Agency</w:t>
      </w:r>
      <w:r w:rsidR="00181ED3">
        <w:t xml:space="preserve"> (MBDA)</w:t>
      </w:r>
      <w:r>
        <w:t>, ADECA will facilitate the provision of necessary resources and support to these enterprises, thus fostering a thriving and diverse business community in Alabama.</w:t>
      </w:r>
      <w:r w:rsidR="008735C9">
        <w:t xml:space="preserve"> </w:t>
      </w:r>
      <w:r>
        <w:t>The State of Alabama, in close cooperation with the MBDA, operates an MBDA Business Center in Birmingham</w:t>
      </w:r>
      <w:r w:rsidR="00B23F92">
        <w:t>.</w:t>
      </w:r>
      <w:r w:rsidRPr="4DAB7B41" w:rsidR="00B12FA9">
        <w:rPr>
          <w:vertAlign w:val="superscript"/>
        </w:rPr>
        <w:footnoteReference w:id="90"/>
      </w:r>
      <w:r w:rsidR="0027342C">
        <w:t xml:space="preserve"> </w:t>
      </w:r>
      <w:r>
        <w:t>Additionally, Alabama provides entrepreneurial programs and business coaching to MBE organizations through The Dannon Project, a recognized MBDA program</w:t>
      </w:r>
      <w:r w:rsidR="00B23F92">
        <w:t>.</w:t>
      </w:r>
      <w:r w:rsidR="00B12FA9">
        <w:rPr>
          <w:rStyle w:val="FootnoteReference"/>
        </w:rPr>
        <w:footnoteReference w:id="91"/>
      </w:r>
      <w:r w:rsidR="009616CC">
        <w:t xml:space="preserve"> </w:t>
      </w:r>
      <w:r w:rsidR="00252EEC">
        <w:t>ADECA’s</w:t>
      </w:r>
      <w:r w:rsidR="009616CC">
        <w:t xml:space="preserve"> </w:t>
      </w:r>
      <w:r w:rsidR="00DC4C3A">
        <w:t>OMBE</w:t>
      </w:r>
      <w:r w:rsidR="00252EEC">
        <w:t xml:space="preserve"> </w:t>
      </w:r>
      <w:r w:rsidR="00AA278C">
        <w:t>works closely with the Office of Small Business Advocacy of Alabama</w:t>
      </w:r>
      <w:r w:rsidR="00E16CE8">
        <w:t>, part of the Alabama Department of Commerce</w:t>
      </w:r>
      <w:r w:rsidR="005A154B">
        <w:t>.</w:t>
      </w:r>
      <w:r w:rsidR="005A154B">
        <w:rPr>
          <w:rStyle w:val="FootnoteReference"/>
        </w:rPr>
        <w:footnoteReference w:id="92"/>
      </w:r>
      <w:r w:rsidR="0005330C">
        <w:t xml:space="preserve"> </w:t>
      </w:r>
      <w:r w:rsidR="001D1A83">
        <w:t xml:space="preserve">ADECA </w:t>
      </w:r>
      <w:r w:rsidR="009A6974">
        <w:t>also</w:t>
      </w:r>
      <w:r w:rsidR="001D1A83">
        <w:t xml:space="preserve"> will work with the Alabama district of the </w:t>
      </w:r>
      <w:r w:rsidR="00D83543">
        <w:t>SBA</w:t>
      </w:r>
      <w:r w:rsidR="0005330C">
        <w:t>,</w:t>
      </w:r>
      <w:r w:rsidR="001D1A83">
        <w:rPr>
          <w:rStyle w:val="FootnoteReference"/>
        </w:rPr>
        <w:footnoteReference w:id="93"/>
      </w:r>
      <w:r w:rsidR="0005330C">
        <w:t xml:space="preserve"> which </w:t>
      </w:r>
      <w:r w:rsidR="00DA358B">
        <w:t>offers small business loans and provides online links to relevant resources.</w:t>
      </w:r>
      <w:r w:rsidR="00DA358B">
        <w:rPr>
          <w:rStyle w:val="FootnoteReference"/>
        </w:rPr>
        <w:footnoteReference w:id="94"/>
      </w:r>
    </w:p>
    <w:p w:rsidRPr="00B12FA9" w:rsidR="00B12FA9" w:rsidP="006F78D2" w:rsidRDefault="00B12FA9" w14:paraId="04140D63" w14:textId="0F5D249C">
      <w:pPr>
        <w:pStyle w:val="Heading3"/>
        <w:numPr>
          <w:ilvl w:val="2"/>
          <w:numId w:val="23"/>
        </w:numPr>
      </w:pPr>
      <w:bookmarkStart w:name="_Toc150852678" w:id="231"/>
      <w:r>
        <w:t>Require each subgrantee to take these affirmative steps as they relate to its subcontractors</w:t>
      </w:r>
      <w:bookmarkEnd w:id="231"/>
    </w:p>
    <w:p w:rsidR="00EC58A7" w:rsidP="00EC58A7" w:rsidRDefault="007B7857" w14:paraId="4A9BDD9A" w14:textId="14B27DE8">
      <w:r>
        <w:t xml:space="preserve">As part of the BEAD subgrant agreement, </w:t>
      </w:r>
      <w:r w:rsidR="20EAAA66">
        <w:t xml:space="preserve">ADECA will </w:t>
      </w:r>
      <w:r w:rsidR="008651E8">
        <w:t>require</w:t>
      </w:r>
      <w:r>
        <w:t xml:space="preserve"> </w:t>
      </w:r>
      <w:r w:rsidR="008651E8">
        <w:t>subgrantees</w:t>
      </w:r>
      <w:r w:rsidR="00995926">
        <w:t xml:space="preserve"> to comply with all applicable laws </w:t>
      </w:r>
      <w:r w:rsidR="00AF6E21">
        <w:t>related to contracting with small</w:t>
      </w:r>
      <w:r w:rsidR="00BE33AE">
        <w:t xml:space="preserve"> businesses, MBEs</w:t>
      </w:r>
      <w:r w:rsidR="00BC0D74">
        <w:t>,</w:t>
      </w:r>
      <w:r w:rsidR="00BE33AE">
        <w:t xml:space="preserve"> WBEs, and LSA firms, including but no</w:t>
      </w:r>
      <w:r w:rsidR="0048095B">
        <w:t>t limited to the requirements set forth in 2 C.F.R. § 200.321.</w:t>
      </w:r>
      <w:r w:rsidR="008651E8">
        <w:t xml:space="preserve"> </w:t>
      </w:r>
      <w:r w:rsidR="20EAAA66">
        <w:t xml:space="preserve">ADECA will work with subgrantees to ensure that they take </w:t>
      </w:r>
      <w:r w:rsidR="006262DA">
        <w:t xml:space="preserve">the necessary affirmative </w:t>
      </w:r>
      <w:r w:rsidR="20EAAA66">
        <w:t xml:space="preserve">steps to </w:t>
      </w:r>
      <w:r w:rsidR="00D1441B">
        <w:t>use</w:t>
      </w:r>
      <w:r w:rsidR="20EAAA66">
        <w:t xml:space="preserve"> qualified MBE</w:t>
      </w:r>
      <w:r w:rsidR="00074AA1">
        <w:t xml:space="preserve">s, </w:t>
      </w:r>
      <w:r w:rsidR="20EAAA66">
        <w:t>WBEs</w:t>
      </w:r>
      <w:r w:rsidR="00074AA1">
        <w:t>,</w:t>
      </w:r>
      <w:r w:rsidR="20EAAA66">
        <w:t xml:space="preserve"> and </w:t>
      </w:r>
      <w:r w:rsidR="006764D7">
        <w:t>LSA</w:t>
      </w:r>
      <w:r w:rsidR="20EAAA66">
        <w:t xml:space="preserve"> firms whenever possible. This concerted effort will not only contribute to the economic growth of Alabama but also build a more equitable and inclusive business landscape in the state. ADECA may take steps that include, but are not limited to:</w:t>
      </w:r>
    </w:p>
    <w:p w:rsidR="00EC58A7" w:rsidP="4DAB7B41" w:rsidRDefault="20EAAA66" w14:paraId="5433064E" w14:textId="32BA83F3">
      <w:pPr>
        <w:pStyle w:val="ListParagraph"/>
        <w:numPr>
          <w:ilvl w:val="0"/>
          <w:numId w:val="1"/>
        </w:numPr>
      </w:pPr>
      <w:r>
        <w:t>Providing subgrantees with training and opportunities to connect with qualified MBEs, WBEs, and LSA</w:t>
      </w:r>
      <w:r w:rsidR="00076AB4">
        <w:t xml:space="preserve"> firms</w:t>
      </w:r>
      <w:r>
        <w:t xml:space="preserve"> </w:t>
      </w:r>
    </w:p>
    <w:p w:rsidR="00EC58A7" w:rsidP="4DAB7B41" w:rsidRDefault="20EAAA66" w14:paraId="716EA7C5" w14:textId="5F8B1D61">
      <w:pPr>
        <w:pStyle w:val="ListParagraph"/>
        <w:numPr>
          <w:ilvl w:val="0"/>
          <w:numId w:val="1"/>
        </w:numPr>
      </w:pPr>
      <w:r>
        <w:t xml:space="preserve">Demonstrating diversity in suppliers and equitable procurement practices </w:t>
      </w:r>
    </w:p>
    <w:p w:rsidR="00EC58A7" w:rsidP="4DAB7B41" w:rsidRDefault="002052B4" w14:paraId="47C7E571" w14:textId="41C3862F">
      <w:pPr>
        <w:pStyle w:val="ListParagraph"/>
        <w:numPr>
          <w:ilvl w:val="0"/>
          <w:numId w:val="1"/>
        </w:numPr>
      </w:pPr>
      <w:r>
        <w:t>Requesting f</w:t>
      </w:r>
      <w:r w:rsidR="20EAAA66">
        <w:t xml:space="preserve">ormal </w:t>
      </w:r>
      <w:r w:rsidR="00500BC7">
        <w:t>assurance</w:t>
      </w:r>
      <w:r w:rsidR="20EAAA66">
        <w:t xml:space="preserve"> from subgrantee confirming organizational commitment to supplier diversity</w:t>
      </w:r>
      <w:r w:rsidR="001E638A">
        <w:t>,</w:t>
      </w:r>
      <w:r w:rsidR="20EAAA66">
        <w:t xml:space="preserve"> equity</w:t>
      </w:r>
      <w:r w:rsidR="001E638A">
        <w:t>, and</w:t>
      </w:r>
      <w:r w:rsidR="20EAAA66">
        <w:t xml:space="preserve"> inclusion </w:t>
      </w:r>
    </w:p>
    <w:p w:rsidR="00EC58A7" w:rsidP="4DAB7B41" w:rsidRDefault="20EAAA66" w14:paraId="0A9A1D51" w14:textId="744E7483">
      <w:pPr>
        <w:pStyle w:val="ListParagraph"/>
        <w:numPr>
          <w:ilvl w:val="0"/>
          <w:numId w:val="1"/>
        </w:numPr>
      </w:pPr>
      <w:r>
        <w:t>Reporting requirements regarding supplier diversity</w:t>
      </w:r>
    </w:p>
    <w:p w:rsidRPr="00EC58A7" w:rsidR="002579FB" w:rsidP="006F78D2" w:rsidRDefault="00F605BC" w14:paraId="26967ED7" w14:textId="08A80521">
      <w:pPr>
        <w:pStyle w:val="Heading2"/>
        <w:numPr>
          <w:ilvl w:val="1"/>
          <w:numId w:val="23"/>
        </w:numPr>
      </w:pPr>
      <w:bookmarkStart w:name="_Toc150852679" w:id="232"/>
      <w:r>
        <w:t>Certification</w:t>
      </w:r>
      <w:bookmarkEnd w:id="232"/>
    </w:p>
    <w:p w:rsidR="4DAB7B41" w:rsidP="21D508D6" w:rsidRDefault="00836402" w14:paraId="46852C6C" w14:textId="0F994AE9">
      <w:r>
        <w:t>ADECA</w:t>
      </w:r>
      <w:r w:rsidDel="00836402" w:rsidR="59E7DEFF">
        <w:t xml:space="preserve"> </w:t>
      </w:r>
      <w:r w:rsidR="59E7DEFF">
        <w:t>certifies that it will</w:t>
      </w:r>
      <w:r w:rsidR="006727E4">
        <w:t xml:space="preserve"> take all necessary affirmative steps to </w:t>
      </w:r>
      <w:r w:rsidRPr="00E54D89" w:rsidR="00E54D89">
        <w:t xml:space="preserve">ensure </w:t>
      </w:r>
      <w:r w:rsidR="00E54D89">
        <w:t>MBEs</w:t>
      </w:r>
      <w:r w:rsidRPr="00E54D89" w:rsidR="00E54D89">
        <w:t xml:space="preserve">, </w:t>
      </w:r>
      <w:r w:rsidR="00E54D89">
        <w:t>WBEs</w:t>
      </w:r>
      <w:r w:rsidRPr="00E54D89" w:rsidR="00E54D89">
        <w:t xml:space="preserve">, and </w:t>
      </w:r>
      <w:r w:rsidR="00E54D89">
        <w:t>LSA</w:t>
      </w:r>
      <w:r w:rsidRPr="00E54D89" w:rsidR="00E54D89">
        <w:t xml:space="preserve"> firms are used when possible, including the following </w:t>
      </w:r>
      <w:r w:rsidR="00241875">
        <w:t xml:space="preserve">actions </w:t>
      </w:r>
      <w:r w:rsidRPr="00E54D89" w:rsidR="00E54D89">
        <w:t xml:space="preserve">outlined </w:t>
      </w:r>
      <w:r w:rsidR="00241875">
        <w:t xml:space="preserve">in </w:t>
      </w:r>
      <w:r w:rsidRPr="00E54D89" w:rsidR="00E54D89">
        <w:t>the BEAD NOFO</w:t>
      </w:r>
      <w:r w:rsidR="59E7DEFF">
        <w:t>:</w:t>
      </w:r>
    </w:p>
    <w:p w:rsidR="4DAB7B41" w:rsidP="00023232" w:rsidRDefault="00F91B20" w14:paraId="56C60E91" w14:textId="684DB8F0">
      <w:pPr>
        <w:ind w:left="720" w:hanging="720"/>
      </w:pPr>
      <w:sdt>
        <w:sdtPr>
          <w:id w:val="74645948"/>
          <w14:checkbox>
            <w14:checked w14:val="0"/>
            <w14:checkedState w14:val="2612" w14:font="MS Gothic"/>
            <w14:uncheckedState w14:val="2610" w14:font="MS Gothic"/>
          </w14:checkbox>
        </w:sdtPr>
        <w:sdtContent>
          <w:r w:rsidR="00622B19">
            <w:rPr>
              <w:rFonts w:ascii="Wingdings 2" w:hAnsi="Wingdings 2" w:eastAsia="Wingdings 2" w:cs="Wingdings 2"/>
            </w:rPr>
            <w:t>R</w:t>
          </w:r>
        </w:sdtContent>
      </w:sdt>
      <w:r w:rsidR="00622B19">
        <w:tab/>
      </w:r>
      <w:r w:rsidR="59E7DEFF">
        <w:t>Plac</w:t>
      </w:r>
      <w:r w:rsidR="00BE7F9E">
        <w:t>ing</w:t>
      </w:r>
      <w:r w:rsidR="59E7DEFF">
        <w:t xml:space="preserve"> qualified small and minority businesses and women’s business enterprises on solicitation lists</w:t>
      </w:r>
      <w:r w:rsidR="00F12E30">
        <w:t xml:space="preserve"> </w:t>
      </w:r>
    </w:p>
    <w:p w:rsidR="59E7DEFF" w:rsidP="00023232" w:rsidRDefault="00F91B20" w14:paraId="5C41C262" w14:textId="705AB4CD">
      <w:pPr>
        <w:ind w:left="720" w:hanging="720"/>
      </w:pPr>
      <w:sdt>
        <w:sdtPr>
          <w:id w:val="1153025686"/>
          <w14:checkbox>
            <w14:checked w14:val="0"/>
            <w14:checkedState w14:val="2612" w14:font="MS Gothic"/>
            <w14:uncheckedState w14:val="2610" w14:font="MS Gothic"/>
          </w14:checkbox>
        </w:sdtPr>
        <w:sdtContent>
          <w:r w:rsidR="00622B19">
            <w:rPr>
              <w:rFonts w:ascii="Wingdings 2" w:hAnsi="Wingdings 2" w:eastAsia="Wingdings 2" w:cs="Wingdings 2"/>
            </w:rPr>
            <w:t>R</w:t>
          </w:r>
        </w:sdtContent>
      </w:sdt>
      <w:r w:rsidR="00622B19">
        <w:tab/>
      </w:r>
      <w:r w:rsidRPr="21D508D6" w:rsidR="59E7DEFF">
        <w:t>Assur</w:t>
      </w:r>
      <w:r w:rsidR="00BE7F9E">
        <w:t>ing</w:t>
      </w:r>
      <w:r w:rsidRPr="21D508D6" w:rsidR="59E7DEFF">
        <w:t xml:space="preserve"> that small and minority businesses and women’s business enterprises are solicited whenever they are potential sources </w:t>
      </w:r>
    </w:p>
    <w:p w:rsidR="00622B19" w:rsidP="00023232" w:rsidRDefault="00F91B20" w14:paraId="3774ABB5" w14:textId="5B320FFE">
      <w:pPr>
        <w:ind w:left="720" w:hanging="720"/>
      </w:pPr>
      <w:sdt>
        <w:sdtPr>
          <w:id w:val="-421952561"/>
          <w14:checkbox>
            <w14:checked w14:val="0"/>
            <w14:checkedState w14:val="2612" w14:font="MS Gothic"/>
            <w14:uncheckedState w14:val="2610" w14:font="MS Gothic"/>
          </w14:checkbox>
        </w:sdtPr>
        <w:sdtContent>
          <w:r w:rsidR="00622B19">
            <w:rPr>
              <w:rFonts w:ascii="Wingdings 2" w:hAnsi="Wingdings 2" w:eastAsia="Wingdings 2" w:cs="Wingdings 2"/>
            </w:rPr>
            <w:t>R</w:t>
          </w:r>
        </w:sdtContent>
      </w:sdt>
      <w:r w:rsidR="00622B19">
        <w:tab/>
      </w:r>
      <w:r w:rsidRPr="21D508D6" w:rsidR="59E7DEFF">
        <w:t>Divid</w:t>
      </w:r>
      <w:r w:rsidR="00BE7F9E">
        <w:t>ing</w:t>
      </w:r>
      <w:r w:rsidRPr="21D508D6" w:rsidR="59E7DEFF">
        <w:t xml:space="preserve"> total requirements, when economically feasible, into smaller tasks or quantities to permit maximum participation by small and minority businesses and women’s business enterprises</w:t>
      </w:r>
    </w:p>
    <w:p w:rsidR="59E7DEFF" w:rsidP="00023232" w:rsidRDefault="00F91B20" w14:paraId="279D9645" w14:textId="3003B1DE">
      <w:pPr>
        <w:ind w:left="720" w:hanging="720"/>
      </w:pPr>
      <w:sdt>
        <w:sdtPr>
          <w:id w:val="601379211"/>
          <w14:checkbox>
            <w14:checked w14:val="0"/>
            <w14:checkedState w14:val="2612" w14:font="MS Gothic"/>
            <w14:uncheckedState w14:val="2610" w14:font="MS Gothic"/>
          </w14:checkbox>
        </w:sdtPr>
        <w:sdtContent>
          <w:r w:rsidR="00622B19">
            <w:rPr>
              <w:rFonts w:ascii="Wingdings 2" w:hAnsi="Wingdings 2" w:eastAsia="Wingdings 2" w:cs="Wingdings 2"/>
            </w:rPr>
            <w:t>R</w:t>
          </w:r>
        </w:sdtContent>
      </w:sdt>
      <w:r w:rsidR="00622B19">
        <w:tab/>
      </w:r>
      <w:r w:rsidRPr="21D508D6" w:rsidR="59E7DEFF">
        <w:t>Establish</w:t>
      </w:r>
      <w:r w:rsidR="00BE7F9E">
        <w:t>ing</w:t>
      </w:r>
      <w:r w:rsidRPr="21D508D6" w:rsidR="59E7DEFF">
        <w:t xml:space="preserve"> delivery schedules, where the requirement permit</w:t>
      </w:r>
      <w:r w:rsidR="00812BDC">
        <w:t>s</w:t>
      </w:r>
      <w:r w:rsidRPr="21D508D6" w:rsidR="59E7DEFF">
        <w:t>, which encourage participation by small and minority businesses and women’s business enterprises</w:t>
      </w:r>
    </w:p>
    <w:p w:rsidR="59E7DEFF" w:rsidP="00023232" w:rsidRDefault="00F91B20" w14:paraId="3E5C81B6" w14:textId="21560CDA">
      <w:pPr>
        <w:ind w:left="720" w:hanging="720"/>
      </w:pPr>
      <w:sdt>
        <w:sdtPr>
          <w:id w:val="-1936118972"/>
          <w14:checkbox>
            <w14:checked w14:val="0"/>
            <w14:checkedState w14:val="2612" w14:font="MS Gothic"/>
            <w14:uncheckedState w14:val="2610" w14:font="MS Gothic"/>
          </w14:checkbox>
        </w:sdtPr>
        <w:sdtContent>
          <w:r w:rsidR="00622B19">
            <w:rPr>
              <w:rFonts w:ascii="Wingdings 2" w:hAnsi="Wingdings 2" w:eastAsia="Wingdings 2" w:cs="Wingdings 2"/>
            </w:rPr>
            <w:t>R</w:t>
          </w:r>
        </w:sdtContent>
      </w:sdt>
      <w:r w:rsidR="00622B19">
        <w:tab/>
      </w:r>
      <w:r w:rsidRPr="21D508D6" w:rsidR="59E7DEFF">
        <w:t>Us</w:t>
      </w:r>
      <w:r w:rsidR="00812BDC">
        <w:t>ing</w:t>
      </w:r>
      <w:r w:rsidRPr="21D508D6" w:rsidR="59E7DEFF">
        <w:t xml:space="preserve"> the services and assistance, as appropriate, of such organizations as the Small Business Administration and the Minority Business Development Agency of the Department of Commerce</w:t>
      </w:r>
    </w:p>
    <w:p w:rsidRPr="00622B19" w:rsidR="000207A3" w:rsidP="00023232" w:rsidRDefault="00F91B20" w14:paraId="74D8253C" w14:textId="47C06B18">
      <w:pPr>
        <w:ind w:left="720" w:hanging="720"/>
      </w:pPr>
      <w:sdt>
        <w:sdtPr>
          <w:id w:val="-1681277486"/>
          <w14:checkbox>
            <w14:checked w14:val="0"/>
            <w14:checkedState w14:val="2612" w14:font="MS Gothic"/>
            <w14:uncheckedState w14:val="2610" w14:font="MS Gothic"/>
          </w14:checkbox>
        </w:sdtPr>
        <w:sdtContent>
          <w:r w:rsidR="00622B19">
            <w:rPr>
              <w:rFonts w:ascii="Wingdings 2" w:hAnsi="Wingdings 2" w:eastAsia="Wingdings 2" w:cs="Wingdings 2"/>
            </w:rPr>
            <w:t>R</w:t>
          </w:r>
        </w:sdtContent>
      </w:sdt>
      <w:r w:rsidR="00622B19">
        <w:tab/>
      </w:r>
      <w:r w:rsidRPr="21D508D6" w:rsidR="59E7DEFF">
        <w:t>Requir</w:t>
      </w:r>
      <w:r w:rsidR="00812BDC">
        <w:t>ing</w:t>
      </w:r>
      <w:r w:rsidRPr="21D508D6" w:rsidR="59E7DEFF">
        <w:t xml:space="preserve"> subgrantee</w:t>
      </w:r>
      <w:r w:rsidR="00812BDC">
        <w:t>s</w:t>
      </w:r>
      <w:r w:rsidRPr="21D508D6" w:rsidR="59E7DEFF">
        <w:t xml:space="preserve"> to take the affirmative steps </w:t>
      </w:r>
      <w:r w:rsidR="00812BDC">
        <w:t xml:space="preserve">listed above </w:t>
      </w:r>
      <w:r w:rsidRPr="21D508D6" w:rsidR="59E7DEFF">
        <w:t xml:space="preserve">as they relate to subcontractors </w:t>
      </w:r>
      <w:r w:rsidR="000207A3">
        <w:br w:type="page"/>
      </w:r>
    </w:p>
    <w:p w:rsidR="00CD72C0" w:rsidP="006F78D2" w:rsidRDefault="00CD72C0" w14:paraId="174C8CD3" w14:textId="4EB4456C">
      <w:pPr>
        <w:pStyle w:val="Heading1"/>
      </w:pPr>
      <w:bookmarkStart w:name="_Toc150852680" w:id="233"/>
      <w:r>
        <w:t>Cost and barrier reduction (Requirement 14)</w:t>
      </w:r>
      <w:bookmarkEnd w:id="233"/>
    </w:p>
    <w:p w:rsidR="009E3FBC" w:rsidP="009E3FBC" w:rsidRDefault="009E3FBC" w14:paraId="0168D795" w14:textId="31F89C1F">
      <w:r>
        <w:t xml:space="preserve">This section documents the steps ADECA </w:t>
      </w:r>
      <w:r w:rsidR="002B61ED">
        <w:t>proposes to</w:t>
      </w:r>
      <w:r>
        <w:t xml:space="preserve"> take to reduce costs and barriers to deployment through promoting the use of existing infrastructure</w:t>
      </w:r>
      <w:r w:rsidR="00CD32C3">
        <w:t xml:space="preserve">, </w:t>
      </w:r>
      <w:r>
        <w:t>dig-once policies, streamlined permitting processes, and cost-effective access to poles, conduits, easements, and rights</w:t>
      </w:r>
      <w:r w:rsidR="0085235F">
        <w:t>-</w:t>
      </w:r>
      <w:r>
        <w:t>of</w:t>
      </w:r>
      <w:r w:rsidR="0085235F">
        <w:t>-</w:t>
      </w:r>
      <w:r>
        <w:t>way, including reasonable access requirements.</w:t>
      </w:r>
      <w:r w:rsidR="00114658">
        <w:t xml:space="preserve"> This section also includes proposed steps </w:t>
      </w:r>
      <w:r w:rsidR="00A64EB4">
        <w:t xml:space="preserve">to reduce costs associated with </w:t>
      </w:r>
      <w:r w:rsidR="00024E39">
        <w:t>construction</w:t>
      </w:r>
      <w:r w:rsidR="00F47CA6">
        <w:t xml:space="preserve">, </w:t>
      </w:r>
      <w:r w:rsidR="00546E09">
        <w:t xml:space="preserve">labor, </w:t>
      </w:r>
      <w:r w:rsidR="008765F7">
        <w:t xml:space="preserve">overhead, </w:t>
      </w:r>
      <w:r w:rsidR="00E61C54">
        <w:t>and materials</w:t>
      </w:r>
      <w:r w:rsidR="009B70A1">
        <w:t xml:space="preserve">, which </w:t>
      </w:r>
      <w:r w:rsidR="0015289E">
        <w:t xml:space="preserve">ADECA </w:t>
      </w:r>
      <w:r w:rsidR="00B979CA">
        <w:t xml:space="preserve">identified as additional </w:t>
      </w:r>
      <w:r w:rsidR="00E00330">
        <w:t>barriers</w:t>
      </w:r>
      <w:r w:rsidR="00B979CA">
        <w:t xml:space="preserve"> to broadband deployment</w:t>
      </w:r>
      <w:r w:rsidR="00D86CB1">
        <w:t>.</w:t>
      </w:r>
    </w:p>
    <w:p w:rsidRPr="00C3617B" w:rsidR="00892C5E" w:rsidP="00892C5E" w:rsidRDefault="00892C5E" w14:paraId="3F26B6CB" w14:textId="18B57C86">
      <w:r w:rsidRPr="00C3617B">
        <w:t xml:space="preserve">ADECA recognizes the importance of efforts to streamline access to assets for placement of equipment, including </w:t>
      </w:r>
      <w:r w:rsidR="004625F1">
        <w:t>s</w:t>
      </w:r>
      <w:r w:rsidRPr="00C3617B">
        <w:t xml:space="preserve">tate and local permitting and pole attachment rates, in such a way as to protect the </w:t>
      </w:r>
      <w:r w:rsidR="004625F1">
        <w:t>s</w:t>
      </w:r>
      <w:r w:rsidRPr="00C3617B">
        <w:t>tate’s interests while also ensuring effective and efficient broadband construction permitting.</w:t>
      </w:r>
      <w:r w:rsidRPr="00C3617B">
        <w:rPr>
          <w:vertAlign w:val="superscript"/>
        </w:rPr>
        <w:footnoteReference w:id="95"/>
      </w:r>
      <w:r w:rsidRPr="00C3617B">
        <w:t xml:space="preserve"> </w:t>
      </w:r>
      <w:r>
        <w:t>F</w:t>
      </w:r>
      <w:r w:rsidRPr="00C3617B">
        <w:t xml:space="preserve">eedback from outreach and engagement sessions </w:t>
      </w:r>
      <w:r>
        <w:t xml:space="preserve">noted </w:t>
      </w:r>
      <w:r w:rsidRPr="00C3617B">
        <w:t>that more work needs to be done to support broader access to poles, rights</w:t>
      </w:r>
      <w:r>
        <w:t>-of-</w:t>
      </w:r>
      <w:r w:rsidRPr="00C3617B">
        <w:t xml:space="preserve">way, and other assets to support new infrastructure builds. However, Alabama has created a structure and environment to support infrastructure access to these critical elements. </w:t>
      </w:r>
    </w:p>
    <w:p w:rsidRPr="00DA20A4" w:rsidR="00687E3A" w:rsidP="00687E3A" w:rsidRDefault="00687E3A" w14:paraId="56AE6970" w14:textId="3CCC5619">
      <w:pPr>
        <w:rPr>
          <w:rFonts w:eastAsia="Calibri"/>
        </w:rPr>
      </w:pPr>
      <w:r>
        <w:rPr>
          <w:rFonts w:eastAsia="Calibri"/>
        </w:rPr>
        <w:t xml:space="preserve">Through an extensive review of sources of increased deployment costs and barriers for deployment, ADECA has identified the following </w:t>
      </w:r>
      <w:r w:rsidR="00684C5C">
        <w:rPr>
          <w:rFonts w:eastAsia="Calibri"/>
        </w:rPr>
        <w:t xml:space="preserve">proposed </w:t>
      </w:r>
      <w:r>
        <w:rPr>
          <w:rFonts w:eastAsia="Calibri"/>
        </w:rPr>
        <w:t>strategies for mitigating cost and barrier risks.</w:t>
      </w:r>
    </w:p>
    <w:p w:rsidRPr="004619BE" w:rsidR="004619BE" w:rsidP="006F78D2" w:rsidRDefault="004619BE" w14:paraId="02607D43" w14:textId="42CE96D9">
      <w:pPr>
        <w:pStyle w:val="Heading2"/>
        <w:numPr>
          <w:ilvl w:val="1"/>
          <w:numId w:val="23"/>
        </w:numPr>
      </w:pPr>
      <w:bookmarkStart w:name="_Toc150852681" w:id="236"/>
      <w:r w:rsidRPr="004619BE">
        <w:t>Promote the use of existing infrastructure</w:t>
      </w:r>
      <w:bookmarkEnd w:id="236"/>
    </w:p>
    <w:p w:rsidRPr="004619BE" w:rsidR="004619BE" w:rsidP="006F78D2" w:rsidRDefault="004619BE" w14:paraId="4AB22132" w14:textId="22CFF844">
      <w:pPr>
        <w:pStyle w:val="Heading3"/>
        <w:numPr>
          <w:ilvl w:val="2"/>
          <w:numId w:val="23"/>
        </w:numPr>
      </w:pPr>
      <w:bookmarkStart w:name="_Toc150852682" w:id="237"/>
      <w:r w:rsidRPr="004619BE">
        <w:t xml:space="preserve">Streamline access to </w:t>
      </w:r>
      <w:r w:rsidR="004625F1">
        <w:t>s</w:t>
      </w:r>
      <w:r w:rsidRPr="004619BE">
        <w:t>tate conduits</w:t>
      </w:r>
      <w:r w:rsidR="00641B30">
        <w:t xml:space="preserve">, </w:t>
      </w:r>
      <w:r w:rsidRPr="004619BE">
        <w:t>poles</w:t>
      </w:r>
      <w:r w:rsidR="00641B30">
        <w:t>, and rights-of-way</w:t>
      </w:r>
      <w:bookmarkEnd w:id="237"/>
    </w:p>
    <w:p w:rsidRPr="004619BE" w:rsidR="004619BE" w:rsidP="004619BE" w:rsidRDefault="004619BE" w14:paraId="3EAB652D" w14:textId="3427A857">
      <w:r w:rsidRPr="004619BE">
        <w:t>ADECA is in discussions with ALDOT to further streamline access to conduits,</w:t>
      </w:r>
      <w:r w:rsidRPr="004619BE">
        <w:rPr>
          <w:vertAlign w:val="superscript"/>
        </w:rPr>
        <w:footnoteReference w:id="96"/>
      </w:r>
      <w:r w:rsidRPr="004619BE">
        <w:t xml:space="preserve"> poles, and rights-of-way on </w:t>
      </w:r>
      <w:r w:rsidR="004625F1">
        <w:t>s</w:t>
      </w:r>
      <w:r w:rsidRPr="004619BE">
        <w:t xml:space="preserve">tate roads. According to a 2023 study of </w:t>
      </w:r>
      <w:r w:rsidR="004625F1">
        <w:t>s</w:t>
      </w:r>
      <w:r w:rsidRPr="004619BE">
        <w:t xml:space="preserve">tate </w:t>
      </w:r>
      <w:r w:rsidR="00FA40EE">
        <w:t>department</w:t>
      </w:r>
      <w:r w:rsidR="000E22FC">
        <w:t>s</w:t>
      </w:r>
      <w:r w:rsidR="00FA40EE">
        <w:t xml:space="preserve"> of transportation</w:t>
      </w:r>
      <w:r w:rsidRPr="004619BE">
        <w:t xml:space="preserve"> compensation structures for accommodating utility and communication installations in public </w:t>
      </w:r>
      <w:r w:rsidR="00E26323">
        <w:t>right</w:t>
      </w:r>
      <w:r w:rsidR="00FA40EE">
        <w:t>s</w:t>
      </w:r>
      <w:r w:rsidR="00E26323">
        <w:t>-of-way</w:t>
      </w:r>
      <w:r w:rsidRPr="004619BE">
        <w:t xml:space="preserve"> conducted by the National Cooperative Highway Research Program,</w:t>
      </w:r>
      <w:r w:rsidRPr="004619BE">
        <w:rPr>
          <w:vertAlign w:val="superscript"/>
        </w:rPr>
        <w:footnoteReference w:id="97"/>
      </w:r>
      <w:r w:rsidRPr="004619BE">
        <w:t xml:space="preserve"> ALDOT takes a non-revenue generating approach to </w:t>
      </w:r>
      <w:r w:rsidR="00F3623C">
        <w:t>right-of-way</w:t>
      </w:r>
      <w:r w:rsidRPr="004619BE">
        <w:t xml:space="preserve"> utility accommodations and does not receive compensation (i.e., through charging a one-time permit fee or annual fee, resource sharing, etc.)</w:t>
      </w:r>
      <w:r w:rsidRPr="004619BE">
        <w:rPr>
          <w:vertAlign w:val="superscript"/>
        </w:rPr>
        <w:footnoteReference w:id="98"/>
      </w:r>
    </w:p>
    <w:p w:rsidRPr="004619BE" w:rsidR="004619BE" w:rsidP="004619BE" w:rsidRDefault="004619BE" w14:paraId="50553EC5" w14:textId="77777777">
      <w:r w:rsidRPr="004619BE">
        <w:t>ALDOT maintains a list of regional road projects</w:t>
      </w:r>
      <w:r w:rsidRPr="004619BE">
        <w:rPr>
          <w:vertAlign w:val="superscript"/>
        </w:rPr>
        <w:footnoteReference w:id="99"/>
      </w:r>
      <w:r w:rsidRPr="004619BE">
        <w:t xml:space="preserve"> and ADECA may consider those that are suitable for fiber construction throughout the BEAD deployment process. Currently, ADECA requires applicants to consider ALDOT projects when developing broadband expansion projects using funds administered by ADECA.</w:t>
      </w:r>
    </w:p>
    <w:p w:rsidRPr="004619BE" w:rsidR="004619BE" w:rsidP="004619BE" w:rsidRDefault="004619BE" w14:paraId="0A67F4C3" w14:textId="292D669F">
      <w:r w:rsidRPr="004619BE">
        <w:t>To support reasonable pole attachment rates for electric utility and incumbent telephone company poles, Alabama has remained under the FCC’s pole attachment rate caps and framework.</w:t>
      </w:r>
      <w:r w:rsidRPr="004619BE">
        <w:rPr>
          <w:vertAlign w:val="superscript"/>
        </w:rPr>
        <w:footnoteReference w:id="100"/>
      </w:r>
      <w:r w:rsidRPr="004619BE">
        <w:t xml:space="preserve"> Additionally, while the Alabama Legislature has given certain electric utilities the authority to offer broadband services</w:t>
      </w:r>
      <w:r w:rsidR="00511E1C">
        <w:t>,</w:t>
      </w:r>
      <w:r w:rsidRPr="004619BE">
        <w:t xml:space="preserve"> it has also adopted regulations for access to poles owned by these entities that support competitive access by other broadband providers.</w:t>
      </w:r>
      <w:r w:rsidRPr="004619BE">
        <w:rPr>
          <w:vertAlign w:val="superscript"/>
        </w:rPr>
        <w:footnoteReference w:id="101"/>
      </w:r>
      <w:r w:rsidRPr="004619BE">
        <w:t xml:space="preserve"> Other electric providers, as members of the Tennessee Valley Authority</w:t>
      </w:r>
      <w:r w:rsidR="003F6C02">
        <w:t xml:space="preserve"> (TVA)</w:t>
      </w:r>
      <w:r w:rsidRPr="004619BE">
        <w:t>, also have regulations that support competitive pole access.</w:t>
      </w:r>
      <w:r w:rsidRPr="004619BE">
        <w:rPr>
          <w:vertAlign w:val="superscript"/>
        </w:rPr>
        <w:footnoteReference w:id="102"/>
      </w:r>
    </w:p>
    <w:p w:rsidRPr="00202299" w:rsidR="004619BE" w:rsidP="004619BE" w:rsidRDefault="006475A1" w14:paraId="51259D81" w14:textId="1D279058">
      <w:r>
        <w:t xml:space="preserve">In </w:t>
      </w:r>
      <w:r w:rsidR="00EA3EE9">
        <w:t xml:space="preserve">addition, </w:t>
      </w:r>
      <w:r>
        <w:t>the Alabama Leg</w:t>
      </w:r>
      <w:r w:rsidR="00973CB4">
        <w:t>islature</w:t>
      </w:r>
      <w:r w:rsidR="00EA3EE9">
        <w:t xml:space="preserve"> passed </w:t>
      </w:r>
      <w:r w:rsidR="00B10CF2">
        <w:t>legislation in 2021 that established procedures</w:t>
      </w:r>
      <w:r w:rsidR="00973CB4">
        <w:t xml:space="preserve"> </w:t>
      </w:r>
      <w:r w:rsidRPr="004619BE" w:rsidR="004619BE">
        <w:t xml:space="preserve">to authorize wireless providers to collocate, mount, or install small wireless facilities on existing poles or install new poles on the right-of-way of the state or any </w:t>
      </w:r>
      <w:r w:rsidR="00F7533E">
        <w:t xml:space="preserve">state </w:t>
      </w:r>
      <w:r w:rsidRPr="004619BE" w:rsidR="004619BE">
        <w:t>agency, county, or municipality</w:t>
      </w:r>
      <w:r w:rsidR="00F7533E">
        <w:t>.</w:t>
      </w:r>
      <w:r w:rsidR="00110791">
        <w:rPr>
          <w:rStyle w:val="FootnoteReference"/>
        </w:rPr>
        <w:footnoteReference w:id="103"/>
      </w:r>
      <w:r w:rsidR="006F1B37">
        <w:t xml:space="preserve"> The legislation also exempted </w:t>
      </w:r>
      <w:r w:rsidRPr="004619BE" w:rsidR="004619BE">
        <w:t>small wireless facilities from certain zoning review and approval procedures</w:t>
      </w:r>
      <w:r w:rsidR="00A14FA0">
        <w:t xml:space="preserve"> and established </w:t>
      </w:r>
      <w:r w:rsidRPr="004619BE" w:rsidR="004619BE">
        <w:t>rates and fees for all permits for small wireless facilities.</w:t>
      </w:r>
    </w:p>
    <w:p w:rsidRPr="00202299" w:rsidR="001F5E23" w:rsidP="004619BE" w:rsidRDefault="001F5E23" w14:paraId="3B113272" w14:textId="1DDFAE4C">
      <w:r>
        <w:t xml:space="preserve">ADECA </w:t>
      </w:r>
      <w:r w:rsidR="003E2377">
        <w:t>will</w:t>
      </w:r>
      <w:r>
        <w:t xml:space="preserve"> continue to promote </w:t>
      </w:r>
      <w:r w:rsidR="00A434CB">
        <w:t xml:space="preserve">streamlined access to state conduits, poles, </w:t>
      </w:r>
      <w:r w:rsidR="003E2377">
        <w:t>and rights-of-way</w:t>
      </w:r>
      <w:r w:rsidR="00553ECE">
        <w:t xml:space="preserve"> as it implements </w:t>
      </w:r>
      <w:r w:rsidR="00A06A87">
        <w:t>the BEAD Program.</w:t>
      </w:r>
    </w:p>
    <w:p w:rsidRPr="004619BE" w:rsidR="004619BE" w:rsidP="006F78D2" w:rsidRDefault="004619BE" w14:paraId="2B182E56" w14:textId="77777777">
      <w:pPr>
        <w:pStyle w:val="Heading3"/>
        <w:numPr>
          <w:ilvl w:val="2"/>
          <w:numId w:val="23"/>
        </w:numPr>
      </w:pPr>
      <w:bookmarkStart w:name="_Toc150852683" w:id="238"/>
      <w:r w:rsidRPr="004619BE">
        <w:t>Encourage local communities to leverage their poles and conduits</w:t>
      </w:r>
      <w:bookmarkEnd w:id="238"/>
    </w:p>
    <w:p w:rsidRPr="004619BE" w:rsidR="00CC01BB" w:rsidP="004619BE" w:rsidRDefault="00B43870" w14:paraId="103DF69C" w14:textId="6AA409ED">
      <w:r>
        <w:t xml:space="preserve">Some cities in Alabama have adopted </w:t>
      </w:r>
      <w:r w:rsidR="003D0EB9">
        <w:t xml:space="preserve">ordinances </w:t>
      </w:r>
      <w:r w:rsidR="00147EC7">
        <w:t>or other laws to facilitate the deployment of broadband infrastructure in their jurisdictions.</w:t>
      </w:r>
      <w:r w:rsidR="00147EC7">
        <w:rPr>
          <w:rStyle w:val="FootnoteReference"/>
        </w:rPr>
        <w:footnoteReference w:id="104"/>
      </w:r>
      <w:r w:rsidR="00147EC7">
        <w:t xml:space="preserve"> </w:t>
      </w:r>
      <w:r w:rsidRPr="004619BE" w:rsidR="004619BE">
        <w:t>ADECA will encourage municipalities that own poles or conduits to make them available and will provide examples of local ordinances or policies as models. These localities can indicate availability of such streamlined access and ADECA will publish this information for eligible areas so grant participants can take it into consideration for their cost proposals.</w:t>
      </w:r>
      <w:r w:rsidR="00DC0258">
        <w:t xml:space="preserve"> </w:t>
      </w:r>
      <w:r w:rsidR="00CC01BB">
        <w:t>ADECA anticipates providing technical assistance to help local communities navigate issues related to right-of-way and pole access for broadband deployment and can potentially convene partners to resolve questions, if needed.</w:t>
      </w:r>
    </w:p>
    <w:p w:rsidRPr="004619BE" w:rsidR="004619BE" w:rsidP="006F78D2" w:rsidRDefault="004619BE" w14:paraId="47E278DE" w14:textId="5CB7E40A">
      <w:pPr>
        <w:pStyle w:val="Heading3"/>
        <w:numPr>
          <w:ilvl w:val="2"/>
          <w:numId w:val="23"/>
        </w:numPr>
      </w:pPr>
      <w:bookmarkStart w:name="_Toc150852684" w:id="239"/>
      <w:r w:rsidRPr="004619BE">
        <w:t>Allow access to limited access rights-of-way for last-mile broadband providers providing service to unserved locations</w:t>
      </w:r>
      <w:bookmarkEnd w:id="239"/>
    </w:p>
    <w:p w:rsidRPr="004619BE" w:rsidR="004619BE" w:rsidP="004619BE" w:rsidRDefault="0070586D" w14:paraId="5643C8C5" w14:textId="12EDE7A5">
      <w:r>
        <w:t>ADECA</w:t>
      </w:r>
      <w:r w:rsidRPr="004619BE" w:rsidR="004619BE">
        <w:t xml:space="preserve"> will explore ways it can facilitate subgrantees gaining access to limited</w:t>
      </w:r>
      <w:r w:rsidR="002862FF">
        <w:t>-</w:t>
      </w:r>
      <w:r w:rsidRPr="004619BE" w:rsidR="004619BE">
        <w:t>access rights-of-way through streamlined public interest and resource</w:t>
      </w:r>
      <w:r w:rsidR="007065FF">
        <w:t>-</w:t>
      </w:r>
      <w:r w:rsidRPr="004619BE" w:rsidR="004619BE">
        <w:t>sharing arrangements. There may be opportunities for ALDOT to allow fiber installations in limited</w:t>
      </w:r>
      <w:r w:rsidR="007065FF">
        <w:t>-</w:t>
      </w:r>
      <w:r w:rsidRPr="004619BE" w:rsidR="004619BE">
        <w:t xml:space="preserve">access </w:t>
      </w:r>
      <w:r w:rsidR="004625F1">
        <w:t>s</w:t>
      </w:r>
      <w:r w:rsidRPr="004619BE" w:rsidR="004619BE">
        <w:t>tate and interstate highways. If delivering broadband to unserved locations is defined as public interest construction, it could potentially facilitate resource</w:t>
      </w:r>
      <w:r w:rsidR="00CA5367">
        <w:t>-</w:t>
      </w:r>
      <w:r w:rsidRPr="004619BE" w:rsidR="004619BE">
        <w:t>sharing arrangements that could be standardized to reduce permit timelines and costs.</w:t>
      </w:r>
    </w:p>
    <w:p w:rsidR="00217022" w:rsidP="006F78D2" w:rsidRDefault="00AC5C84" w14:paraId="10239F9B" w14:textId="67735C9D">
      <w:pPr>
        <w:pStyle w:val="Heading3"/>
        <w:numPr>
          <w:ilvl w:val="2"/>
          <w:numId w:val="22"/>
        </w:numPr>
      </w:pPr>
      <w:bookmarkStart w:name="_Toc150852685" w:id="240"/>
      <w:r>
        <w:t xml:space="preserve">Facilitate </w:t>
      </w:r>
      <w:r w:rsidR="00217022">
        <w:t>applicant</w:t>
      </w:r>
      <w:r w:rsidR="00F84020">
        <w:t xml:space="preserve"> access to mapping data</w:t>
      </w:r>
      <w:bookmarkEnd w:id="240"/>
    </w:p>
    <w:p w:rsidRPr="004619BE" w:rsidR="004619BE" w:rsidP="004619BE" w:rsidRDefault="00217022" w14:paraId="55D4E584" w14:textId="26691CFE">
      <w:r>
        <w:t>ADECA will facilitate</w:t>
      </w:r>
      <w:r w:rsidR="00A65091">
        <w:t xml:space="preserve"> prospective</w:t>
      </w:r>
      <w:r>
        <w:t xml:space="preserve"> BEAD applicant access to mapping data, including but not limited to the data provided on the Alabama Broadband Map,</w:t>
      </w:r>
      <w:r w:rsidR="00EA344B">
        <w:rPr>
          <w:rStyle w:val="FootnoteReference"/>
        </w:rPr>
        <w:footnoteReference w:id="105"/>
      </w:r>
      <w:r w:rsidR="00EA344B">
        <w:t xml:space="preserve"> as well as other information resources </w:t>
      </w:r>
      <w:r w:rsidR="00611D65">
        <w:t>to help iden</w:t>
      </w:r>
      <w:r w:rsidR="00BD4595">
        <w:t xml:space="preserve">tify known </w:t>
      </w:r>
      <w:r w:rsidRPr="004619BE" w:rsidR="004619BE">
        <w:t xml:space="preserve">public and private </w:t>
      </w:r>
      <w:r w:rsidR="00BD4595">
        <w:t>broad</w:t>
      </w:r>
      <w:r w:rsidR="005977FB">
        <w:t>band</w:t>
      </w:r>
      <w:r w:rsidR="00BD4595">
        <w:t xml:space="preserve"> </w:t>
      </w:r>
      <w:r w:rsidRPr="004619BE" w:rsidR="004619BE">
        <w:t xml:space="preserve">assets. </w:t>
      </w:r>
      <w:r w:rsidR="0042006B">
        <w:t xml:space="preserve">Such information </w:t>
      </w:r>
      <w:r w:rsidRPr="004619BE" w:rsidR="004619BE">
        <w:t xml:space="preserve">will be made available to all prospective BEAD </w:t>
      </w:r>
      <w:r w:rsidR="00A65091">
        <w:t>applicants</w:t>
      </w:r>
      <w:r w:rsidRPr="004619BE" w:rsidR="004619BE">
        <w:t xml:space="preserve">, allowing for early planning and budgeting before applications are filed. Access to such information </w:t>
      </w:r>
      <w:r w:rsidR="00C95B96">
        <w:t xml:space="preserve">will allow </w:t>
      </w:r>
      <w:r w:rsidR="00F63617">
        <w:t xml:space="preserve">applicants </w:t>
      </w:r>
      <w:r w:rsidRPr="004619BE" w:rsidR="004619BE">
        <w:t>to submit more cost effective, accurate, and informed project applications.</w:t>
      </w:r>
      <w:r w:rsidR="00D36711">
        <w:rPr>
          <w:rStyle w:val="FootnoteReference"/>
        </w:rPr>
        <w:footnoteReference w:id="106"/>
      </w:r>
    </w:p>
    <w:p w:rsidRPr="004619BE" w:rsidR="008074E7" w:rsidP="004619BE" w:rsidRDefault="008074E7" w14:paraId="5C796498" w14:textId="3E724EB8">
      <w:r>
        <w:t xml:space="preserve">Additional information regarding </w:t>
      </w:r>
      <w:r w:rsidR="00F96C8D">
        <w:t>broadband deployment assets in Alabama can be found in Section 3.3.1 of the Five-Year Action Plan.</w:t>
      </w:r>
    </w:p>
    <w:p w:rsidRPr="004619BE" w:rsidR="004619BE" w:rsidP="00554040" w:rsidRDefault="004619BE" w14:paraId="6375E73F" w14:textId="77777777">
      <w:pPr>
        <w:pStyle w:val="Heading2"/>
        <w:numPr>
          <w:ilvl w:val="1"/>
          <w:numId w:val="23"/>
        </w:numPr>
      </w:pPr>
      <w:bookmarkStart w:name="_Toc150852686" w:id="241"/>
      <w:r w:rsidRPr="004619BE">
        <w:t>Promote dig-once policies by providing best practice guide for localities</w:t>
      </w:r>
      <w:bookmarkEnd w:id="241"/>
    </w:p>
    <w:p w:rsidRPr="004619BE" w:rsidR="004619BE" w:rsidP="004619BE" w:rsidRDefault="004619BE" w14:paraId="3F82D969" w14:textId="018890D1">
      <w:r w:rsidRPr="004619BE">
        <w:t xml:space="preserve">ADECA will encourage sharing of open trenches and available conduit via the promotion of dig-once policies, which ensure proper notification has been made before rights-of-way are open with the goal of facilitating collaborative (and concurrent) construction timelines between entities hoping to dig in the same rights-of-way. </w:t>
      </w:r>
      <w:r w:rsidR="000B7F93">
        <w:t>ADECA</w:t>
      </w:r>
      <w:r w:rsidR="00F7725F">
        <w:t xml:space="preserve"> plans to</w:t>
      </w:r>
      <w:r w:rsidRPr="004619BE">
        <w:t xml:space="preserve"> publish best practices and guides for localities to consider implementing policies and model local codes</w:t>
      </w:r>
      <w:r w:rsidR="008D7842">
        <w:t xml:space="preserve"> that</w:t>
      </w:r>
      <w:r w:rsidRPr="004619BE">
        <w:t xml:space="preserve"> will minimize the number of times rights-of-way will be dug into, allowing even the smallest funded projects to leverage economies of scale to reduce costs.</w:t>
      </w:r>
    </w:p>
    <w:p w:rsidRPr="004619BE" w:rsidR="004619BE" w:rsidP="004619BE" w:rsidRDefault="004619BE" w14:paraId="19DB78EC" w14:textId="61F04644">
      <w:r w:rsidRPr="004619BE">
        <w:t xml:space="preserve">This approach is in alignment with guidance from the U.S. </w:t>
      </w:r>
      <w:r w:rsidR="00C3416D">
        <w:t>Department of Transportation</w:t>
      </w:r>
      <w:r w:rsidR="001720EA">
        <w:t xml:space="preserve">’s </w:t>
      </w:r>
      <w:r w:rsidRPr="004619BE">
        <w:t>Federal Highway Administration (FHWA) Office of Transportation Policy Studies, which notes in a policy brief that “the largest cost element for deploying broadband is burying fiber optic cables and conduit underground,” citing the FCC.</w:t>
      </w:r>
      <w:r w:rsidR="00FD71AB">
        <w:rPr>
          <w:rStyle w:val="FootnoteReference"/>
        </w:rPr>
        <w:footnoteReference w:id="107"/>
      </w:r>
      <w:r w:rsidRPr="004619BE">
        <w:t xml:space="preserve"> In the brief, FHWA emphasizes the importance of implementing dig</w:t>
      </w:r>
      <w:r w:rsidR="00D55BCC">
        <w:t>-</w:t>
      </w:r>
      <w:r w:rsidRPr="004619BE">
        <w:t>once policies at the local level</w:t>
      </w:r>
      <w:r w:rsidR="00C342CD">
        <w:t>,</w:t>
      </w:r>
      <w:r w:rsidRPr="004619BE">
        <w:t xml:space="preserve"> as permits to install or work on existing facilities are often requested from cities and counties. </w:t>
      </w:r>
    </w:p>
    <w:p w:rsidRPr="004619BE" w:rsidR="004619BE" w:rsidP="001C3F88" w:rsidRDefault="004619BE" w14:paraId="13BABF2B" w14:textId="77777777">
      <w:pPr>
        <w:pStyle w:val="Heading2"/>
        <w:numPr>
          <w:ilvl w:val="1"/>
          <w:numId w:val="23"/>
        </w:numPr>
      </w:pPr>
      <w:bookmarkStart w:name="_Toc150852687" w:id="242"/>
      <w:r w:rsidRPr="004619BE">
        <w:t>Streamline permitting processes</w:t>
      </w:r>
      <w:bookmarkEnd w:id="242"/>
    </w:p>
    <w:p w:rsidRPr="004619BE" w:rsidR="004619BE" w:rsidP="006F78D2" w:rsidRDefault="004619BE" w14:paraId="7E448865" w14:textId="77777777">
      <w:pPr>
        <w:pStyle w:val="Heading3"/>
        <w:numPr>
          <w:ilvl w:val="2"/>
          <w:numId w:val="23"/>
        </w:numPr>
      </w:pPr>
      <w:bookmarkStart w:name="_Toc150852688" w:id="243"/>
      <w:r w:rsidRPr="004619BE">
        <w:t>Optimize local permitting processes</w:t>
      </w:r>
      <w:bookmarkEnd w:id="243"/>
      <w:r w:rsidRPr="004619BE">
        <w:t xml:space="preserve"> </w:t>
      </w:r>
    </w:p>
    <w:p w:rsidRPr="004619BE" w:rsidR="004619BE" w:rsidP="00345D52" w:rsidRDefault="004619BE" w14:paraId="2631783D" w14:textId="77777777">
      <w:pPr>
        <w:pStyle w:val="Heading4"/>
      </w:pPr>
      <w:r w:rsidRPr="004619BE">
        <w:t>Establish best practices for county and local permitting</w:t>
      </w:r>
    </w:p>
    <w:p w:rsidRPr="004619BE" w:rsidR="004619BE" w:rsidP="004619BE" w:rsidRDefault="004619BE" w14:paraId="3DA96CA4" w14:textId="77777777">
      <w:r w:rsidRPr="004619BE">
        <w:t xml:space="preserve">ADECA will publish best practices in broadband permitting policies for counties and localities to consider. These best practices will make recommendations on how localities can best optimize their permitting for broadband deployment, develop and share relevant information regarding their permitting policies, create conditions that make private investment more attractive, develop strategies to increase staffing and administrative support, and publish information on known assets of interest. </w:t>
      </w:r>
    </w:p>
    <w:p w:rsidRPr="004619BE" w:rsidR="004619BE" w:rsidP="00345D52" w:rsidRDefault="004619BE" w14:paraId="27B9AB5E" w14:textId="77777777">
      <w:pPr>
        <w:pStyle w:val="Heading4"/>
      </w:pPr>
      <w:r w:rsidRPr="004619BE">
        <w:t>Facilitate collaboration with key Department of Transportation and environmental and historic preservation agencies</w:t>
      </w:r>
    </w:p>
    <w:p w:rsidRPr="004619BE" w:rsidR="004619BE" w:rsidP="004619BE" w:rsidRDefault="004619BE" w14:paraId="18EFFC2F" w14:textId="03633DB5">
      <w:r w:rsidRPr="004619BE">
        <w:t xml:space="preserve">ADECA will also incorporate best practices for consultation with </w:t>
      </w:r>
      <w:r w:rsidR="005144EC">
        <w:t xml:space="preserve">transportation, </w:t>
      </w:r>
      <w:r w:rsidRPr="004619BE">
        <w:t>environmental</w:t>
      </w:r>
      <w:r w:rsidR="005144EC">
        <w:t>,</w:t>
      </w:r>
      <w:r w:rsidRPr="004619BE">
        <w:t xml:space="preserve"> and historic preservation agencies into its educational outreach to counties and localities. These agencies will receive permit requests and material</w:t>
      </w:r>
      <w:r w:rsidR="005144EC">
        <w:t>s</w:t>
      </w:r>
      <w:r w:rsidRPr="004619BE">
        <w:t xml:space="preserve"> within a condensed period of time. ADECA can discuss creating standardized templates to simplify the materials required for environmental assessments and </w:t>
      </w:r>
      <w:r w:rsidR="00536652">
        <w:t xml:space="preserve">other agency </w:t>
      </w:r>
      <w:proofErr w:type="gramStart"/>
      <w:r w:rsidR="00536652">
        <w:t>reviews</w:t>
      </w:r>
      <w:r w:rsidR="00632CF9">
        <w:t>,</w:t>
      </w:r>
      <w:r w:rsidRPr="004619BE">
        <w:t xml:space="preserve"> and</w:t>
      </w:r>
      <w:proofErr w:type="gramEnd"/>
      <w:r w:rsidRPr="004619BE">
        <w:t xml:space="preserve"> allow</w:t>
      </w:r>
      <w:r w:rsidR="008A26C5">
        <w:t>ing</w:t>
      </w:r>
      <w:r w:rsidRPr="004619BE">
        <w:t xml:space="preserve"> the same materials to be provided to different agencies where feasible. While ADECA will include federal agencies in its discussions, it highly encourages NTIA as the primary federal agency in charge of BEAD funds to enter into programmatic agreements with such agencies.</w:t>
      </w:r>
    </w:p>
    <w:p w:rsidRPr="004619BE" w:rsidR="004619BE" w:rsidP="006F78D2" w:rsidRDefault="004619BE" w14:paraId="49AA520B" w14:textId="6CF1ACEF">
      <w:pPr>
        <w:pStyle w:val="Heading3"/>
        <w:numPr>
          <w:ilvl w:val="2"/>
          <w:numId w:val="23"/>
        </w:numPr>
      </w:pPr>
      <w:bookmarkStart w:name="_Toc150852689" w:id="244"/>
      <w:r w:rsidRPr="004619BE">
        <w:t xml:space="preserve">Streamline </w:t>
      </w:r>
      <w:r w:rsidR="004625F1">
        <w:t>s</w:t>
      </w:r>
      <w:r w:rsidRPr="004619BE">
        <w:t>tate permitting processes by developing fast-track permit and pre-approved construction methods</w:t>
      </w:r>
      <w:bookmarkEnd w:id="244"/>
    </w:p>
    <w:p w:rsidRPr="004619BE" w:rsidR="004619BE" w:rsidP="004619BE" w:rsidRDefault="004619BE" w14:paraId="261A47F7" w14:textId="1F6B9DC8">
      <w:r w:rsidRPr="004619BE">
        <w:t xml:space="preserve">In order to increase the feasibility of awarded projects that intend to cross </w:t>
      </w:r>
      <w:r w:rsidR="004625F1">
        <w:t>s</w:t>
      </w:r>
      <w:r w:rsidRPr="004619BE">
        <w:t xml:space="preserve">tate-protected lands, </w:t>
      </w:r>
      <w:r w:rsidR="005E50E9">
        <w:t xml:space="preserve">ADECA </w:t>
      </w:r>
      <w:r w:rsidRPr="004619BE">
        <w:t xml:space="preserve">will discuss streamlining permitting processes with relevant land-controlling </w:t>
      </w:r>
      <w:r w:rsidR="004625F1">
        <w:t>s</w:t>
      </w:r>
      <w:r w:rsidRPr="004619BE">
        <w:t xml:space="preserve">tate agencies. These efforts </w:t>
      </w:r>
      <w:r w:rsidR="00824E37">
        <w:t>may</w:t>
      </w:r>
      <w:r w:rsidRPr="004619BE">
        <w:t xml:space="preserve"> include developing fast-track permitting policies for construction methods that are known to have low impacts on the surrounding rights-of-way. Additionally, </w:t>
      </w:r>
      <w:r w:rsidR="00F40518">
        <w:t>ADECA</w:t>
      </w:r>
      <w:r w:rsidRPr="004619BE">
        <w:t xml:space="preserve"> </w:t>
      </w:r>
      <w:r w:rsidR="00FD6287">
        <w:t>plans to</w:t>
      </w:r>
      <w:r w:rsidRPr="004619BE">
        <w:t xml:space="preserve"> identify and publish easement corridors and construction methods likely to receive rapid reviews for applicable protected lands</w:t>
      </w:r>
      <w:r w:rsidR="001E2770">
        <w:t>,</w:t>
      </w:r>
      <w:r w:rsidRPr="004619BE">
        <w:t xml:space="preserve"> so that potential projects that need to cross land without available roads or rights-of-way may plan their construction to be minimally invasive and maximally cost effective.</w:t>
      </w:r>
    </w:p>
    <w:p w:rsidRPr="004619BE" w:rsidR="004619BE" w:rsidP="006F78D2" w:rsidRDefault="004619BE" w14:paraId="75FFC501" w14:textId="3ACC694C">
      <w:pPr>
        <w:pStyle w:val="Heading3"/>
        <w:numPr>
          <w:ilvl w:val="2"/>
          <w:numId w:val="23"/>
        </w:numPr>
      </w:pPr>
      <w:bookmarkStart w:name="_Toc150852690" w:id="245"/>
      <w:r w:rsidRPr="004619BE">
        <w:t>Shrink federal permitting timelines by partnering with NTIA to discuss a streamlined “shot clock” permit process</w:t>
      </w:r>
      <w:bookmarkEnd w:id="245"/>
    </w:p>
    <w:p w:rsidRPr="004619BE" w:rsidR="004619BE" w:rsidP="004619BE" w:rsidRDefault="004619BE" w14:paraId="28C52CA2" w14:textId="53BE0FA8">
      <w:r w:rsidRPr="004619BE">
        <w:t>To benefit potential awardees that intend to cross federal lands</w:t>
      </w:r>
      <w:r w:rsidR="004D57ED">
        <w:t xml:space="preserve"> in Alabama</w:t>
      </w:r>
      <w:r w:rsidRPr="004619BE">
        <w:t>,</w:t>
      </w:r>
      <w:r w:rsidR="004D57ED">
        <w:rPr>
          <w:rStyle w:val="FootnoteReference"/>
        </w:rPr>
        <w:footnoteReference w:id="108"/>
      </w:r>
      <w:r w:rsidRPr="004619BE">
        <w:t xml:space="preserve"> </w:t>
      </w:r>
      <w:r w:rsidR="00812A7F">
        <w:t>ADECA</w:t>
      </w:r>
      <w:r w:rsidRPr="004619BE">
        <w:t xml:space="preserve"> will attempt to shrink permitting timelines for access to federal lands by partnering with NTIA to discuss process reforms that might be implemented with key federal land-controlling agencies and exceptions that might be granted to BEAD </w:t>
      </w:r>
      <w:r w:rsidR="00812A7F">
        <w:t xml:space="preserve">Program </w:t>
      </w:r>
      <w:r w:rsidRPr="004619BE">
        <w:t>awardees. As the lead federal agency, NTIA can also develop programmatic agreements with agencies to facilitate such permitting. One approach could include a “shot clock” permitting process on certain federal land use permits that would incentivize federal agencies to process BEAD permitting applications within a predetermined, finite, and reasonable amount of time.</w:t>
      </w:r>
    </w:p>
    <w:p w:rsidRPr="004619BE" w:rsidR="004619BE" w:rsidP="001C3F88" w:rsidRDefault="004619BE" w14:paraId="2F4E07B6" w14:textId="0B04118C">
      <w:pPr>
        <w:pStyle w:val="Heading2"/>
        <w:numPr>
          <w:ilvl w:val="1"/>
          <w:numId w:val="23"/>
        </w:numPr>
      </w:pPr>
      <w:bookmarkStart w:name="_Toc150852691" w:id="246"/>
      <w:r w:rsidRPr="004619BE">
        <w:t>Reduce construction costs</w:t>
      </w:r>
      <w:bookmarkEnd w:id="246"/>
    </w:p>
    <w:p w:rsidRPr="004619BE" w:rsidR="004619BE" w:rsidP="006F78D2" w:rsidRDefault="004619BE" w14:paraId="5F8AA82F" w14:textId="77777777">
      <w:pPr>
        <w:pStyle w:val="Heading3"/>
        <w:numPr>
          <w:ilvl w:val="2"/>
          <w:numId w:val="23"/>
        </w:numPr>
      </w:pPr>
      <w:bookmarkStart w:name="_Toc150852692" w:id="247"/>
      <w:r w:rsidRPr="004619BE">
        <w:t>Encourage specialized equipment sharing</w:t>
      </w:r>
      <w:bookmarkEnd w:id="247"/>
    </w:p>
    <w:p w:rsidRPr="004619BE" w:rsidR="004619BE" w:rsidP="004619BE" w:rsidRDefault="00535462" w14:paraId="6562EF75" w14:textId="11D8F6DB">
      <w:r>
        <w:t>Installing underground fiber often involves t</w:t>
      </w:r>
      <w:r w:rsidR="00F02B6A">
        <w:t>he</w:t>
      </w:r>
      <w:r>
        <w:t xml:space="preserve"> use of </w:t>
      </w:r>
      <w:r w:rsidR="00F02B6A">
        <w:t xml:space="preserve">specialized equipment and associated costs. </w:t>
      </w:r>
      <w:r w:rsidRPr="004619BE" w:rsidR="004619BE">
        <w:t>Smaller ISPs in particular may struggle with the high cost and access to specialized equipment needed to drill into hard rock when installing underground fiber. ADECA will encourage providers to enter into resource</w:t>
      </w:r>
      <w:r w:rsidR="00F02B6A">
        <w:t>-</w:t>
      </w:r>
      <w:r w:rsidRPr="004619BE" w:rsidR="004619BE">
        <w:t>sharing agreements as a way to reduce costs and risks.</w:t>
      </w:r>
    </w:p>
    <w:p w:rsidR="00D83D41" w:rsidP="00D83D41" w:rsidRDefault="00D83D41" w14:paraId="4CDACF1A" w14:textId="0E19E5E1">
      <w:pPr>
        <w:pStyle w:val="Heading3"/>
        <w:numPr>
          <w:ilvl w:val="2"/>
          <w:numId w:val="22"/>
        </w:numPr>
      </w:pPr>
      <w:bookmarkStart w:name="_Toc150852693" w:id="248"/>
      <w:r>
        <w:t xml:space="preserve">Facilitate </w:t>
      </w:r>
      <w:r w:rsidR="00B937BA">
        <w:t>construction to and within buildings</w:t>
      </w:r>
      <w:bookmarkEnd w:id="248"/>
    </w:p>
    <w:p w:rsidR="00E821C2" w:rsidP="00117E97" w:rsidRDefault="0035189C" w14:paraId="7EEB4609" w14:textId="4A5AA5B3">
      <w:r>
        <w:t xml:space="preserve">To </w:t>
      </w:r>
      <w:r w:rsidR="00095723">
        <w:t xml:space="preserve">help </w:t>
      </w:r>
      <w:r>
        <w:t>reduce cost</w:t>
      </w:r>
      <w:r w:rsidR="00C53342">
        <w:t>s</w:t>
      </w:r>
      <w:r>
        <w:t xml:space="preserve"> </w:t>
      </w:r>
      <w:r w:rsidR="00682DCB">
        <w:t>for providers</w:t>
      </w:r>
      <w:r w:rsidR="00946365">
        <w:t xml:space="preserve"> </w:t>
      </w:r>
      <w:r w:rsidR="007E448B">
        <w:t>to</w:t>
      </w:r>
      <w:r w:rsidR="00F70813">
        <w:t xml:space="preserve"> serve</w:t>
      </w:r>
      <w:r w:rsidR="00C53342">
        <w:t xml:space="preserve"> multiple dwelling units (MDU</w:t>
      </w:r>
      <w:r w:rsidR="00C04323">
        <w:t>s</w:t>
      </w:r>
      <w:r w:rsidR="00C53342">
        <w:t>) and multi-tenant commercial buildings</w:t>
      </w:r>
      <w:r w:rsidR="00095723">
        <w:t>,</w:t>
      </w:r>
      <w:r>
        <w:t xml:space="preserve"> </w:t>
      </w:r>
      <w:r w:rsidR="007D2D7D">
        <w:t>ADECA</w:t>
      </w:r>
      <w:r w:rsidR="003B2137">
        <w:t xml:space="preserve"> </w:t>
      </w:r>
      <w:r w:rsidR="008E1212">
        <w:t xml:space="preserve">will </w:t>
      </w:r>
      <w:r w:rsidR="00EE76CF">
        <w:t>promote as a best practice that</w:t>
      </w:r>
      <w:r w:rsidR="008E1212">
        <w:t xml:space="preserve"> localities </w:t>
      </w:r>
      <w:r w:rsidR="00EE76CF">
        <w:t>encourage</w:t>
      </w:r>
      <w:r w:rsidR="00973338">
        <w:t xml:space="preserve"> </w:t>
      </w:r>
      <w:r w:rsidR="008E1212">
        <w:t>developers</w:t>
      </w:r>
      <w:r w:rsidR="00973338">
        <w:t xml:space="preserve"> </w:t>
      </w:r>
      <w:r w:rsidR="00B46F0E">
        <w:t xml:space="preserve">to </w:t>
      </w:r>
      <w:r w:rsidR="0072686D">
        <w:t>create a cable pathway to their building</w:t>
      </w:r>
      <w:r w:rsidR="003A1255">
        <w:t xml:space="preserve"> </w:t>
      </w:r>
      <w:r w:rsidR="007D2D7D">
        <w:t>and install</w:t>
      </w:r>
      <w:r w:rsidR="003A1255">
        <w:t xml:space="preserve"> standards-compliant in-building </w:t>
      </w:r>
      <w:r w:rsidR="00AE1D07">
        <w:t>cabling or cable pathways</w:t>
      </w:r>
      <w:r w:rsidR="008823E5">
        <w:t>.</w:t>
      </w:r>
    </w:p>
    <w:p w:rsidR="00517CFE" w:rsidP="00117E97" w:rsidRDefault="00D14ADC" w14:paraId="512D65C3" w14:textId="22DF5C42">
      <w:r>
        <w:t>While the cost for a provider to install conduit from the public right-of-way to a building can be high, a developer may</w:t>
      </w:r>
      <w:r w:rsidR="00517CFE">
        <w:t xml:space="preserve"> add conduit for fiber</w:t>
      </w:r>
      <w:r w:rsidR="002670E7">
        <w:t xml:space="preserve"> </w:t>
      </w:r>
      <w:r w:rsidR="00517CFE">
        <w:t>optic cable in the same trench</w:t>
      </w:r>
      <w:r w:rsidR="00DE3F3D">
        <w:t xml:space="preserve"> </w:t>
      </w:r>
      <w:r w:rsidR="00A95FC2">
        <w:t>when</w:t>
      </w:r>
      <w:r w:rsidR="00E6628A">
        <w:t xml:space="preserve"> the</w:t>
      </w:r>
      <w:r w:rsidR="00A95FC2">
        <w:t>y install</w:t>
      </w:r>
      <w:r w:rsidR="00E6628A">
        <w:t xml:space="preserve"> conduit </w:t>
      </w:r>
      <w:r w:rsidR="00DE3F3D">
        <w:t>for other utilities</w:t>
      </w:r>
      <w:r w:rsidR="00A95FC2">
        <w:t xml:space="preserve"> during construction or renovation</w:t>
      </w:r>
      <w:r w:rsidR="000C5293">
        <w:t xml:space="preserve"> </w:t>
      </w:r>
      <w:r>
        <w:t>at a much lower incremental cost.</w:t>
      </w:r>
      <w:r w:rsidR="00553E17">
        <w:t xml:space="preserve"> This pathway typically runs from </w:t>
      </w:r>
      <w:r w:rsidR="000C5293">
        <w:t>the facility’s utility room to the property line.</w:t>
      </w:r>
      <w:r w:rsidR="00AA4C85">
        <w:t xml:space="preserve"> If a</w:t>
      </w:r>
      <w:r w:rsidR="005A086D">
        <w:t xml:space="preserve">n ISP </w:t>
      </w:r>
      <w:r w:rsidR="00AA4C85">
        <w:t>can use existing conduit</w:t>
      </w:r>
      <w:r w:rsidR="00FC1A52">
        <w:t xml:space="preserve">, </w:t>
      </w:r>
      <w:r w:rsidR="00AA4C85">
        <w:t xml:space="preserve">they may also avoid delays associated with </w:t>
      </w:r>
      <w:r w:rsidR="00101738">
        <w:t xml:space="preserve">constructing a new route, </w:t>
      </w:r>
      <w:r w:rsidR="00706F24">
        <w:t>including</w:t>
      </w:r>
      <w:r w:rsidR="00101738">
        <w:t xml:space="preserve"> permitting, engineering, and coordination with the building owner.</w:t>
      </w:r>
    </w:p>
    <w:p w:rsidRPr="00117E97" w:rsidR="009C6114" w:rsidP="00117E97" w:rsidRDefault="009C6114" w14:paraId="357B97CA" w14:textId="5BF354B3">
      <w:r>
        <w:t>Providers can also incur high costs</w:t>
      </w:r>
      <w:r w:rsidR="00342F56">
        <w:t xml:space="preserve"> </w:t>
      </w:r>
      <w:r>
        <w:t>install</w:t>
      </w:r>
      <w:r w:rsidR="00342F56">
        <w:t>ing</w:t>
      </w:r>
      <w:r w:rsidR="004133B0">
        <w:t xml:space="preserve"> </w:t>
      </w:r>
      <w:r w:rsidR="00C90079">
        <w:t xml:space="preserve">the </w:t>
      </w:r>
      <w:r>
        <w:t>cabling within a</w:t>
      </w:r>
      <w:r w:rsidR="00C74E74">
        <w:t xml:space="preserve">n apartment </w:t>
      </w:r>
      <w:r>
        <w:t xml:space="preserve">or office building </w:t>
      </w:r>
      <w:r w:rsidR="00017EA4">
        <w:t xml:space="preserve">to </w:t>
      </w:r>
      <w:r w:rsidR="004133B0">
        <w:t>serve</w:t>
      </w:r>
      <w:r w:rsidR="00017EA4">
        <w:t xml:space="preserve"> individual customers.</w:t>
      </w:r>
      <w:r w:rsidR="005D16FF">
        <w:t xml:space="preserve"> Municipalities can help mitigate </w:t>
      </w:r>
      <w:r w:rsidR="005B6210">
        <w:t>this expense</w:t>
      </w:r>
      <w:r w:rsidR="008D3417">
        <w:t xml:space="preserve"> by </w:t>
      </w:r>
      <w:r w:rsidR="00893EF2">
        <w:t>encouraging</w:t>
      </w:r>
      <w:r w:rsidR="003B454C">
        <w:t xml:space="preserve"> developers to install </w:t>
      </w:r>
      <w:r w:rsidR="00F92EEB">
        <w:t>standardized cabling or cable pathways</w:t>
      </w:r>
      <w:r w:rsidR="00A560E1">
        <w:t xml:space="preserve"> during new construction or renovations.</w:t>
      </w:r>
    </w:p>
    <w:p w:rsidRPr="004619BE" w:rsidR="004619BE" w:rsidP="001C3F88" w:rsidRDefault="004619BE" w14:paraId="1F895A49" w14:textId="3C2BD48D">
      <w:pPr>
        <w:pStyle w:val="Heading2"/>
        <w:numPr>
          <w:ilvl w:val="1"/>
          <w:numId w:val="23"/>
        </w:numPr>
      </w:pPr>
      <w:bookmarkStart w:name="_Toc150852694" w:id="249"/>
      <w:r w:rsidRPr="004619BE">
        <w:t>Reduce drop costs</w:t>
      </w:r>
      <w:bookmarkEnd w:id="249"/>
    </w:p>
    <w:p w:rsidRPr="004619BE" w:rsidR="004619BE" w:rsidP="004619BE" w:rsidRDefault="004619BE" w14:paraId="1FD76A78" w14:textId="10597605">
      <w:r w:rsidRPr="004619BE">
        <w:t xml:space="preserve">Drop costs, especially in rural areas where houses are often set back far from the public road, can be very high. Since </w:t>
      </w:r>
      <w:r w:rsidR="0073694B">
        <w:t>applicant</w:t>
      </w:r>
      <w:r w:rsidRPr="004619BE">
        <w:t xml:space="preserve">s are required to absorb such costs to connect subscribers under </w:t>
      </w:r>
      <w:r w:rsidR="005B6759">
        <w:t>the</w:t>
      </w:r>
      <w:r w:rsidRPr="004619BE">
        <w:t xml:space="preserve"> BEAD </w:t>
      </w:r>
      <w:r w:rsidR="005B6759">
        <w:t>Program</w:t>
      </w:r>
      <w:r w:rsidRPr="004619BE">
        <w:t xml:space="preserve">, they will factor these costs into cost proposals. Prospects for lowering such costs could lead to lower BEAD outlay requests and therefore more unserved and underserved locations that can be connected with Priority Broadband Projects. ADECA will consult with pole owners to determine if they are amenable to making pole locations publicly available for design and cost estimation purposes. If pole owners agree in certain areas, ADECA will offer to disseminate this information to </w:t>
      </w:r>
      <w:r w:rsidR="003A1C85">
        <w:t>participants in the Prequalification Phase</w:t>
      </w:r>
      <w:r w:rsidRPr="004619BE">
        <w:t xml:space="preserve">. </w:t>
      </w:r>
      <w:r w:rsidR="003408B2">
        <w:t>ADECA</w:t>
      </w:r>
      <w:r w:rsidR="000C29D7">
        <w:t xml:space="preserve"> will</w:t>
      </w:r>
      <w:r w:rsidR="003408B2">
        <w:t xml:space="preserve"> also</w:t>
      </w:r>
      <w:r w:rsidRPr="004619BE" w:rsidDel="000C29D7">
        <w:t xml:space="preserve"> </w:t>
      </w:r>
      <w:r w:rsidRPr="004619BE">
        <w:t xml:space="preserve">convene with </w:t>
      </w:r>
      <w:r w:rsidR="003408B2">
        <w:t xml:space="preserve">incumbent local exchange </w:t>
      </w:r>
      <w:r w:rsidR="0019699D">
        <w:t>carriers (</w:t>
      </w:r>
      <w:r w:rsidRPr="004619BE">
        <w:t>ILECs</w:t>
      </w:r>
      <w:r w:rsidR="0019699D">
        <w:t>)</w:t>
      </w:r>
      <w:r w:rsidRPr="004619BE">
        <w:t xml:space="preserve"> and </w:t>
      </w:r>
      <w:r w:rsidR="0019699D">
        <w:t>competitive local exchange carriers (</w:t>
      </w:r>
      <w:r w:rsidRPr="004619BE">
        <w:t>CLECs</w:t>
      </w:r>
      <w:r w:rsidR="0019699D">
        <w:t>)</w:t>
      </w:r>
      <w:r w:rsidRPr="004619BE">
        <w:t xml:space="preserve"> to assess the feasibility of using existing copper telephone wires on utility poles to </w:t>
      </w:r>
      <w:proofErr w:type="spellStart"/>
      <w:r w:rsidRPr="004619BE">
        <w:t>overlash</w:t>
      </w:r>
      <w:proofErr w:type="spellEnd"/>
      <w:r w:rsidRPr="004619BE">
        <w:t xml:space="preserve"> drop fiber cables. </w:t>
      </w:r>
      <w:r w:rsidR="0006174B">
        <w:t>ADECA</w:t>
      </w:r>
      <w:r w:rsidRPr="004619BE">
        <w:t xml:space="preserve"> will also convene with electric utilities to assess the feasibility of using existing messenger wires that support low-voltage power to lash drop fiber cables. </w:t>
      </w:r>
    </w:p>
    <w:p w:rsidRPr="004619BE" w:rsidR="004619BE" w:rsidP="001C3F88" w:rsidRDefault="004619BE" w14:paraId="261C4753" w14:textId="77777777">
      <w:pPr>
        <w:pStyle w:val="Heading2"/>
        <w:numPr>
          <w:ilvl w:val="1"/>
          <w:numId w:val="23"/>
        </w:numPr>
      </w:pPr>
      <w:bookmarkStart w:name="_Toc150852695" w:id="250"/>
      <w:r w:rsidRPr="004619BE">
        <w:t>Reduce labor costs</w:t>
      </w:r>
      <w:bookmarkEnd w:id="250"/>
    </w:p>
    <w:p w:rsidRPr="004619BE" w:rsidR="004619BE" w:rsidP="006F78D2" w:rsidRDefault="004619BE" w14:paraId="25E90ACE" w14:textId="77777777">
      <w:pPr>
        <w:pStyle w:val="Heading3"/>
        <w:numPr>
          <w:ilvl w:val="2"/>
          <w:numId w:val="23"/>
        </w:numPr>
      </w:pPr>
      <w:bookmarkStart w:name="_Toc150852696" w:id="251"/>
      <w:r w:rsidRPr="004619BE">
        <w:t>Strike a balance between skilled and certified labor requirements and the cost of labor</w:t>
      </w:r>
      <w:bookmarkEnd w:id="251"/>
    </w:p>
    <w:p w:rsidRPr="004619BE" w:rsidR="004619BE" w:rsidP="004619BE" w:rsidRDefault="004619BE" w14:paraId="78503788" w14:textId="684A415C">
      <w:r w:rsidRPr="004619BE">
        <w:t xml:space="preserve">Extending Priority Broadband </w:t>
      </w:r>
      <w:r w:rsidR="00D9225B">
        <w:t xml:space="preserve">Projects </w:t>
      </w:r>
      <w:r w:rsidRPr="004619BE">
        <w:t xml:space="preserve">to the maximum number of unserved and underserved </w:t>
      </w:r>
      <w:r w:rsidR="001F2D92">
        <w:t>locations</w:t>
      </w:r>
      <w:r w:rsidRPr="004619BE">
        <w:t xml:space="preserve"> requires lowering barriers to entry and the cost of construction, which includes labor costs. At the same time, </w:t>
      </w:r>
      <w:r w:rsidR="001F2D92">
        <w:t xml:space="preserve">ADECA </w:t>
      </w:r>
      <w:r w:rsidRPr="004619BE">
        <w:t>is committed to fair labor standards and wages that reflect the skills and certifications of workers.</w:t>
      </w:r>
      <w:r w:rsidR="00D32B71">
        <w:rPr>
          <w:rStyle w:val="FootnoteReference"/>
        </w:rPr>
        <w:footnoteReference w:id="109"/>
      </w:r>
      <w:r w:rsidRPr="004619BE">
        <w:t xml:space="preserve"> </w:t>
      </w:r>
    </w:p>
    <w:p w:rsidRPr="004619BE" w:rsidR="004619BE" w:rsidP="004619BE" w:rsidRDefault="004619BE" w14:paraId="20F07910" w14:textId="0BC70B22">
      <w:r w:rsidRPr="004619BE">
        <w:t xml:space="preserve">Accordingly, </w:t>
      </w:r>
      <w:r w:rsidR="00D32B71">
        <w:t>ADECA</w:t>
      </w:r>
      <w:r w:rsidRPr="004619BE">
        <w:t xml:space="preserve"> will require certifications appropriate to specific risks and roles, rather than overly broad professional requirements that would require specialized labor for low-skill tasks. ADECA will apply standards consistent with previous broadband initiatives and best practices provided by industry organizations. In addition, when engineering documentation requiring a </w:t>
      </w:r>
      <w:r w:rsidR="00E4555C">
        <w:t>P</w:t>
      </w:r>
      <w:r w:rsidRPr="004619BE">
        <w:t xml:space="preserve">rofessional </w:t>
      </w:r>
      <w:r w:rsidR="00E4555C">
        <w:t>E</w:t>
      </w:r>
      <w:r w:rsidRPr="004619BE">
        <w:t xml:space="preserve">ngineer certification is a condition of grant participation, ADECA will accept </w:t>
      </w:r>
      <w:r w:rsidR="00E4555C">
        <w:t>P</w:t>
      </w:r>
      <w:r w:rsidR="004013DE">
        <w:t xml:space="preserve">rofessional </w:t>
      </w:r>
      <w:r w:rsidR="00E4555C">
        <w:t>E</w:t>
      </w:r>
      <w:r w:rsidR="004013DE">
        <w:t>ngineer</w:t>
      </w:r>
      <w:r w:rsidRPr="004619BE">
        <w:t xml:space="preserve"> certifications from other states </w:t>
      </w:r>
      <w:r w:rsidR="004013DE">
        <w:t>beside Alabama</w:t>
      </w:r>
      <w:r w:rsidRPr="004619BE">
        <w:t>.</w:t>
      </w:r>
      <w:r w:rsidR="00A64EDB">
        <w:rPr>
          <w:rStyle w:val="FootnoteReference"/>
        </w:rPr>
        <w:footnoteReference w:id="110"/>
      </w:r>
    </w:p>
    <w:p w:rsidRPr="004619BE" w:rsidR="004619BE" w:rsidP="006F78D2" w:rsidRDefault="004619BE" w14:paraId="446119C1" w14:textId="77777777">
      <w:pPr>
        <w:pStyle w:val="Heading3"/>
        <w:numPr>
          <w:ilvl w:val="2"/>
          <w:numId w:val="23"/>
        </w:numPr>
      </w:pPr>
      <w:bookmarkStart w:name="_Toc150852697" w:id="252"/>
      <w:r w:rsidRPr="004619BE">
        <w:t>Increase supply of labor through workforce development initiatives</w:t>
      </w:r>
      <w:bookmarkEnd w:id="252"/>
    </w:p>
    <w:p w:rsidRPr="004619BE" w:rsidR="004619BE" w:rsidP="004619BE" w:rsidRDefault="004619BE" w14:paraId="5C25CAC4" w14:textId="280F9A91">
      <w:r w:rsidRPr="004619BE">
        <w:t xml:space="preserve">ADECA’s workforce development plan is outlined </w:t>
      </w:r>
      <w:r w:rsidR="00002BC8">
        <w:t xml:space="preserve">above </w:t>
      </w:r>
      <w:r w:rsidRPr="004619BE">
        <w:t xml:space="preserve">in Section </w:t>
      </w:r>
      <w:r w:rsidR="00D42699">
        <w:fldChar w:fldCharType="begin"/>
      </w:r>
      <w:r w:rsidR="00D42699">
        <w:instrText xml:space="preserve"> REF _Ref148099639 \r \h </w:instrText>
      </w:r>
      <w:r w:rsidR="00D42699">
        <w:fldChar w:fldCharType="separate"/>
      </w:r>
      <w:r w:rsidR="00D42699">
        <w:t>9</w:t>
      </w:r>
      <w:r w:rsidR="00D42699">
        <w:fldChar w:fldCharType="end"/>
      </w:r>
      <w:r w:rsidRPr="004619BE">
        <w:t xml:space="preserve">. </w:t>
      </w:r>
    </w:p>
    <w:p w:rsidRPr="004619BE" w:rsidR="004619BE" w:rsidP="001C3F88" w:rsidRDefault="004619BE" w14:paraId="2CB7D464" w14:textId="2CFB7A95">
      <w:pPr>
        <w:pStyle w:val="Heading2"/>
        <w:numPr>
          <w:ilvl w:val="1"/>
          <w:numId w:val="23"/>
        </w:numPr>
      </w:pPr>
      <w:bookmarkStart w:name="_Toc150852698" w:id="253"/>
      <w:r w:rsidRPr="004619BE">
        <w:t>Reduce overhead costs</w:t>
      </w:r>
      <w:bookmarkEnd w:id="253"/>
    </w:p>
    <w:p w:rsidRPr="004619BE" w:rsidR="004619BE" w:rsidP="006F78D2" w:rsidRDefault="004619BE" w14:paraId="36D64212" w14:textId="77777777">
      <w:pPr>
        <w:pStyle w:val="Heading3"/>
        <w:numPr>
          <w:ilvl w:val="2"/>
          <w:numId w:val="23"/>
        </w:numPr>
      </w:pPr>
      <w:bookmarkStart w:name="_Toc150852699" w:id="254"/>
      <w:r w:rsidRPr="004619BE">
        <w:t>Adopt reasonable, compliance-focused regulatory and reporting requirements</w:t>
      </w:r>
      <w:bookmarkEnd w:id="254"/>
    </w:p>
    <w:p w:rsidRPr="004619BE" w:rsidR="004619BE" w:rsidP="004619BE" w:rsidRDefault="00BF6CEF" w14:paraId="54B17691" w14:textId="01DA0259">
      <w:r>
        <w:t>ADECA</w:t>
      </w:r>
      <w:r w:rsidRPr="004619BE" w:rsidR="004619BE">
        <w:t xml:space="preserve"> will attempt to reduce the overhead costs of construction and network operation by striking an appropriate balance in its regulatory and reporting policies. </w:t>
      </w:r>
      <w:r>
        <w:t>ADECA</w:t>
      </w:r>
      <w:r w:rsidRPr="004619BE" w:rsidR="004619BE">
        <w:t xml:space="preserve"> will keep the interval of required reporting reasonable, </w:t>
      </w:r>
      <w:r w:rsidR="00636117">
        <w:t xml:space="preserve">subject to the requirements of </w:t>
      </w:r>
      <w:r>
        <w:t>the BEAD NOFO</w:t>
      </w:r>
      <w:r w:rsidRPr="004619BE" w:rsidR="004619BE">
        <w:t>,</w:t>
      </w:r>
      <w:r w:rsidR="00636117">
        <w:t xml:space="preserve"> and</w:t>
      </w:r>
      <w:r w:rsidRPr="004619BE" w:rsidR="004619BE">
        <w:t xml:space="preserve"> publish clear and concise reporting workflows so awardees can focus resources and efforts on construction, and leverage existing reporting templates for </w:t>
      </w:r>
      <w:r w:rsidR="004625F1">
        <w:t>s</w:t>
      </w:r>
      <w:r w:rsidRPr="004619BE" w:rsidR="004619BE">
        <w:t>tate grants, RDOF, or ReConnect where appropriate.</w:t>
      </w:r>
    </w:p>
    <w:p w:rsidRPr="004619BE" w:rsidR="004619BE" w:rsidP="006F78D2" w:rsidRDefault="004619BE" w14:paraId="371E8433" w14:textId="2DD7D027">
      <w:pPr>
        <w:pStyle w:val="Heading3"/>
        <w:numPr>
          <w:ilvl w:val="2"/>
          <w:numId w:val="23"/>
        </w:numPr>
      </w:pPr>
      <w:bookmarkStart w:name="_Toc150852700" w:id="255"/>
      <w:r w:rsidRPr="004619BE">
        <w:t>Create fast-track screening for environmental compliance</w:t>
      </w:r>
      <w:bookmarkEnd w:id="255"/>
      <w:r w:rsidR="550BAFBF">
        <w:t xml:space="preserve"> </w:t>
      </w:r>
    </w:p>
    <w:p w:rsidRPr="004619BE" w:rsidR="004619BE" w:rsidP="004619BE" w:rsidRDefault="00F64349" w14:paraId="28C2651B" w14:textId="62418A1D">
      <w:r>
        <w:t xml:space="preserve">ADECA will consider </w:t>
      </w:r>
      <w:r w:rsidR="00B97C44">
        <w:t xml:space="preserve">adopting a </w:t>
      </w:r>
      <w:r w:rsidRPr="004619BE" w:rsidR="004619BE">
        <w:t xml:space="preserve">fast-track screening for environmental safety evaluations </w:t>
      </w:r>
      <w:r w:rsidR="00B97C44">
        <w:t xml:space="preserve">in accordance </w:t>
      </w:r>
      <w:r w:rsidRPr="004619BE" w:rsidR="004619BE">
        <w:t>with NTIA guidance to simplify and help awardees navigate the environmental and historic preservation review process.</w:t>
      </w:r>
    </w:p>
    <w:p w:rsidRPr="004619BE" w:rsidR="004619BE" w:rsidP="006F78D2" w:rsidRDefault="004619BE" w14:paraId="44AD88B6" w14:textId="16DD9FB3">
      <w:pPr>
        <w:pStyle w:val="Heading3"/>
        <w:numPr>
          <w:ilvl w:val="2"/>
          <w:numId w:val="23"/>
        </w:numPr>
      </w:pPr>
      <w:bookmarkStart w:name="_Toc150852701" w:id="256"/>
      <w:r w:rsidRPr="004619BE">
        <w:t xml:space="preserve">Create an ISP technical assistance </w:t>
      </w:r>
      <w:r w:rsidR="00CF6B9E">
        <w:t>team</w:t>
      </w:r>
      <w:bookmarkEnd w:id="256"/>
      <w:r w:rsidR="26EA15CF">
        <w:t xml:space="preserve"> </w:t>
      </w:r>
    </w:p>
    <w:p w:rsidRPr="004619BE" w:rsidR="004619BE" w:rsidP="004619BE" w:rsidRDefault="004619BE" w14:paraId="50628808" w14:textId="18921636">
      <w:r w:rsidRPr="004619BE">
        <w:t>ADECA will create a</w:t>
      </w:r>
      <w:r w:rsidR="007E4034">
        <w:t>n ISP</w:t>
      </w:r>
      <w:r w:rsidRPr="004619BE">
        <w:t xml:space="preserve"> technical assistance </w:t>
      </w:r>
      <w:r w:rsidR="00CF6B9E">
        <w:t xml:space="preserve">team </w:t>
      </w:r>
      <w:r w:rsidR="007E4034">
        <w:t xml:space="preserve">for the BEAD Program </w:t>
      </w:r>
      <w:r w:rsidR="00CF6B9E">
        <w:t xml:space="preserve">comprised of its subject matter experts </w:t>
      </w:r>
      <w:r w:rsidR="007E4034">
        <w:t xml:space="preserve">and consultants </w:t>
      </w:r>
      <w:r w:rsidRPr="004619BE">
        <w:t xml:space="preserve">to share </w:t>
      </w:r>
      <w:r w:rsidR="009C415A">
        <w:t xml:space="preserve">guidance and </w:t>
      </w:r>
      <w:r w:rsidRPr="004619BE">
        <w:t>information regarding compliance reporting with awardees.</w:t>
      </w:r>
    </w:p>
    <w:p w:rsidRPr="004619BE" w:rsidR="004619BE" w:rsidP="001C3F88" w:rsidRDefault="004619BE" w14:paraId="005CB3A4" w14:textId="712C3C7E">
      <w:pPr>
        <w:pStyle w:val="Heading2"/>
        <w:numPr>
          <w:ilvl w:val="1"/>
          <w:numId w:val="23"/>
        </w:numPr>
      </w:pPr>
      <w:bookmarkStart w:name="_Toc150852702" w:id="257"/>
      <w:r w:rsidRPr="004619BE">
        <w:t>Reduce materials costs</w:t>
      </w:r>
      <w:bookmarkEnd w:id="257"/>
      <w:r w:rsidR="395056D6">
        <w:t xml:space="preserve"> </w:t>
      </w:r>
    </w:p>
    <w:p w:rsidRPr="004619BE" w:rsidR="004619BE" w:rsidP="006F78D2" w:rsidRDefault="004619BE" w14:paraId="58A29720" w14:textId="4008257A">
      <w:pPr>
        <w:pStyle w:val="Heading3"/>
        <w:numPr>
          <w:ilvl w:val="2"/>
          <w:numId w:val="23"/>
        </w:numPr>
      </w:pPr>
      <w:bookmarkStart w:name="_Toc150852703" w:id="258"/>
      <w:r w:rsidRPr="004619BE">
        <w:t xml:space="preserve">Identify approved vendors compliant with </w:t>
      </w:r>
      <w:r w:rsidR="0017075D">
        <w:t>BABA</w:t>
      </w:r>
      <w:r w:rsidRPr="004619BE">
        <w:t xml:space="preserve"> and negotiate discount rates</w:t>
      </w:r>
      <w:bookmarkEnd w:id="258"/>
    </w:p>
    <w:p w:rsidRPr="004619BE" w:rsidR="004619BE" w:rsidP="004619BE" w:rsidRDefault="0017075D" w14:paraId="708C9BBC" w14:textId="449DF0FB">
      <w:r>
        <w:t>ADECA</w:t>
      </w:r>
      <w:r w:rsidRPr="004619BE" w:rsidR="004619BE">
        <w:t xml:space="preserve"> will </w:t>
      </w:r>
      <w:r w:rsidR="5ACFCE0C">
        <w:t>encourage collaboration among</w:t>
      </w:r>
      <w:r w:rsidRPr="004619BE" w:rsidR="004619BE">
        <w:t xml:space="preserve"> BEAD awardees </w:t>
      </w:r>
      <w:r w:rsidR="425CE787">
        <w:t>to identify and share information about</w:t>
      </w:r>
      <w:r w:rsidRPr="004619BE" w:rsidR="004619BE">
        <w:t xml:space="preserve"> vendors that are compliant with </w:t>
      </w:r>
      <w:r>
        <w:t>BABA</w:t>
      </w:r>
      <w:r w:rsidRPr="004619BE" w:rsidR="004619BE">
        <w:t xml:space="preserve"> </w:t>
      </w:r>
      <w:r>
        <w:t>requirements</w:t>
      </w:r>
      <w:r w:rsidRPr="004619BE" w:rsidR="004619BE">
        <w:t xml:space="preserve"> and, where applicable, negotiating discounted rates for BEAD awardees. </w:t>
      </w:r>
    </w:p>
    <w:p w:rsidRPr="004619BE" w:rsidR="004619BE" w:rsidP="006F78D2" w:rsidRDefault="004619BE" w14:paraId="5D3F77D4" w14:textId="77777777">
      <w:pPr>
        <w:pStyle w:val="Heading3"/>
        <w:numPr>
          <w:ilvl w:val="2"/>
          <w:numId w:val="23"/>
        </w:numPr>
      </w:pPr>
      <w:bookmarkStart w:name="_Toc150852704" w:id="259"/>
      <w:r w:rsidRPr="004619BE">
        <w:t>Encourage awardees to form joint purchase coalitions and joint purchase agreements</w:t>
      </w:r>
      <w:bookmarkEnd w:id="259"/>
      <w:r w:rsidRPr="004619BE">
        <w:t xml:space="preserve"> </w:t>
      </w:r>
    </w:p>
    <w:p w:rsidRPr="004619BE" w:rsidR="004619BE" w:rsidP="004619BE" w:rsidRDefault="004619BE" w14:paraId="66E4D5A8" w14:textId="4540F6DE">
      <w:r w:rsidRPr="004619BE">
        <w:t>A</w:t>
      </w:r>
      <w:r w:rsidR="00A07A85">
        <w:t xml:space="preserve">DECA </w:t>
      </w:r>
      <w:r w:rsidRPr="004619BE">
        <w:t xml:space="preserve">will </w:t>
      </w:r>
      <w:r w:rsidR="00715387">
        <w:t>encourage</w:t>
      </w:r>
      <w:r w:rsidRPr="004619BE">
        <w:t xml:space="preserve"> the creation of joint purchasing coalitions and joint purchasing agreements among </w:t>
      </w:r>
      <w:r w:rsidR="00A07A85">
        <w:t xml:space="preserve">BEAD </w:t>
      </w:r>
      <w:r w:rsidRPr="004619BE">
        <w:t>awardees to provide them with additional leverage through which they may negotiate lower materials costs.</w:t>
      </w:r>
    </w:p>
    <w:p w:rsidR="000207A3" w:rsidP="00715387" w:rsidRDefault="000207A3" w14:paraId="20E9AE94" w14:textId="77777777">
      <w:pPr>
        <w:rPr>
          <w:rFonts w:ascii="Georgia" w:hAnsi="Georgia" w:eastAsiaTheme="majorEastAsia" w:cstheme="majorBidi"/>
          <w:b/>
          <w:bCs/>
          <w:color w:val="242451"/>
          <w:sz w:val="28"/>
          <w:szCs w:val="28"/>
        </w:rPr>
      </w:pPr>
      <w:r>
        <w:br w:type="page"/>
      </w:r>
    </w:p>
    <w:p w:rsidR="00BB04B5" w:rsidP="004F75AC" w:rsidRDefault="00BB04B5" w14:paraId="023F18E3" w14:textId="2319694F">
      <w:pPr>
        <w:pStyle w:val="Heading1"/>
      </w:pPr>
      <w:bookmarkStart w:name="_Toc150852705" w:id="260"/>
      <w:r>
        <w:t>Climate assessment</w:t>
      </w:r>
      <w:r w:rsidR="00620189">
        <w:t xml:space="preserve"> (Requirement 15)</w:t>
      </w:r>
      <w:bookmarkEnd w:id="260"/>
    </w:p>
    <w:p w:rsidR="0067708D" w:rsidP="0067708D" w:rsidRDefault="0067708D" w14:paraId="15D29316" w14:textId="00EC5E2E">
      <w:r>
        <w:t>This section accounts for and provides an assessment of current and future weather and climate-related risks to new broadband infrastructure in Alabama. These risks include, but are not limited to, wildfires, extreme heat, inland and coastal flooding, and the extreme winds produced by thunderstorms, tornadoes, and hurricanes. ADECA recognizes the importance of building climate-resilient broadband infrastructure.</w:t>
      </w:r>
    </w:p>
    <w:p w:rsidRPr="00C3617B" w:rsidR="0067708D" w:rsidP="0067708D" w:rsidRDefault="0067708D" w14:paraId="4A617A2C" w14:textId="46CF3013">
      <w:r w:rsidRPr="00C3617B">
        <w:t>Relatively mild winters, hot summers, and year-round precipitation characterize Alabama’s agriculture-friendly climate, according to the 2022 State Climate Summary for Alabama</w:t>
      </w:r>
      <w:r w:rsidRPr="00C3617B">
        <w:rPr>
          <w:vertAlign w:val="superscript"/>
        </w:rPr>
        <w:footnoteReference w:id="111"/>
      </w:r>
      <w:r w:rsidRPr="00C3617B">
        <w:t xml:space="preserve"> published by the National Oceanographic and Atmospheric Administration (NOAA) and the Cooperative Institute for Satellite Earth System Studies (CISESS). Tornadoes and hurricanes are two of the major weather hazards in Alabama. Between 1895 and 2019, an estimated 43 tornadoes, typically occurring in the spring and fall, touched down in Alabama each year.</w:t>
      </w:r>
      <w:r w:rsidR="00170486">
        <w:rPr>
          <w:rStyle w:val="FootnoteReference"/>
        </w:rPr>
        <w:footnoteReference w:id="112"/>
      </w:r>
    </w:p>
    <w:p w:rsidR="0067708D" w:rsidP="0067708D" w:rsidRDefault="0067708D" w14:paraId="1898D941" w14:textId="503B1ECE">
      <w:r w:rsidRPr="00C3617B">
        <w:t xml:space="preserve">The future-proof broadband networks made possible by the BEAD </w:t>
      </w:r>
      <w:r w:rsidR="0000373D">
        <w:t>P</w:t>
      </w:r>
      <w:r w:rsidRPr="00C3617B">
        <w:t>rogram will deliver more resilient networks.</w:t>
      </w:r>
      <w:r w:rsidRPr="00C3617B">
        <w:rPr>
          <w:vertAlign w:val="superscript"/>
        </w:rPr>
        <w:footnoteReference w:id="113"/>
      </w:r>
      <w:r w:rsidRPr="00C3617B">
        <w:t xml:space="preserve"> As a functional matter, fiber networks will also enable faster disaster recovery, improving the safety of Alabama residents. During the outreach efforts conducted </w:t>
      </w:r>
      <w:r>
        <w:t xml:space="preserve">for the BEAD and </w:t>
      </w:r>
      <w:r w:rsidR="000731AB">
        <w:t>Digital Equity Act</w:t>
      </w:r>
      <w:r>
        <w:t xml:space="preserve"> programs</w:t>
      </w:r>
      <w:r w:rsidRPr="00C3617B">
        <w:t>, Alabama residents told ADECA they believe that an important benefit of superior broadband networks would be better disaster recovery.</w:t>
      </w:r>
    </w:p>
    <w:p w:rsidR="0067708D" w:rsidP="0067708D" w:rsidRDefault="0067708D" w14:paraId="3AD36256" w14:textId="226F84CF">
      <w:r>
        <w:t>In Alabama, the Alabama Emergency Management Agency (EMA) takes the lead in disaster mitigation.</w:t>
      </w:r>
      <w:r>
        <w:rPr>
          <w:rStyle w:val="FootnoteReference"/>
        </w:rPr>
        <w:footnoteReference w:id="114"/>
      </w:r>
      <w:r>
        <w:t xml:space="preserve"> </w:t>
      </w:r>
      <w:r w:rsidRPr="00A43C50">
        <w:t xml:space="preserve">In accordance with the Disaster Mitigation Act of 2000, the State of </w:t>
      </w:r>
      <w:r>
        <w:t>Alabama</w:t>
      </w:r>
      <w:r w:rsidRPr="00A43C50">
        <w:t xml:space="preserve"> has routinely published a </w:t>
      </w:r>
      <w:r>
        <w:t>State</w:t>
      </w:r>
      <w:r w:rsidRPr="00A43C50">
        <w:t xml:space="preserve"> Hazard Mitigation Plan</w:t>
      </w:r>
      <w:r>
        <w:t xml:space="preserve"> (SHMP), most recently in 2018.</w:t>
      </w:r>
      <w:r>
        <w:rPr>
          <w:rStyle w:val="FootnoteReference"/>
        </w:rPr>
        <w:footnoteReference w:id="115"/>
      </w:r>
      <w:r>
        <w:t xml:space="preserve"> EMA also publishes an Emergency Operations Plan (EOP), last updated in 2023.</w:t>
      </w:r>
      <w:r>
        <w:rPr>
          <w:rStyle w:val="FootnoteReference"/>
        </w:rPr>
        <w:footnoteReference w:id="116"/>
      </w:r>
      <w:r>
        <w:t xml:space="preserve"> </w:t>
      </w:r>
      <w:r w:rsidR="0069733E">
        <w:t xml:space="preserve">ADECA </w:t>
      </w:r>
      <w:r w:rsidR="00D60B3D">
        <w:t>reviewed both the SHMP and EOP in the development of its climate assessment.</w:t>
      </w:r>
      <w:r>
        <w:t xml:space="preserve"> </w:t>
      </w:r>
    </w:p>
    <w:p w:rsidR="0067708D" w:rsidP="00906A6C" w:rsidRDefault="00800C59" w14:paraId="5A706145" w14:textId="45A2251F">
      <w:pPr>
        <w:pStyle w:val="Heading2"/>
        <w:numPr>
          <w:ilvl w:val="1"/>
          <w:numId w:val="23"/>
        </w:numPr>
      </w:pPr>
      <w:bookmarkStart w:name="_Toc147385555" w:id="261"/>
      <w:bookmarkStart w:name="_Toc150852706" w:id="262"/>
      <w:r>
        <w:t>Identifyi</w:t>
      </w:r>
      <w:r w:rsidR="00FB27BE">
        <w:t xml:space="preserve">ng geographic areas subject to </w:t>
      </w:r>
      <w:r w:rsidR="006536DA">
        <w:t xml:space="preserve">an </w:t>
      </w:r>
      <w:r w:rsidR="00FB27BE">
        <w:t>initial hazard screening</w:t>
      </w:r>
      <w:bookmarkEnd w:id="261"/>
      <w:bookmarkEnd w:id="262"/>
    </w:p>
    <w:p w:rsidR="0067708D" w:rsidP="0067708D" w:rsidRDefault="0067708D" w14:paraId="3F66AE7E" w14:textId="291D7BDF">
      <w:r>
        <w:t xml:space="preserve">The SHMP will be the main source of information for evaluating and locating high risk areas. This </w:t>
      </w:r>
      <w:r w:rsidRPr="00D229D2">
        <w:t xml:space="preserve">analysis will </w:t>
      </w:r>
      <w:r>
        <w:t xml:space="preserve">also use </w:t>
      </w:r>
      <w:r w:rsidRPr="00A64722">
        <w:t xml:space="preserve">the work conducted by FEMA’s National Risk Index (NRI) team to identify the hazards likely to impact </w:t>
      </w:r>
      <w:r>
        <w:t xml:space="preserve">residents of Alabama. It will </w:t>
      </w:r>
      <w:r w:rsidRPr="00D229D2">
        <w:t xml:space="preserve">employ the FEMA classification scheme, assessing each county’s risks relative to other counties around the nation, and ranking </w:t>
      </w:r>
      <w:r>
        <w:t xml:space="preserve">each </w:t>
      </w:r>
      <w:r w:rsidRPr="00D229D2">
        <w:t xml:space="preserve">county’s risks </w:t>
      </w:r>
      <w:r w:rsidR="00935768">
        <w:t>as</w:t>
      </w:r>
      <w:r w:rsidRPr="00D229D2">
        <w:t xml:space="preserve"> Very Low (0-20th percentile), Relatively Low (20th-40th percentile), Relatively Moderate (40th-60th percentile), Relatively High (60th-80th percentile), </w:t>
      </w:r>
      <w:r w:rsidR="00935768">
        <w:t>or</w:t>
      </w:r>
      <w:r w:rsidRPr="00D229D2">
        <w:t xml:space="preserve"> Very High (80th-</w:t>
      </w:r>
      <w:r w:rsidR="00415D7E">
        <w:t>10</w:t>
      </w:r>
      <w:r w:rsidRPr="00D229D2">
        <w:t>0th percentile).</w:t>
      </w:r>
    </w:p>
    <w:p w:rsidR="0067708D" w:rsidP="0067708D" w:rsidRDefault="0067708D" w14:paraId="6140F296" w14:textId="7CCA20D9">
      <w:r w:rsidRPr="00612112">
        <w:t xml:space="preserve">In addition to statewide planning, many permitting requirements and construction standards will govern the construction of BEAD-funded networks. These requirements will be subject to local ordinances. The </w:t>
      </w:r>
      <w:r w:rsidR="004625F1">
        <w:t>s</w:t>
      </w:r>
      <w:r w:rsidRPr="00612112">
        <w:t xml:space="preserve">tate has taken steps to ensure local policymakers are taking the latest climate projection data into account as they set their standards and requirements. To this end, the </w:t>
      </w:r>
      <w:r w:rsidR="004625F1">
        <w:t>s</w:t>
      </w:r>
      <w:r w:rsidRPr="00612112">
        <w:t>tate has prepared numerous resources to support local policymakers to help increase the resilience and adaptability of their jurisdictions, including publishing helpful documents and resources for localities to prepare their own community sustainability plans and climate vulnerability assessment and action plans.</w:t>
      </w:r>
    </w:p>
    <w:p w:rsidR="0067708D" w:rsidP="0067708D" w:rsidRDefault="0067708D" w14:paraId="13A74407" w14:textId="4444BCF1">
      <w:r>
        <w:t xml:space="preserve">As shown in the map below, FEMA ranks three Alabama counties as </w:t>
      </w:r>
      <w:r w:rsidR="00CE0C75">
        <w:t xml:space="preserve">being </w:t>
      </w:r>
      <w:r>
        <w:t>at Relatively High risk overall for natural hazards: Baldwin, Jefferson, and Mobile.</w:t>
      </w:r>
    </w:p>
    <w:p w:rsidR="0067708D" w:rsidP="0067708D" w:rsidRDefault="0067708D" w14:paraId="12E98ABA" w14:textId="5DE3C507">
      <w:pPr>
        <w:pStyle w:val="Caption"/>
      </w:pPr>
      <w:bookmarkStart w:name="_Toc150852758" w:id="263"/>
      <w:r>
        <w:t xml:space="preserve">Figure </w:t>
      </w:r>
      <w:r w:rsidR="00597437">
        <w:fldChar w:fldCharType="begin"/>
      </w:r>
      <w:r w:rsidR="00597437">
        <w:instrText xml:space="preserve"> SEQ Figure \* ARABIC </w:instrText>
      </w:r>
      <w:r w:rsidR="00597437">
        <w:fldChar w:fldCharType="separate"/>
      </w:r>
      <w:r w:rsidR="00571998">
        <w:rPr>
          <w:noProof/>
        </w:rPr>
        <w:t>4</w:t>
      </w:r>
      <w:r w:rsidR="00597437">
        <w:rPr>
          <w:noProof/>
        </w:rPr>
        <w:fldChar w:fldCharType="end"/>
      </w:r>
      <w:r>
        <w:t xml:space="preserve">: </w:t>
      </w:r>
      <w:proofErr w:type="gramStart"/>
      <w:r>
        <w:t>Composite county</w:t>
      </w:r>
      <w:proofErr w:type="gramEnd"/>
      <w:r>
        <w:t xml:space="preserve"> hazard risk scores in Alabama</w:t>
      </w:r>
      <w:bookmarkEnd w:id="263"/>
    </w:p>
    <w:p w:rsidR="0067708D" w:rsidP="0067708D" w:rsidRDefault="0067708D" w14:paraId="247BAE4E" w14:textId="77777777">
      <w:r>
        <w:rPr>
          <w:noProof/>
        </w:rPr>
        <w:drawing>
          <wp:inline distT="0" distB="0" distL="0" distR="0" wp14:anchorId="0E4513B1" wp14:editId="1AF0B12F">
            <wp:extent cx="5937250" cy="7683500"/>
            <wp:effectExtent l="0" t="0" r="6350" b="0"/>
            <wp:docPr id="648233358" name="Picture 648233358" descr="A composite county hazard risk map of Alabama showing that most of the state is at a very low or relatively low risk for a natural haz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33358" name="Picture 648233358" descr="A composite county hazard risk map of Alabama showing that most of the state is at a very low or relatively low risk for a natural hazard.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noFill/>
                    </a:ln>
                  </pic:spPr>
                </pic:pic>
              </a:graphicData>
            </a:graphic>
          </wp:inline>
        </w:drawing>
      </w:r>
    </w:p>
    <w:p w:rsidR="0067708D" w:rsidP="0050130D" w:rsidRDefault="00AD626D" w14:paraId="37DAAAAC" w14:textId="422434F4">
      <w:pPr>
        <w:pStyle w:val="Heading2"/>
        <w:numPr>
          <w:ilvl w:val="1"/>
          <w:numId w:val="23"/>
        </w:numPr>
      </w:pPr>
      <w:bookmarkStart w:name="_Toc147385556" w:id="264"/>
      <w:bookmarkStart w:name="_Toc150852707" w:id="265"/>
      <w:r>
        <w:t xml:space="preserve">Most important </w:t>
      </w:r>
      <w:r w:rsidR="00BC0FA7">
        <w:t xml:space="preserve">weather and climate hazards to account for and respond to </w:t>
      </w:r>
      <w:r w:rsidR="0067708D">
        <w:t>in areas susceptible to climate-related risks</w:t>
      </w:r>
      <w:bookmarkEnd w:id="264"/>
      <w:bookmarkEnd w:id="265"/>
    </w:p>
    <w:p w:rsidR="0067708D" w:rsidP="0067708D" w:rsidRDefault="0067708D" w14:paraId="5AD25522" w14:textId="77777777">
      <w:r>
        <w:t>The SHMP identified the following risks as relevant to Alabama:</w:t>
      </w:r>
    </w:p>
    <w:p w:rsidR="0067708D" w:rsidP="001B4244" w:rsidRDefault="0067708D" w14:paraId="5218F296" w14:textId="6CF23AE4">
      <w:pPr>
        <w:pStyle w:val="ListParagraph"/>
        <w:numPr>
          <w:ilvl w:val="0"/>
          <w:numId w:val="37"/>
        </w:numPr>
        <w:spacing w:after="200"/>
      </w:pPr>
      <w:r>
        <w:t xml:space="preserve">Dam </w:t>
      </w:r>
      <w:r w:rsidR="005E3569">
        <w:t>failure</w:t>
      </w:r>
      <w:r w:rsidR="0070234D">
        <w:t>s</w:t>
      </w:r>
    </w:p>
    <w:p w:rsidR="0067708D" w:rsidP="001B4244" w:rsidRDefault="0067708D" w14:paraId="221F3A4A" w14:textId="75F7F5DB">
      <w:pPr>
        <w:pStyle w:val="ListParagraph"/>
        <w:numPr>
          <w:ilvl w:val="0"/>
          <w:numId w:val="37"/>
        </w:numPr>
        <w:spacing w:after="200"/>
      </w:pPr>
      <w:r>
        <w:t>Drought</w:t>
      </w:r>
    </w:p>
    <w:p w:rsidR="0067708D" w:rsidP="001B4244" w:rsidRDefault="0067708D" w14:paraId="230BDB89" w14:textId="449FC92C">
      <w:pPr>
        <w:pStyle w:val="ListParagraph"/>
        <w:numPr>
          <w:ilvl w:val="0"/>
          <w:numId w:val="37"/>
        </w:numPr>
        <w:spacing w:after="200"/>
      </w:pPr>
      <w:r>
        <w:t>Earthquakes</w:t>
      </w:r>
    </w:p>
    <w:p w:rsidR="0067708D" w:rsidP="001B4244" w:rsidRDefault="0067708D" w14:paraId="18F1E885" w14:textId="29A0698B">
      <w:pPr>
        <w:pStyle w:val="ListParagraph"/>
        <w:numPr>
          <w:ilvl w:val="0"/>
          <w:numId w:val="37"/>
        </w:numPr>
        <w:spacing w:after="200"/>
      </w:pPr>
      <w:r>
        <w:t xml:space="preserve">Extreme </w:t>
      </w:r>
      <w:r w:rsidR="005E3569">
        <w:t>temperatures</w:t>
      </w:r>
    </w:p>
    <w:p w:rsidR="0067708D" w:rsidP="001B4244" w:rsidRDefault="0067708D" w14:paraId="1371F050" w14:textId="0D642071">
      <w:pPr>
        <w:pStyle w:val="ListParagraph"/>
        <w:numPr>
          <w:ilvl w:val="0"/>
          <w:numId w:val="37"/>
        </w:numPr>
        <w:spacing w:after="200"/>
      </w:pPr>
      <w:r>
        <w:t xml:space="preserve">Flooding </w:t>
      </w:r>
    </w:p>
    <w:p w:rsidR="0067708D" w:rsidP="001B4244" w:rsidRDefault="0067708D" w14:paraId="151CF72B" w14:textId="2CCC0159">
      <w:pPr>
        <w:pStyle w:val="ListParagraph"/>
        <w:numPr>
          <w:ilvl w:val="0"/>
          <w:numId w:val="37"/>
        </w:numPr>
        <w:spacing w:after="200"/>
      </w:pPr>
      <w:r>
        <w:t>Hail</w:t>
      </w:r>
    </w:p>
    <w:p w:rsidR="0067708D" w:rsidP="001B4244" w:rsidRDefault="0067708D" w14:paraId="1342F8C0" w14:textId="3770BA61">
      <w:pPr>
        <w:pStyle w:val="ListParagraph"/>
        <w:numPr>
          <w:ilvl w:val="0"/>
          <w:numId w:val="37"/>
        </w:numPr>
        <w:spacing w:after="200"/>
      </w:pPr>
      <w:r>
        <w:t xml:space="preserve">High </w:t>
      </w:r>
      <w:r w:rsidR="005E3569">
        <w:t>winds</w:t>
      </w:r>
      <w:r>
        <w:t xml:space="preserve"> </w:t>
      </w:r>
    </w:p>
    <w:p w:rsidR="0067708D" w:rsidP="001B4244" w:rsidRDefault="0067708D" w14:paraId="0B4DA636" w14:textId="5B22AAE0">
      <w:pPr>
        <w:pStyle w:val="ListParagraph"/>
        <w:numPr>
          <w:ilvl w:val="0"/>
          <w:numId w:val="37"/>
        </w:numPr>
        <w:spacing w:after="200"/>
      </w:pPr>
      <w:r>
        <w:t>Landslides</w:t>
      </w:r>
    </w:p>
    <w:p w:rsidR="0067708D" w:rsidP="001B4244" w:rsidRDefault="0067708D" w14:paraId="3CEE0B88" w14:textId="5C023C6C">
      <w:pPr>
        <w:pStyle w:val="ListParagraph"/>
        <w:numPr>
          <w:ilvl w:val="0"/>
          <w:numId w:val="37"/>
        </w:numPr>
        <w:spacing w:after="200"/>
      </w:pPr>
      <w:r>
        <w:t>Lightning</w:t>
      </w:r>
    </w:p>
    <w:p w:rsidR="0067708D" w:rsidP="001B4244" w:rsidRDefault="005E3569" w14:paraId="133D36CD" w14:textId="0F2B6CAC">
      <w:pPr>
        <w:pStyle w:val="ListParagraph"/>
        <w:numPr>
          <w:ilvl w:val="0"/>
          <w:numId w:val="37"/>
        </w:numPr>
        <w:spacing w:after="200"/>
      </w:pPr>
      <w:r>
        <w:t>Sea level rise and coastal land change</w:t>
      </w:r>
    </w:p>
    <w:p w:rsidR="0067708D" w:rsidP="001B4244" w:rsidRDefault="0067708D" w14:paraId="2E6C1A82" w14:textId="383DA3D4">
      <w:pPr>
        <w:pStyle w:val="ListParagraph"/>
        <w:numPr>
          <w:ilvl w:val="0"/>
          <w:numId w:val="37"/>
        </w:numPr>
        <w:spacing w:after="200"/>
      </w:pPr>
      <w:r>
        <w:t xml:space="preserve">Sinkholes and </w:t>
      </w:r>
      <w:r w:rsidR="005E3569">
        <w:t>land subsidence</w:t>
      </w:r>
    </w:p>
    <w:p w:rsidR="0067708D" w:rsidP="001B4244" w:rsidRDefault="0067708D" w14:paraId="0441C45F" w14:textId="054C4B84">
      <w:pPr>
        <w:pStyle w:val="ListParagraph"/>
        <w:numPr>
          <w:ilvl w:val="0"/>
          <w:numId w:val="37"/>
        </w:numPr>
        <w:spacing w:after="200"/>
      </w:pPr>
      <w:r>
        <w:t>Wildfires</w:t>
      </w:r>
    </w:p>
    <w:p w:rsidR="0067708D" w:rsidP="001B4244" w:rsidRDefault="0067708D" w14:paraId="6A172D80" w14:textId="5D430A61">
      <w:pPr>
        <w:pStyle w:val="ListParagraph"/>
        <w:numPr>
          <w:ilvl w:val="0"/>
          <w:numId w:val="37"/>
        </w:numPr>
        <w:spacing w:after="200"/>
      </w:pPr>
      <w:r>
        <w:t xml:space="preserve">Winter </w:t>
      </w:r>
      <w:r w:rsidR="005E3569">
        <w:t>storms</w:t>
      </w:r>
    </w:p>
    <w:p w:rsidR="0067708D" w:rsidP="0067708D" w:rsidRDefault="0067708D" w14:paraId="16398229" w14:textId="77777777">
      <w:r>
        <w:t>In order to prioritize these risks, the SHMP evaluated each risk according to the following five criteria: probability, impact, spatial extent, warning time, and duration. The result was a composite risk factor by which hazards were deemed high risk, medium risk, or low risk.</w:t>
      </w:r>
    </w:p>
    <w:p w:rsidR="0067708D" w:rsidP="0067708D" w:rsidRDefault="0067708D" w14:paraId="37431FA2" w14:textId="77777777">
      <w:r>
        <w:t>The SHMP categorized the following hazards as high risk, in descending order of risk:</w:t>
      </w:r>
    </w:p>
    <w:p w:rsidR="0067708D" w:rsidP="001B4244" w:rsidRDefault="0067708D" w14:paraId="2521614B" w14:textId="77777777">
      <w:pPr>
        <w:pStyle w:val="ListParagraph"/>
        <w:numPr>
          <w:ilvl w:val="0"/>
          <w:numId w:val="38"/>
        </w:numPr>
        <w:spacing w:after="200"/>
      </w:pPr>
      <w:r>
        <w:t>Flooding</w:t>
      </w:r>
    </w:p>
    <w:p w:rsidR="0067708D" w:rsidP="001B4244" w:rsidRDefault="0067708D" w14:paraId="0C9E531D" w14:textId="77777777">
      <w:pPr>
        <w:pStyle w:val="ListParagraph"/>
        <w:numPr>
          <w:ilvl w:val="0"/>
          <w:numId w:val="38"/>
        </w:numPr>
        <w:spacing w:after="200"/>
      </w:pPr>
      <w:r>
        <w:t>High winds</w:t>
      </w:r>
    </w:p>
    <w:p w:rsidR="0067708D" w:rsidP="001B4244" w:rsidRDefault="0067708D" w14:paraId="30E74359" w14:textId="77777777">
      <w:pPr>
        <w:pStyle w:val="ListParagraph"/>
        <w:numPr>
          <w:ilvl w:val="0"/>
          <w:numId w:val="38"/>
        </w:numPr>
        <w:spacing w:after="200"/>
      </w:pPr>
      <w:r>
        <w:t>Sea level rise</w:t>
      </w:r>
    </w:p>
    <w:p w:rsidR="0067708D" w:rsidP="0067708D" w:rsidRDefault="0067708D" w14:paraId="330F6F92" w14:textId="77777777">
      <w:r>
        <w:t>The SHMP categorized the following hazards as medium risk, in descending order of risk:</w:t>
      </w:r>
    </w:p>
    <w:p w:rsidR="0067708D" w:rsidP="001B4244" w:rsidRDefault="0067708D" w14:paraId="7237FD64" w14:textId="77777777">
      <w:pPr>
        <w:pStyle w:val="ListParagraph"/>
        <w:numPr>
          <w:ilvl w:val="0"/>
          <w:numId w:val="39"/>
        </w:numPr>
        <w:spacing w:after="200"/>
      </w:pPr>
      <w:r>
        <w:t>Winter storms</w:t>
      </w:r>
    </w:p>
    <w:p w:rsidR="0067708D" w:rsidP="001B4244" w:rsidRDefault="0067708D" w14:paraId="6900DEDC" w14:textId="6C0E822A">
      <w:pPr>
        <w:pStyle w:val="ListParagraph"/>
        <w:numPr>
          <w:ilvl w:val="0"/>
          <w:numId w:val="39"/>
        </w:numPr>
        <w:spacing w:after="200"/>
      </w:pPr>
      <w:r>
        <w:t>Wildfire</w:t>
      </w:r>
      <w:r w:rsidR="00150103">
        <w:t>s</w:t>
      </w:r>
    </w:p>
    <w:p w:rsidR="0067708D" w:rsidP="001B4244" w:rsidRDefault="0067708D" w14:paraId="61728FBC" w14:textId="77777777">
      <w:pPr>
        <w:pStyle w:val="ListParagraph"/>
        <w:numPr>
          <w:ilvl w:val="0"/>
          <w:numId w:val="39"/>
        </w:numPr>
        <w:spacing w:after="200"/>
      </w:pPr>
      <w:r>
        <w:t>Extreme temperatures</w:t>
      </w:r>
    </w:p>
    <w:p w:rsidR="0067708D" w:rsidP="001B4244" w:rsidRDefault="0067708D" w14:paraId="03011C22" w14:textId="77777777">
      <w:pPr>
        <w:pStyle w:val="ListParagraph"/>
        <w:numPr>
          <w:ilvl w:val="0"/>
          <w:numId w:val="39"/>
        </w:numPr>
        <w:spacing w:after="200"/>
      </w:pPr>
      <w:r>
        <w:t>Drought</w:t>
      </w:r>
    </w:p>
    <w:p w:rsidR="0067708D" w:rsidP="001B4244" w:rsidRDefault="0067708D" w14:paraId="5CA0E8FD" w14:textId="77777777">
      <w:pPr>
        <w:pStyle w:val="ListParagraph"/>
        <w:numPr>
          <w:ilvl w:val="0"/>
          <w:numId w:val="39"/>
        </w:numPr>
        <w:spacing w:after="200"/>
      </w:pPr>
      <w:r>
        <w:t>Landslides</w:t>
      </w:r>
    </w:p>
    <w:p w:rsidR="0067708D" w:rsidP="001B4244" w:rsidRDefault="0067708D" w14:paraId="24172B4C" w14:textId="77777777">
      <w:pPr>
        <w:pStyle w:val="ListParagraph"/>
        <w:numPr>
          <w:ilvl w:val="0"/>
          <w:numId w:val="39"/>
        </w:numPr>
        <w:spacing w:after="200"/>
      </w:pPr>
      <w:r>
        <w:t>Sinkholes and subsidence</w:t>
      </w:r>
    </w:p>
    <w:p w:rsidR="0067708D" w:rsidP="001B4244" w:rsidRDefault="0067708D" w14:paraId="27E4D6FB" w14:textId="77777777">
      <w:pPr>
        <w:pStyle w:val="ListParagraph"/>
        <w:numPr>
          <w:ilvl w:val="0"/>
          <w:numId w:val="39"/>
        </w:numPr>
        <w:spacing w:after="200"/>
      </w:pPr>
      <w:r>
        <w:t>Lightning</w:t>
      </w:r>
    </w:p>
    <w:p w:rsidR="0067708D" w:rsidP="001B4244" w:rsidRDefault="0067708D" w14:paraId="111822E5" w14:textId="77777777">
      <w:pPr>
        <w:pStyle w:val="ListParagraph"/>
        <w:numPr>
          <w:ilvl w:val="0"/>
          <w:numId w:val="39"/>
        </w:numPr>
        <w:spacing w:after="200"/>
      </w:pPr>
      <w:r>
        <w:t>Earthquakes</w:t>
      </w:r>
    </w:p>
    <w:p w:rsidR="0067708D" w:rsidP="0067708D" w:rsidRDefault="0067708D" w14:paraId="65FF5825" w14:textId="77777777">
      <w:r>
        <w:t>The SHMP categorized the following as low risk, in descending order of risk:</w:t>
      </w:r>
    </w:p>
    <w:p w:rsidR="0067708D" w:rsidP="001B4244" w:rsidRDefault="0067708D" w14:paraId="0FE5830C" w14:textId="77777777">
      <w:pPr>
        <w:pStyle w:val="ListParagraph"/>
        <w:numPr>
          <w:ilvl w:val="0"/>
          <w:numId w:val="40"/>
        </w:numPr>
        <w:spacing w:after="200"/>
      </w:pPr>
      <w:r>
        <w:t>Hail</w:t>
      </w:r>
    </w:p>
    <w:p w:rsidR="0067708D" w:rsidP="001B4244" w:rsidRDefault="0067708D" w14:paraId="72E123A5" w14:textId="77777777">
      <w:pPr>
        <w:pStyle w:val="ListParagraph"/>
        <w:numPr>
          <w:ilvl w:val="0"/>
          <w:numId w:val="40"/>
        </w:numPr>
        <w:spacing w:after="200"/>
      </w:pPr>
      <w:r>
        <w:t>Dam failures</w:t>
      </w:r>
    </w:p>
    <w:p w:rsidR="0067708D" w:rsidP="0067708D" w:rsidRDefault="0067708D" w14:paraId="42216B4D" w14:textId="7A048000">
      <w:r>
        <w:t>As shown below, even low</w:t>
      </w:r>
      <w:r w:rsidR="001B1841">
        <w:t>-</w:t>
      </w:r>
      <w:r>
        <w:t>risk hazards can pose a danger to human life and infrastructure. The text below is adapted from the SHMP</w:t>
      </w:r>
      <w:r w:rsidR="00E73393">
        <w:t>.</w:t>
      </w:r>
      <w:r w:rsidR="00E73393">
        <w:rPr>
          <w:rStyle w:val="FootnoteReference"/>
        </w:rPr>
        <w:footnoteReference w:id="117"/>
      </w:r>
      <w:r>
        <w:t xml:space="preserve"> Where FEMA nomenclature differs, FEMA </w:t>
      </w:r>
      <w:r w:rsidR="008900CB">
        <w:t xml:space="preserve">definitions are </w:t>
      </w:r>
      <w:r w:rsidR="00127812">
        <w:t>cited</w:t>
      </w:r>
      <w:r>
        <w:t xml:space="preserve"> in the relevant section.</w:t>
      </w:r>
    </w:p>
    <w:p w:rsidR="0067708D" w:rsidP="001904C2" w:rsidRDefault="0067708D" w14:paraId="171E3447" w14:textId="77777777">
      <w:pPr>
        <w:pStyle w:val="Heading3"/>
        <w:numPr>
          <w:ilvl w:val="2"/>
          <w:numId w:val="23"/>
        </w:numPr>
      </w:pPr>
      <w:bookmarkStart w:name="_Toc150852708" w:id="266"/>
      <w:r>
        <w:t>Dam failures</w:t>
      </w:r>
      <w:bookmarkEnd w:id="266"/>
    </w:p>
    <w:p w:rsidR="0067708D" w:rsidP="00274A02" w:rsidRDefault="0067708D" w14:paraId="37B340CC" w14:textId="0991D5F8">
      <w:r>
        <w:t xml:space="preserve">The SHMP categorizes dam failures as </w:t>
      </w:r>
      <w:proofErr w:type="gramStart"/>
      <w:r>
        <w:t>low</w:t>
      </w:r>
      <w:r w:rsidR="00916539">
        <w:t>-</w:t>
      </w:r>
      <w:r>
        <w:t>risk</w:t>
      </w:r>
      <w:proofErr w:type="gramEnd"/>
      <w:r>
        <w:t xml:space="preserve"> but notes that</w:t>
      </w:r>
      <w:r w:rsidR="00916539">
        <w:t>,</w:t>
      </w:r>
      <w:r>
        <w:t xml:space="preserve"> when they happen, there is rarely any advance warning. The</w:t>
      </w:r>
      <w:r w:rsidDel="00D71674">
        <w:t xml:space="preserve"> </w:t>
      </w:r>
      <w:r w:rsidR="00D71674">
        <w:t xml:space="preserve">State </w:t>
      </w:r>
      <w:r>
        <w:t xml:space="preserve">of Alabama has more than 132,000 miles of river and stream channels and more than 4,800 large dams (defined as dams with a capacity greater than 50 acre-feet or a height greater than 25 feet) that support irrigation, electrical generation, flood control, navigation, and/or recreation. </w:t>
      </w:r>
    </w:p>
    <w:p w:rsidR="0067708D" w:rsidP="0067708D" w:rsidRDefault="0067708D" w14:paraId="72C9A4C1" w14:textId="3193A60D">
      <w:r>
        <w:t>The most common cause of dam failure is flooding due to heavy rains. As the frequency of heavy rains increases, the incidence of dam failure in Alabama may increase</w:t>
      </w:r>
      <w:r w:rsidR="009C02E9">
        <w:t xml:space="preserve">, but </w:t>
      </w:r>
      <w:r w:rsidR="00014AC3">
        <w:t>the hazard</w:t>
      </w:r>
      <w:r w:rsidR="009C02E9">
        <w:t xml:space="preserve"> is </w:t>
      </w:r>
      <w:r w:rsidR="00014AC3">
        <w:t>not readily predictable</w:t>
      </w:r>
      <w:r>
        <w:t>.</w:t>
      </w:r>
    </w:p>
    <w:p w:rsidR="001E638A" w:rsidP="001B4244" w:rsidRDefault="001E638A" w14:paraId="7248E9FF" w14:textId="35A685CB">
      <w:pPr>
        <w:pStyle w:val="Heading3"/>
        <w:numPr>
          <w:ilvl w:val="2"/>
          <w:numId w:val="23"/>
        </w:numPr>
      </w:pPr>
      <w:bookmarkStart w:name="_Toc150852709" w:id="267"/>
      <w:r w:rsidRPr="001E638A">
        <w:t>Drought</w:t>
      </w:r>
      <w:bookmarkEnd w:id="267"/>
    </w:p>
    <w:p w:rsidR="0067708D" w:rsidP="0067708D" w:rsidRDefault="0067708D" w14:paraId="09044051" w14:textId="6AC974F0">
      <w:r>
        <w:t>The SHMP categorizes drought as a medium</w:t>
      </w:r>
      <w:r w:rsidR="00916539">
        <w:t>-</w:t>
      </w:r>
      <w:r>
        <w:t>priority hazard that tends to cover a large geographic area and can have a long duration.</w:t>
      </w:r>
    </w:p>
    <w:p w:rsidR="0067708D" w:rsidP="0067708D" w:rsidRDefault="0067708D" w14:paraId="03241BA0" w14:textId="77777777">
      <w:r>
        <w:t>Drought, which is a normal part of nearly all climates, is a water shortage originating from a deficiency in expected precipitation caused by unusual weather patterns. If these weather patterns persist for several months to several years, the drought is considered to be long-term; a short-term drought may last several weeks to a few months.</w:t>
      </w:r>
    </w:p>
    <w:p w:rsidR="0067708D" w:rsidP="0067708D" w:rsidRDefault="0067708D" w14:paraId="1B448572" w14:textId="20EABF84">
      <w:r w:rsidRPr="00FB3C63">
        <w:t>The U.S. Drought Monitor, a partnership between the National Drought Mitigation Center at the University of Nebraska-Lincoln, the United States Department of Agriculture</w:t>
      </w:r>
      <w:r>
        <w:t>,</w:t>
      </w:r>
      <w:r w:rsidRPr="00FB3C63">
        <w:t xml:space="preserve"> and </w:t>
      </w:r>
      <w:r w:rsidR="002A33FB">
        <w:t>NOAA</w:t>
      </w:r>
      <w:r w:rsidRPr="00FB3C63">
        <w:t>, regularly updates drought maps of the United States.</w:t>
      </w:r>
      <w:r>
        <w:rPr>
          <w:rStyle w:val="FootnoteReference"/>
        </w:rPr>
        <w:footnoteReference w:id="118"/>
      </w:r>
      <w:r w:rsidRPr="00FB3C63">
        <w:t xml:space="preserve"> The </w:t>
      </w:r>
      <w:r>
        <w:t>Alabama</w:t>
      </w:r>
      <w:r w:rsidRPr="00FB3C63">
        <w:t xml:space="preserve"> map shows that counties in the </w:t>
      </w:r>
      <w:r>
        <w:t xml:space="preserve">southwestern area of the </w:t>
      </w:r>
      <w:r w:rsidR="004625F1">
        <w:t>s</w:t>
      </w:r>
      <w:r>
        <w:t>tate</w:t>
      </w:r>
      <w:r w:rsidRPr="00FB3C63">
        <w:t xml:space="preserve"> are experiencing </w:t>
      </w:r>
      <w:r>
        <w:t xml:space="preserve">the most severe </w:t>
      </w:r>
      <w:r w:rsidRPr="00FB3C63">
        <w:t>drought conditions.</w:t>
      </w:r>
      <w:r>
        <w:rPr>
          <w:rStyle w:val="FootnoteReference"/>
        </w:rPr>
        <w:footnoteReference w:id="119"/>
      </w:r>
      <w:r w:rsidRPr="00FB3C63">
        <w:t xml:space="preserve"> </w:t>
      </w:r>
    </w:p>
    <w:p w:rsidR="0067708D" w:rsidP="0067708D" w:rsidRDefault="0067708D" w14:paraId="2EC0225C" w14:textId="6352E653">
      <w:r>
        <w:t xml:space="preserve">When a drought does occur in Alabama, the social, economic, and environmental impacts have the potential to be severe and widespread. Damage to infrastructure includes increased energy prices due to the loss of hydropower. </w:t>
      </w:r>
    </w:p>
    <w:p w:rsidR="0067708D" w:rsidP="0067708D" w:rsidRDefault="0067708D" w14:paraId="1BF2F9E4" w14:textId="77777777">
      <w:r>
        <w:t>In recognition of the potential widespread impacts of drought and to ensure consistent communication of drought conditions and impacts, ADECA’s Office of Water Resources (OWR) regularly updates the Alabama Drought Management Plan (DMP), most recently in 2018.</w:t>
      </w:r>
      <w:r>
        <w:rPr>
          <w:rStyle w:val="FootnoteReference"/>
        </w:rPr>
        <w:footnoteReference w:id="120"/>
      </w:r>
      <w:r>
        <w:t xml:space="preserve"> OWR also assists local entities in preparing local drought management plans. </w:t>
      </w:r>
    </w:p>
    <w:p w:rsidR="0067708D" w:rsidP="00C466DC" w:rsidRDefault="0067708D" w14:paraId="0E344067" w14:textId="77777777">
      <w:pPr>
        <w:pStyle w:val="Heading3"/>
        <w:numPr>
          <w:ilvl w:val="2"/>
          <w:numId w:val="42"/>
        </w:numPr>
        <w:tabs>
          <w:tab w:val="num" w:pos="1080"/>
        </w:tabs>
      </w:pPr>
      <w:bookmarkStart w:name="_Toc150852710" w:id="268"/>
      <w:r>
        <w:t>Earthquakes</w:t>
      </w:r>
      <w:bookmarkEnd w:id="268"/>
    </w:p>
    <w:p w:rsidR="0067708D" w:rsidP="0067708D" w:rsidRDefault="0067708D" w14:paraId="05976CCA" w14:textId="6E640AC8">
      <w:r>
        <w:t>The SHMP categorizes earthquakes as a medium</w:t>
      </w:r>
      <w:r w:rsidR="00B66C3E">
        <w:t>-</w:t>
      </w:r>
      <w:r>
        <w:t xml:space="preserve">priority risk because of their low likelihood of occurrence balanced by their large impact and minimal, if any, advance warning time. </w:t>
      </w:r>
      <w:r w:rsidRPr="004E5116">
        <w:t>It is important to emphasize that earthquakes are low</w:t>
      </w:r>
      <w:r w:rsidR="00B66C3E">
        <w:t>-</w:t>
      </w:r>
      <w:r w:rsidRPr="004E5116">
        <w:t>probability, high</w:t>
      </w:r>
      <w:r w:rsidR="00B66C3E">
        <w:t>-</w:t>
      </w:r>
      <w:r w:rsidRPr="004E5116">
        <w:t>consequence events.</w:t>
      </w:r>
    </w:p>
    <w:p w:rsidR="0067708D" w:rsidP="0067708D" w:rsidRDefault="0067708D" w14:paraId="4BC53B5D" w14:textId="321E17E8">
      <w:r w:rsidRPr="00712CED">
        <w:t>Earthquakes are the sudden, rapid shaking of the earth, caused by the breaking and shifting of underground rock.</w:t>
      </w:r>
      <w:r>
        <w:rPr>
          <w:rStyle w:val="FootnoteReference"/>
        </w:rPr>
        <w:footnoteReference w:id="121"/>
      </w:r>
      <w:r w:rsidRPr="00712CED">
        <w:t xml:space="preserve"> </w:t>
      </w:r>
      <w:r>
        <w:t>Earthquakes felt in Alabama are associated with four seismic zones: the Southern Appalachian Seismic Zone, the Bahamas Fracture Seismic Zone, the South Carolina Seismic Zone, and the New Madrid Seismic Zone.</w:t>
      </w:r>
      <w:r w:rsidR="00EF0695">
        <w:t xml:space="preserve"> </w:t>
      </w:r>
      <w:r>
        <w:t>Earthquakes centered in Alabama are not the only earthquakes with the potential to impact the state. Intraplate earthquakes associated with the New Madrid Seismic Zone to the northwest and the South Carolina Seismic Zone to the east are often felt in Alabama and have the potential to cause considerable damage.</w:t>
      </w:r>
    </w:p>
    <w:p w:rsidR="00EF0695" w:rsidP="0067708D" w:rsidRDefault="00EF0695" w14:paraId="4E1D3312" w14:textId="434E033F">
      <w:r>
        <w:t>Secondary seismic hazards can significantly increase the impact of an earthquake. One secondary hazard of particular concern in Alabama is ground failure through landslides, sinkholes, or liquefaction.</w:t>
      </w:r>
    </w:p>
    <w:p w:rsidR="0067708D" w:rsidP="0067708D" w:rsidRDefault="0067708D" w14:paraId="0BA1D500" w14:textId="5E3E0503">
      <w:r>
        <w:t xml:space="preserve">Given the high impact but low probability of earthquakes, ADECA will review </w:t>
      </w:r>
      <w:r w:rsidR="00884B44">
        <w:t xml:space="preserve">subgrantees’ </w:t>
      </w:r>
      <w:r>
        <w:t>business continuity and network recovery procedures rather than specific earthquake-related measures.</w:t>
      </w:r>
    </w:p>
    <w:p w:rsidR="0067708D" w:rsidP="0067708D" w:rsidRDefault="0067708D" w14:paraId="5A751F0A" w14:textId="77777777">
      <w:r>
        <w:t xml:space="preserve">As shown in the map below, FEMA ranks most counties in Alabama as at Very High or Relatively High risk of earthquakes, with most risks concentrated in urban and mountainous areas. </w:t>
      </w:r>
    </w:p>
    <w:p w:rsidR="0067708D" w:rsidP="0067708D" w:rsidRDefault="0067708D" w14:paraId="5A34ABC2" w14:textId="2F1E40F5">
      <w:pPr>
        <w:pStyle w:val="Caption"/>
      </w:pPr>
      <w:bookmarkStart w:name="_Toc150852759" w:id="269"/>
      <w:r>
        <w:t xml:space="preserve">Figure </w:t>
      </w:r>
      <w:r w:rsidR="00597437">
        <w:fldChar w:fldCharType="begin"/>
      </w:r>
      <w:r w:rsidR="00597437">
        <w:instrText xml:space="preserve"> SEQ Figure \* ARABIC </w:instrText>
      </w:r>
      <w:r w:rsidR="00597437">
        <w:fldChar w:fldCharType="separate"/>
      </w:r>
      <w:r w:rsidR="00571998">
        <w:rPr>
          <w:noProof/>
        </w:rPr>
        <w:t>5</w:t>
      </w:r>
      <w:r w:rsidR="00597437">
        <w:rPr>
          <w:noProof/>
        </w:rPr>
        <w:fldChar w:fldCharType="end"/>
      </w:r>
      <w:r>
        <w:t xml:space="preserve">: </w:t>
      </w:r>
      <w:r w:rsidR="00F96EB6">
        <w:t>R</w:t>
      </w:r>
      <w:r>
        <w:t xml:space="preserve">isk </w:t>
      </w:r>
      <w:r w:rsidR="00F96EB6">
        <w:t>of earthquakes</w:t>
      </w:r>
      <w:r>
        <w:t xml:space="preserve"> in Alabama</w:t>
      </w:r>
      <w:bookmarkEnd w:id="269"/>
    </w:p>
    <w:p w:rsidR="0067708D" w:rsidP="0067708D" w:rsidRDefault="0067708D" w14:paraId="31AE053F" w14:textId="77777777">
      <w:r>
        <w:rPr>
          <w:noProof/>
        </w:rPr>
        <w:drawing>
          <wp:inline distT="0" distB="0" distL="0" distR="0" wp14:anchorId="2D53CABF" wp14:editId="19E6B4DC">
            <wp:extent cx="5937250" cy="7683500"/>
            <wp:effectExtent l="0" t="0" r="6350" b="0"/>
            <wp:docPr id="774271523" name="Picture 774271523" descr="A map of the risk of earthquakes in the State of Alabama that shows northern Alabama is generally a relatively high or very high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71523" name="Picture 774271523" descr="A map of the risk of earthquakes in the State of Alabama that shows northern Alabama is generally a relatively high or very high ris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noFill/>
                    </a:ln>
                  </pic:spPr>
                </pic:pic>
              </a:graphicData>
            </a:graphic>
          </wp:inline>
        </w:drawing>
      </w:r>
    </w:p>
    <w:p w:rsidR="0067708D" w:rsidP="00323F4A" w:rsidRDefault="0067708D" w14:paraId="7C0C1E92" w14:textId="77777777">
      <w:pPr>
        <w:pStyle w:val="Heading3"/>
        <w:numPr>
          <w:ilvl w:val="2"/>
          <w:numId w:val="42"/>
        </w:numPr>
      </w:pPr>
      <w:bookmarkStart w:name="_Toc150852711" w:id="270"/>
      <w:r>
        <w:t>Extreme temperatures</w:t>
      </w:r>
      <w:bookmarkEnd w:id="270"/>
    </w:p>
    <w:p w:rsidR="0067708D" w:rsidP="0067708D" w:rsidRDefault="0067708D" w14:paraId="77FDBB53" w14:textId="3F53DC15">
      <w:r>
        <w:t xml:space="preserve">The hazard of extreme temperatures encompasses instances of both extreme heat and extreme cold. The SHMP ranks this hazard as </w:t>
      </w:r>
      <w:proofErr w:type="gramStart"/>
      <w:r>
        <w:t>medium</w:t>
      </w:r>
      <w:r w:rsidR="00DF3563">
        <w:t>-</w:t>
      </w:r>
      <w:r>
        <w:t>risk</w:t>
      </w:r>
      <w:proofErr w:type="gramEnd"/>
      <w:r>
        <w:t>, with a high probability and long duration balanced by good warning time and relatively low impact (due to preparedness and mitigation measures).</w:t>
      </w:r>
    </w:p>
    <w:p w:rsidR="0067708D" w:rsidP="00323F4A" w:rsidRDefault="0067708D" w14:paraId="5C085BC2" w14:textId="06C2C8DD">
      <w:pPr>
        <w:pStyle w:val="Heading4"/>
      </w:pPr>
      <w:r>
        <w:t>Extreme heat</w:t>
      </w:r>
    </w:p>
    <w:p w:rsidR="0067708D" w:rsidP="0067708D" w:rsidRDefault="0067708D" w14:paraId="47B4FE03" w14:textId="27354451">
      <w:r>
        <w:t xml:space="preserve">Extreme heat </w:t>
      </w:r>
      <w:r w:rsidR="003110BC">
        <w:t>is</w:t>
      </w:r>
      <w:r>
        <w:t xml:space="preserve"> a period of excessively hot weather with </w:t>
      </w:r>
      <w:r w:rsidDel="004465CE">
        <w:t>higher</w:t>
      </w:r>
      <w:r w:rsidR="004465CE">
        <w:t>-than-average</w:t>
      </w:r>
      <w:r>
        <w:t xml:space="preserve"> temperatures, combined with high humidity. Extreme heat often occurs in the summer months but can vary regionally. In most of the United States, according to FEMA, extreme heat is a period of at least two to three days of high humidity with temperatures over 90 degrees.</w:t>
      </w:r>
      <w:r>
        <w:rPr>
          <w:rStyle w:val="FootnoteReference"/>
        </w:rPr>
        <w:footnoteReference w:id="122"/>
      </w:r>
    </w:p>
    <w:p w:rsidR="0067708D" w:rsidP="0067708D" w:rsidRDefault="0067708D" w14:paraId="05819F72" w14:textId="057735C8">
      <w:r w:rsidRPr="00221928">
        <w:t>Summers in Alabama are among the hottest in the U</w:t>
      </w:r>
      <w:r w:rsidR="0083374F">
        <w:t>nited States</w:t>
      </w:r>
      <w:r w:rsidRPr="00221928">
        <w:t>, with high temperatures averaging over</w:t>
      </w:r>
      <w:r>
        <w:t xml:space="preserve"> 90 degrees throughout the </w:t>
      </w:r>
      <w:r w:rsidR="004625F1">
        <w:t>s</w:t>
      </w:r>
      <w:r>
        <w:t xml:space="preserve">tate. </w:t>
      </w:r>
      <w:r w:rsidRPr="00C726E8">
        <w:t xml:space="preserve">Because extreme heat is prevalent across </w:t>
      </w:r>
      <w:r>
        <w:t>Alabama</w:t>
      </w:r>
      <w:r w:rsidRPr="00C726E8">
        <w:t>, residents are</w:t>
      </w:r>
      <w:r>
        <w:t xml:space="preserve"> </w:t>
      </w:r>
      <w:r w:rsidRPr="00C726E8">
        <w:t>accustomed to these conditions</w:t>
      </w:r>
      <w:r w:rsidR="005938BA">
        <w:t>; however,</w:t>
      </w:r>
      <w:r w:rsidRPr="00C726E8">
        <w:t xml:space="preserve"> </w:t>
      </w:r>
      <w:r w:rsidR="005938BA">
        <w:t>e</w:t>
      </w:r>
      <w:r>
        <w:t>xtreme heat can have a significant impact on utility power services</w:t>
      </w:r>
      <w:r w:rsidR="00785259">
        <w:t>, including those that provide broadband services</w:t>
      </w:r>
      <w:r>
        <w:t>.</w:t>
      </w:r>
      <w:r>
        <w:rPr>
          <w:rStyle w:val="FootnoteReference"/>
        </w:rPr>
        <w:footnoteReference w:id="123"/>
      </w:r>
    </w:p>
    <w:p w:rsidR="0067708D" w:rsidP="0067708D" w:rsidRDefault="0067708D" w14:paraId="078BB37C" w14:textId="44E65171">
      <w:r>
        <w:t>As shown in the map below, FEMA ranks most counties in Alabama as at Very High or Moderately High risk of heat waves.</w:t>
      </w:r>
      <w:r w:rsidR="00A722E2">
        <w:rPr>
          <w:rStyle w:val="FootnoteReference"/>
        </w:rPr>
        <w:footnoteReference w:id="124"/>
      </w:r>
    </w:p>
    <w:p w:rsidR="0067708D" w:rsidP="0067708D" w:rsidRDefault="0067708D" w14:paraId="15715C1D" w14:textId="606F4A37">
      <w:pPr>
        <w:pStyle w:val="Caption"/>
      </w:pPr>
      <w:bookmarkStart w:name="_Toc150852760" w:id="271"/>
      <w:r>
        <w:t xml:space="preserve">Figure </w:t>
      </w:r>
      <w:r w:rsidR="00597437">
        <w:fldChar w:fldCharType="begin"/>
      </w:r>
      <w:r w:rsidR="00597437">
        <w:instrText xml:space="preserve"> SEQ Figure \* ARABIC </w:instrText>
      </w:r>
      <w:r w:rsidR="00597437">
        <w:fldChar w:fldCharType="separate"/>
      </w:r>
      <w:r w:rsidR="00571998">
        <w:rPr>
          <w:noProof/>
        </w:rPr>
        <w:t>6</w:t>
      </w:r>
      <w:r w:rsidR="00597437">
        <w:rPr>
          <w:noProof/>
        </w:rPr>
        <w:fldChar w:fldCharType="end"/>
      </w:r>
      <w:r>
        <w:t>: Risk of heat waves in Alabama</w:t>
      </w:r>
      <w:bookmarkEnd w:id="271"/>
    </w:p>
    <w:p w:rsidR="0067708D" w:rsidP="001E638A" w:rsidRDefault="0067708D" w14:paraId="38E783A0" w14:textId="77777777">
      <w:pPr>
        <w:jc w:val="center"/>
      </w:pPr>
      <w:r>
        <w:rPr>
          <w:noProof/>
        </w:rPr>
        <w:drawing>
          <wp:inline distT="0" distB="0" distL="0" distR="0" wp14:anchorId="4A446F07" wp14:editId="41EABEDC">
            <wp:extent cx="5909559" cy="7644809"/>
            <wp:effectExtent l="0" t="0" r="0" b="0"/>
            <wp:docPr id="1047291041" name="Picture 1047291041" descr="A map showing that the only county at a relatively low risk of a heat wave in Alabama is Jefferson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291041" name="Picture 1047291041" descr="A map showing that the only county at a relatively low risk of a heat wave in Alabama is Jefferson Coun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5207" cy="7665051"/>
                    </a:xfrm>
                    <a:prstGeom prst="rect">
                      <a:avLst/>
                    </a:prstGeom>
                    <a:noFill/>
                    <a:ln>
                      <a:noFill/>
                    </a:ln>
                  </pic:spPr>
                </pic:pic>
              </a:graphicData>
            </a:graphic>
          </wp:inline>
        </w:drawing>
      </w:r>
    </w:p>
    <w:p w:rsidR="0067708D" w:rsidP="00323F4A" w:rsidRDefault="0067708D" w14:paraId="24B168B8" w14:textId="7B288907">
      <w:pPr>
        <w:pStyle w:val="Heading4"/>
      </w:pPr>
      <w:r>
        <w:t>Extreme cold</w:t>
      </w:r>
    </w:p>
    <w:p w:rsidRPr="004F0558" w:rsidR="0067708D" w:rsidP="0067708D" w:rsidRDefault="0067708D" w14:paraId="450B1B48" w14:textId="2F978C3F">
      <w:r w:rsidRPr="002419E4">
        <w:t>Although less likely</w:t>
      </w:r>
      <w:r>
        <w:t xml:space="preserve"> than extreme heat</w:t>
      </w:r>
      <w:r w:rsidRPr="002419E4">
        <w:t>, extreme cold temperatures can also impact Alabama.</w:t>
      </w:r>
      <w:r>
        <w:t xml:space="preserve"> Alabama residents are less accustomed to and less prepared for extreme cold, and therefore more vulnerable to these events.</w:t>
      </w:r>
    </w:p>
    <w:p w:rsidR="0067708D" w:rsidP="0067708D" w:rsidRDefault="0067708D" w14:paraId="56227B16" w14:textId="77777777">
      <w:r>
        <w:t>As global temperatures rise, the number of extreme cold days in Alabama is expected to decrease. In the northern tier of the state, the length of the freeze-free season may increase by as much as 30 days by the middle of the 21st century.</w:t>
      </w:r>
    </w:p>
    <w:p w:rsidR="0067708D" w:rsidP="0067708D" w:rsidRDefault="0067708D" w14:paraId="03D8E458" w14:textId="4B7A0ACB">
      <w:r>
        <w:t>FEMA defines a cold wave as “</w:t>
      </w:r>
      <w:r w:rsidRPr="00DC4CE9">
        <w:t>a rapid fall in temperature within 24 hours and extreme low temperatures for an extended period</w:t>
      </w:r>
      <w:r>
        <w:t>.”</w:t>
      </w:r>
      <w:r>
        <w:rPr>
          <w:rStyle w:val="FootnoteReference"/>
        </w:rPr>
        <w:footnoteReference w:id="125"/>
      </w:r>
      <w:r>
        <w:t xml:space="preserve"> As shown in the map below, counties in </w:t>
      </w:r>
      <w:r w:rsidR="00B92386">
        <w:t>northern Alabama</w:t>
      </w:r>
      <w:r>
        <w:t xml:space="preserve"> are at Relatively High or Very High risk of cold waves, while the risk in the rest of the state is Very Low, according to FEMA. </w:t>
      </w:r>
    </w:p>
    <w:p w:rsidR="0067708D" w:rsidP="0067708D" w:rsidRDefault="0067708D" w14:paraId="32BCC648" w14:textId="1DA3E4A6">
      <w:pPr>
        <w:pStyle w:val="Caption"/>
      </w:pPr>
      <w:bookmarkStart w:name="_Toc150852761" w:id="272"/>
      <w:r>
        <w:t xml:space="preserve">Figure </w:t>
      </w:r>
      <w:r w:rsidR="00597437">
        <w:fldChar w:fldCharType="begin"/>
      </w:r>
      <w:r w:rsidR="00597437">
        <w:instrText xml:space="preserve"> SEQ Figure \* ARABIC </w:instrText>
      </w:r>
      <w:r w:rsidR="00597437">
        <w:fldChar w:fldCharType="separate"/>
      </w:r>
      <w:r w:rsidR="00571998">
        <w:rPr>
          <w:noProof/>
        </w:rPr>
        <w:t>7</w:t>
      </w:r>
      <w:r w:rsidR="00597437">
        <w:rPr>
          <w:noProof/>
        </w:rPr>
        <w:fldChar w:fldCharType="end"/>
      </w:r>
      <w:r>
        <w:t>: Risk of cold waves in Alabama</w:t>
      </w:r>
      <w:bookmarkEnd w:id="272"/>
    </w:p>
    <w:p w:rsidR="0067708D" w:rsidP="0067708D" w:rsidRDefault="0067708D" w14:paraId="0F0F887C" w14:textId="77777777">
      <w:r>
        <w:rPr>
          <w:noProof/>
        </w:rPr>
        <w:drawing>
          <wp:inline distT="0" distB="0" distL="0" distR="0" wp14:anchorId="24707EFF" wp14:editId="160E2968">
            <wp:extent cx="5916452" cy="7655442"/>
            <wp:effectExtent l="0" t="0" r="8255" b="3175"/>
            <wp:docPr id="1867822679" name="Picture 1867822679" descr="A map showing that northern Alabama has large areas that are relatively high and very high risk for cold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22679" name="Picture 1867822679" descr="A map showing that northern Alabama has large areas that are relatively high and very high risk for cold wav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6194" cy="7668048"/>
                    </a:xfrm>
                    <a:prstGeom prst="rect">
                      <a:avLst/>
                    </a:prstGeom>
                    <a:noFill/>
                    <a:ln>
                      <a:noFill/>
                    </a:ln>
                  </pic:spPr>
                </pic:pic>
              </a:graphicData>
            </a:graphic>
          </wp:inline>
        </w:drawing>
      </w:r>
    </w:p>
    <w:p w:rsidR="0067708D" w:rsidP="00C466DC" w:rsidRDefault="0067708D" w14:paraId="61F3A5BB" w14:textId="77777777">
      <w:pPr>
        <w:pStyle w:val="Heading3"/>
        <w:numPr>
          <w:ilvl w:val="2"/>
          <w:numId w:val="42"/>
        </w:numPr>
        <w:tabs>
          <w:tab w:val="num" w:pos="1080"/>
        </w:tabs>
      </w:pPr>
      <w:bookmarkStart w:name="_Ref148078817" w:id="273"/>
      <w:bookmarkStart w:name="_Toc150852712" w:id="274"/>
      <w:r>
        <w:t>Flooding</w:t>
      </w:r>
      <w:bookmarkEnd w:id="273"/>
      <w:bookmarkEnd w:id="274"/>
    </w:p>
    <w:p w:rsidR="0067708D" w:rsidP="0067708D" w:rsidRDefault="0067708D" w14:paraId="5B29E8F9" w14:textId="77777777">
      <w:r>
        <w:t xml:space="preserve">The SHMP ranks flooding as Alabama’s highest risk, scoring high on all hazard metrics: probability, impact, spatial extent, warning time, and duration. </w:t>
      </w:r>
      <w:r w:rsidRPr="00564B1A">
        <w:t>Alabama experiences flooding and flood impacts almost every year.</w:t>
      </w:r>
      <w:r>
        <w:t xml:space="preserve"> BEAD deployments in Alabama will have to take this hazard into account. </w:t>
      </w:r>
    </w:p>
    <w:p w:rsidR="0067708D" w:rsidP="0067708D" w:rsidRDefault="0067708D" w14:paraId="71DB83D4" w14:textId="40A3C3D1">
      <w:r>
        <w:t xml:space="preserve">Flooding is the inundation of normally dry land and is the leading cause of natural disaster losses in the </w:t>
      </w:r>
      <w:r w:rsidR="005408BE">
        <w:t>United States</w:t>
      </w:r>
      <w:r>
        <w:t>. Flooding can be caused by many different types of weather systems, including slow-moving frontal systems, inland-moving tropical cyclones, and intense summertime thunderstorms. In coastal areas, flooding can also be caused or intensified by high tides. When local weather stations issue flood warnings or report flood damage, they often classify flood events into categories based on the extent and velocity of rising waters.</w:t>
      </w:r>
    </w:p>
    <w:p w:rsidR="0067708D" w:rsidP="0067708D" w:rsidRDefault="0067708D" w14:paraId="0D5D4106" w14:textId="562847EC">
      <w:r>
        <w:t xml:space="preserve">Flood categories include </w:t>
      </w:r>
      <w:r w:rsidR="00CD6ABE">
        <w:t>f</w:t>
      </w:r>
      <w:r>
        <w:t>lash floods, floods, coastal floods, nuisance flooding (such as high tides), and, in coastal regions, storm surge. FEMA defines riverine flooding as “</w:t>
      </w:r>
      <w:r w:rsidRPr="00007071">
        <w:t>when streams and rivers exceed the capacity of their natural or constructed channels to accommodate water flow and water overflows the banks, spilling out into adjacent low-lying, dry land</w:t>
      </w:r>
      <w:r>
        <w:t>.”</w:t>
      </w:r>
      <w:r>
        <w:rPr>
          <w:rStyle w:val="FootnoteReference"/>
        </w:rPr>
        <w:footnoteReference w:id="126"/>
      </w:r>
    </w:p>
    <w:p w:rsidR="0067708D" w:rsidP="0067708D" w:rsidRDefault="0067708D" w14:paraId="4D9430F6" w14:textId="77777777">
      <w:r>
        <w:t>Flooding can cause extensive damage to infrastructure. Moving water creates hydrodynamic forces that can damage the walls of buildings, scour around their foundations, and damage roads and bridges. The magnitude of these forces is related to both the velocity and depth of flooding.</w:t>
      </w:r>
    </w:p>
    <w:p w:rsidR="0067708D" w:rsidP="0067708D" w:rsidRDefault="0067708D" w14:paraId="49272688" w14:textId="77777777">
      <w:r>
        <w:t>The debris carried by moving water can also cause damage, acting like battering rams against the walls of buildings. Standing water also exerts force on buildings through the weight of the water. Three feet of standing water can exert enough lateral force to collapse the walls of a typical frame house, and basement walls and floors are particularly susceptible to damage. The impact of floods is highly dependent on the amount, type, and design of development in the floodplain.</w:t>
      </w:r>
    </w:p>
    <w:p w:rsidR="0067708D" w:rsidP="0067708D" w:rsidRDefault="0067708D" w14:paraId="7DFE0F16" w14:textId="77777777">
      <w:r>
        <w:t>Alabama has a warm and humid climate characterized by often turbulent weather patterns and year-round precipitation. These features of the state’s climate, together with its location on the Gulf of Mexico, result in frequent riverine and coastal flooding events. Coastal storm surge flood events depend on the size, strength, intensity, and speed of the storm that is driving storm surge and wave action.</w:t>
      </w:r>
    </w:p>
    <w:p w:rsidR="0067708D" w:rsidP="0067708D" w:rsidRDefault="0067708D" w14:paraId="1695BD79" w14:textId="56B621C1">
      <w:r>
        <w:t xml:space="preserve">As shown in the map below, five </w:t>
      </w:r>
      <w:r w:rsidR="00F47F3B">
        <w:t xml:space="preserve">southwestern Alabama </w:t>
      </w:r>
      <w:r>
        <w:t>counties are at Very High risk of coastal flooding</w:t>
      </w:r>
      <w:r w:rsidR="00F47F3B">
        <w:t>,</w:t>
      </w:r>
      <w:r>
        <w:t xml:space="preserve"> while Alabama’s other counties are at Very Low risk, according to FEMA.</w:t>
      </w:r>
    </w:p>
    <w:p w:rsidR="0067708D" w:rsidP="00D91F4B" w:rsidRDefault="0067708D" w14:paraId="099295D0" w14:textId="29828BA3">
      <w:pPr>
        <w:pStyle w:val="Caption"/>
      </w:pPr>
      <w:bookmarkStart w:name="_Toc150852762" w:id="275"/>
      <w:r>
        <w:t xml:space="preserve">Figure </w:t>
      </w:r>
      <w:r w:rsidR="00597437">
        <w:fldChar w:fldCharType="begin"/>
      </w:r>
      <w:r w:rsidR="00597437">
        <w:instrText xml:space="preserve"> SEQ Figure \* ARABIC </w:instrText>
      </w:r>
      <w:r w:rsidR="00597437">
        <w:fldChar w:fldCharType="separate"/>
      </w:r>
      <w:r w:rsidR="00571998">
        <w:rPr>
          <w:noProof/>
        </w:rPr>
        <w:t>8</w:t>
      </w:r>
      <w:r w:rsidR="00597437">
        <w:rPr>
          <w:noProof/>
        </w:rPr>
        <w:fldChar w:fldCharType="end"/>
      </w:r>
      <w:r>
        <w:t>: Risk of coastal flooding in Alabama</w:t>
      </w:r>
      <w:bookmarkEnd w:id="275"/>
    </w:p>
    <w:p w:rsidR="0067708D" w:rsidP="001E638A" w:rsidRDefault="0067708D" w14:paraId="578A11A5" w14:textId="77777777">
      <w:pPr>
        <w:jc w:val="center"/>
      </w:pPr>
      <w:r>
        <w:rPr>
          <w:noProof/>
        </w:rPr>
        <w:drawing>
          <wp:inline distT="0" distB="0" distL="0" distR="0" wp14:anchorId="3956FB2B" wp14:editId="632295C2">
            <wp:extent cx="5276088" cy="6830568"/>
            <wp:effectExtent l="0" t="0" r="1270" b="8890"/>
            <wp:docPr id="254575223" name="Picture 254575223" descr="A map showing that south west Alabama is at a very high risk for coastal flo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75223" name="Picture 254575223" descr="A map showing that south west Alabama is at a very high risk for coastal flood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6088" cy="6830568"/>
                    </a:xfrm>
                    <a:prstGeom prst="rect">
                      <a:avLst/>
                    </a:prstGeom>
                    <a:noFill/>
                    <a:ln>
                      <a:noFill/>
                    </a:ln>
                  </pic:spPr>
                </pic:pic>
              </a:graphicData>
            </a:graphic>
          </wp:inline>
        </w:drawing>
      </w:r>
    </w:p>
    <w:p w:rsidR="0067708D" w:rsidP="0067708D" w:rsidRDefault="0067708D" w14:paraId="66D3D2E9" w14:textId="76FFA739">
      <w:r>
        <w:t>As shown in the map below, counties scattered across Alabama are at Very High risk or Relatively High risk of riverine flooding, according to FEMA.</w:t>
      </w:r>
    </w:p>
    <w:p w:rsidR="0067708D" w:rsidP="0067708D" w:rsidRDefault="0067708D" w14:paraId="674F2B07" w14:textId="3A88E6F1">
      <w:pPr>
        <w:pStyle w:val="Caption"/>
      </w:pPr>
      <w:bookmarkStart w:name="_Toc150852763" w:id="276"/>
      <w:r>
        <w:t xml:space="preserve">Figure </w:t>
      </w:r>
      <w:r w:rsidR="00597437">
        <w:fldChar w:fldCharType="begin"/>
      </w:r>
      <w:r w:rsidR="00597437">
        <w:instrText xml:space="preserve"> SEQ Figure \* ARABIC </w:instrText>
      </w:r>
      <w:r w:rsidR="00597437">
        <w:fldChar w:fldCharType="separate"/>
      </w:r>
      <w:r w:rsidR="00571998">
        <w:rPr>
          <w:noProof/>
        </w:rPr>
        <w:t>9</w:t>
      </w:r>
      <w:r w:rsidR="00597437">
        <w:rPr>
          <w:noProof/>
        </w:rPr>
        <w:fldChar w:fldCharType="end"/>
      </w:r>
      <w:r>
        <w:t>: Risk of riverine flooding in Alabama</w:t>
      </w:r>
      <w:bookmarkEnd w:id="276"/>
    </w:p>
    <w:p w:rsidR="0067708D" w:rsidP="001E638A" w:rsidRDefault="0067708D" w14:paraId="6332AB72" w14:textId="77777777">
      <w:pPr>
        <w:jc w:val="center"/>
      </w:pPr>
      <w:r>
        <w:rPr>
          <w:noProof/>
        </w:rPr>
        <w:drawing>
          <wp:inline distT="0" distB="0" distL="0" distR="0" wp14:anchorId="510D84D4" wp14:editId="3A691D97">
            <wp:extent cx="5700570" cy="7389628"/>
            <wp:effectExtent l="0" t="0" r="0" b="1905"/>
            <wp:docPr id="1211864537" name="Picture 1211864537" descr="A map showing that the southern border of Alabama is most consistently at risk for Riverine flooding. Jefferson County also have a very high risk for riverine flo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864537" name="Picture 1211864537" descr="A map showing that the southern border of Alabama is most consistently at risk for Riverine flooding. Jefferson County also have a very high risk for riverine flood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1961" cy="7404395"/>
                    </a:xfrm>
                    <a:prstGeom prst="rect">
                      <a:avLst/>
                    </a:prstGeom>
                    <a:noFill/>
                    <a:ln>
                      <a:noFill/>
                    </a:ln>
                  </pic:spPr>
                </pic:pic>
              </a:graphicData>
            </a:graphic>
          </wp:inline>
        </w:drawing>
      </w:r>
    </w:p>
    <w:p w:rsidR="0067708D" w:rsidP="0067708D" w:rsidRDefault="0067708D" w14:paraId="29E81094" w14:textId="41EF6559">
      <w:r>
        <w:t xml:space="preserve">The future probability of riverine flooding in Alabama is likely to change as the frequency of heavy rains increases. The future probability of coastal flooding in Alabama will reflect the risk of tropical cyclones and hurricanes, as well as changes in sea level. </w:t>
      </w:r>
    </w:p>
    <w:p w:rsidR="0067708D" w:rsidP="00CD1A5F" w:rsidRDefault="0067708D" w14:paraId="46D0C147" w14:textId="77777777">
      <w:pPr>
        <w:pStyle w:val="Heading3"/>
        <w:numPr>
          <w:ilvl w:val="2"/>
          <w:numId w:val="42"/>
        </w:numPr>
        <w:tabs>
          <w:tab w:val="num" w:pos="1080"/>
        </w:tabs>
      </w:pPr>
      <w:bookmarkStart w:name="_Toc150852713" w:id="277"/>
      <w:r>
        <w:t>Hail</w:t>
      </w:r>
      <w:bookmarkEnd w:id="277"/>
    </w:p>
    <w:p w:rsidR="0067708D" w:rsidP="0067708D" w:rsidRDefault="0067708D" w14:paraId="51938D85" w14:textId="77777777">
      <w:r>
        <w:t>The SHMP ranks hail as a low priority because, although likely to occur, there is likely to be warning and because hail does not have a long duration. FEMA defines hail as “</w:t>
      </w:r>
      <w:r w:rsidRPr="00563BC6">
        <w:t>a form of precipitation that occurs during thunderstorms when raindrops, in extremely cold areas of the atmosphere, freeze into balls of ice before falling towards the earth's surface.</w:t>
      </w:r>
      <w:r>
        <w:t>”</w:t>
      </w:r>
      <w:r>
        <w:rPr>
          <w:rStyle w:val="FootnoteReference"/>
        </w:rPr>
        <w:footnoteReference w:id="127"/>
      </w:r>
    </w:p>
    <w:p w:rsidR="0067708D" w:rsidP="0067708D" w:rsidRDefault="0067708D" w14:paraId="24A90128" w14:textId="7ECDCC9A">
      <w:r>
        <w:t>Hailstorms occur most frequently in the late spring and early summer when the jet stream moves northward across the Great Plains. This creates steep temperature gradients from the surface to upper air masses, producing the strong updrafts required for hail formation. In the U.S., hailstorms cause about $1 billion in economic loss each year. Much of this loss is related to crop damage.</w:t>
      </w:r>
    </w:p>
    <w:p w:rsidR="0067708D" w:rsidP="0067708D" w:rsidRDefault="0067708D" w14:paraId="029E2D35" w14:textId="601A724F">
      <w:r>
        <w:t xml:space="preserve">Hailstorms in Alabama are not as common as hailstorms in </w:t>
      </w:r>
      <w:r w:rsidR="00093EFE">
        <w:t>other parts of the United States</w:t>
      </w:r>
      <w:r>
        <w:t>, but severe hailstorms are reported every year. More hailstorms are reported in the northern part of the state, where severe thunderstorms are more common. The frequency of hailstorms in Alabama is greatest in the spring, with the most episodes of severe hail generally reported in April. Alabama has historically experienced about 60 hail episodes each year.</w:t>
      </w:r>
    </w:p>
    <w:p w:rsidR="0067708D" w:rsidP="0067708D" w:rsidRDefault="0067708D" w14:paraId="0938FD49" w14:textId="77777777">
      <w:r>
        <w:t>As shown in the map below, most counties in Alabama are at Relatively Moderate risk of hail, according to FEMA. Walker and Choctaw counties are at Very High risk, and several counties are at Relatively High risk.</w:t>
      </w:r>
    </w:p>
    <w:p w:rsidR="001E638A" w:rsidP="001E638A" w:rsidRDefault="001E638A" w14:paraId="55D42A86" w14:textId="01427902">
      <w:pPr>
        <w:pStyle w:val="Caption"/>
      </w:pPr>
      <w:bookmarkStart w:name="_Toc150852764" w:id="278"/>
      <w:r>
        <w:t xml:space="preserve">Figure </w:t>
      </w:r>
      <w:r w:rsidR="00597437">
        <w:fldChar w:fldCharType="begin"/>
      </w:r>
      <w:r w:rsidR="00597437">
        <w:instrText xml:space="preserve"> SEQ Figure \* ARABIC </w:instrText>
      </w:r>
      <w:r w:rsidR="00597437">
        <w:fldChar w:fldCharType="separate"/>
      </w:r>
      <w:r w:rsidR="00571998">
        <w:rPr>
          <w:noProof/>
        </w:rPr>
        <w:t>10</w:t>
      </w:r>
      <w:r w:rsidR="00597437">
        <w:rPr>
          <w:noProof/>
        </w:rPr>
        <w:fldChar w:fldCharType="end"/>
      </w:r>
      <w:r>
        <w:t>: Risk of hail in Alabama</w:t>
      </w:r>
      <w:bookmarkEnd w:id="278"/>
    </w:p>
    <w:p w:rsidR="0067708D" w:rsidP="0067708D" w:rsidRDefault="0067708D" w14:paraId="6A598162" w14:textId="5428762B">
      <w:r>
        <w:rPr>
          <w:noProof/>
        </w:rPr>
        <w:drawing>
          <wp:inline distT="0" distB="0" distL="0" distR="0" wp14:anchorId="375D0566" wp14:editId="69438D44">
            <wp:extent cx="5937250" cy="7683500"/>
            <wp:effectExtent l="0" t="0" r="6350" b="0"/>
            <wp:docPr id="1331787250" name="Picture 1331787250" descr="A map showing that most of Alabama is at a relatively moderate risk for h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87250" name="Picture 1331787250" descr="A map showing that most of Alabama is at a relatively moderate risk for hai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noFill/>
                    </a:ln>
                  </pic:spPr>
                </pic:pic>
              </a:graphicData>
            </a:graphic>
          </wp:inline>
        </w:drawing>
      </w:r>
    </w:p>
    <w:p w:rsidR="0067708D" w:rsidP="0067708D" w:rsidRDefault="0067708D" w14:paraId="06C56F5A" w14:textId="31E47408">
      <w:r w:rsidRPr="004F1C1B">
        <w:t xml:space="preserve">The probability of </w:t>
      </w:r>
      <w:r>
        <w:t xml:space="preserve">future </w:t>
      </w:r>
      <w:r w:rsidRPr="004F1C1B">
        <w:t>hail events is directly tied to the probability of severe thunderstorms.</w:t>
      </w:r>
      <w:r>
        <w:t xml:space="preserve"> One of the building blocks for severe thunderstorms is the atmospheric instability that results when warm, moist air near the Earth’s surface rises and interacts with cooler and drier air higher in the atmosphere. While the frequency of unstable conditions is expected to increase throughout the twenty-first century, global models predict significant variability from one year to the next.</w:t>
      </w:r>
    </w:p>
    <w:p w:rsidR="0067708D" w:rsidP="001B4244" w:rsidRDefault="0067708D" w14:paraId="68E1B939" w14:textId="33C1B22F">
      <w:pPr>
        <w:pStyle w:val="Heading3"/>
        <w:numPr>
          <w:ilvl w:val="2"/>
          <w:numId w:val="42"/>
        </w:numPr>
      </w:pPr>
      <w:bookmarkStart w:name="_Toc150852714" w:id="279"/>
      <w:r>
        <w:t>High winds</w:t>
      </w:r>
      <w:bookmarkEnd w:id="279"/>
    </w:p>
    <w:p w:rsidR="0067708D" w:rsidP="0067708D" w:rsidRDefault="0067708D" w14:paraId="3BB3C066" w14:textId="3AADAA5D">
      <w:r>
        <w:t>The SHMP ranks high winds as high</w:t>
      </w:r>
      <w:r w:rsidR="00D037B7">
        <w:t>-</w:t>
      </w:r>
      <w:r>
        <w:t xml:space="preserve">risk events, with a high probability and little warning time. High winds are generally associated with three weather phenomena: tornadoes, thunderstorms, and tropical cyclones. Because these three phenomena often overlap (hurricanes, for example, can spawn tornadoes and generate severe thunderstorms), this section addresses the high winds associated with all these phenomena. Flooding and storm surge hazards related to hurricanes and severe storms are discussed in </w:t>
      </w:r>
      <w:r w:rsidRPr="00D037B7" w:rsidR="00D037B7">
        <w:t>S</w:t>
      </w:r>
      <w:r w:rsidRPr="00D037B7">
        <w:t>ection</w:t>
      </w:r>
      <w:r w:rsidRPr="00D037B7" w:rsidR="00D037B7">
        <w:t xml:space="preserve"> </w:t>
      </w:r>
      <w:r w:rsidRPr="00D037B7" w:rsidR="00D037B7">
        <w:fldChar w:fldCharType="begin"/>
      </w:r>
      <w:r w:rsidRPr="00D037B7" w:rsidR="00D037B7">
        <w:instrText xml:space="preserve"> REF _Ref148078817 \r \h </w:instrText>
      </w:r>
      <w:r w:rsidR="00D037B7">
        <w:instrText xml:space="preserve"> \* MERGEFORMAT </w:instrText>
      </w:r>
      <w:r w:rsidRPr="00D037B7" w:rsidR="00D037B7">
        <w:fldChar w:fldCharType="separate"/>
      </w:r>
      <w:r w:rsidR="00571998">
        <w:t>12.2.5</w:t>
      </w:r>
      <w:r w:rsidRPr="00D037B7" w:rsidR="00D037B7">
        <w:fldChar w:fldCharType="end"/>
      </w:r>
      <w:r w:rsidRPr="00D037B7">
        <w:t>, above.</w:t>
      </w:r>
      <w:r>
        <w:t xml:space="preserve"> High winds from thunderstorms, tornadoes, and hurricanes are the largest loss-producing natural hazard in Alabama. Most BEAD deployments in Alabama will need to reference best practices regarding high winds.</w:t>
      </w:r>
    </w:p>
    <w:p w:rsidR="0067708D" w:rsidP="0067708D" w:rsidRDefault="0067708D" w14:paraId="79E8DA33" w14:textId="77777777">
      <w:r>
        <w:t xml:space="preserve">Hurricane hazards are generally expected to increase through the twenty-first century, while data regarding tornadoes and thunderstorms is inconclusive. </w:t>
      </w:r>
    </w:p>
    <w:p w:rsidR="0067708D" w:rsidP="00D44B6F" w:rsidRDefault="0067708D" w14:paraId="7507CBDD" w14:textId="1C7C0E4E">
      <w:pPr>
        <w:pStyle w:val="Heading4"/>
      </w:pPr>
      <w:r>
        <w:t>Tornadoes</w:t>
      </w:r>
    </w:p>
    <w:p w:rsidR="0067708D" w:rsidP="0067708D" w:rsidRDefault="0067708D" w14:paraId="4724C882" w14:textId="11317DC5">
      <w:r>
        <w:t>Tornadoes are nature’s most violent storms and can strike with little or no warning. These storms can produce internal winds exceeding 300 mph and can lift and move very large objects (including entire buildings). Tornadoes are localized events, with path widths of less than 0.6 miles and lengths ranging from less than a mile to tens of miles.</w:t>
      </w:r>
    </w:p>
    <w:p w:rsidR="0067708D" w:rsidP="0067708D" w:rsidRDefault="0067708D" w14:paraId="692CFA5E" w14:textId="3CA174CC">
      <w:r>
        <w:t>Tornado frequency and intensity var</w:t>
      </w:r>
      <w:r w:rsidR="009739F5">
        <w:t>y</w:t>
      </w:r>
      <w:r>
        <w:t xml:space="preserve"> across Alabama but </w:t>
      </w:r>
      <w:r w:rsidR="009739F5">
        <w:t>are</w:t>
      </w:r>
      <w:r>
        <w:t xml:space="preserve"> generally associated with the frequency and intensity of thunderstorms. </w:t>
      </w:r>
      <w:r w:rsidR="009739F5">
        <w:t>Many</w:t>
      </w:r>
      <w:r>
        <w:t xml:space="preserve"> regions of Alabama have a disproportionately high frequency of intense thunderstorms, and thus a disproportionately high frequency of strong tornadoes. Although tornadoes are most common between March and August, they can occur at any time.</w:t>
      </w:r>
    </w:p>
    <w:p w:rsidR="0067708D" w:rsidP="0067708D" w:rsidRDefault="0067708D" w14:paraId="7D8DCB80" w14:textId="77777777">
      <w:r>
        <w:t>As shown in the map below, most Alabama counties are at Very High risk or Relatively High risk from tornadoes, according to FEMA.</w:t>
      </w:r>
    </w:p>
    <w:p w:rsidR="0067708D" w:rsidP="0067708D" w:rsidRDefault="0067708D" w14:paraId="43C4E828" w14:textId="5FC4FE90">
      <w:pPr>
        <w:pStyle w:val="Caption"/>
      </w:pPr>
      <w:bookmarkStart w:name="_Toc150852765" w:id="280"/>
      <w:r>
        <w:t xml:space="preserve">Figure </w:t>
      </w:r>
      <w:r w:rsidR="00597437">
        <w:fldChar w:fldCharType="begin"/>
      </w:r>
      <w:r w:rsidR="00597437">
        <w:instrText xml:space="preserve"> SEQ Figure \* ARABIC </w:instrText>
      </w:r>
      <w:r w:rsidR="00597437">
        <w:fldChar w:fldCharType="separate"/>
      </w:r>
      <w:r w:rsidR="00093D1D">
        <w:rPr>
          <w:noProof/>
        </w:rPr>
        <w:t>11</w:t>
      </w:r>
      <w:r w:rsidR="00597437">
        <w:rPr>
          <w:noProof/>
        </w:rPr>
        <w:fldChar w:fldCharType="end"/>
      </w:r>
      <w:r>
        <w:t xml:space="preserve">: </w:t>
      </w:r>
      <w:r w:rsidR="00F96EB6">
        <w:t>Risk of t</w:t>
      </w:r>
      <w:r>
        <w:t>ornado</w:t>
      </w:r>
      <w:r w:rsidR="00F96EB6">
        <w:t>s</w:t>
      </w:r>
      <w:r>
        <w:t xml:space="preserve"> in Alabama</w:t>
      </w:r>
      <w:bookmarkEnd w:id="280"/>
    </w:p>
    <w:p w:rsidR="0067708D" w:rsidP="0067708D" w:rsidRDefault="0067708D" w14:paraId="740B2DB4" w14:textId="77777777">
      <w:r>
        <w:rPr>
          <w:noProof/>
        </w:rPr>
        <w:drawing>
          <wp:inline distT="0" distB="0" distL="0" distR="0" wp14:anchorId="009DB055" wp14:editId="00AE6158">
            <wp:extent cx="5937250" cy="7683500"/>
            <wp:effectExtent l="0" t="0" r="6350" b="0"/>
            <wp:docPr id="941229750" name="Picture 941229750" descr="A map that shows that large portions of the state of Alabama are at a relatively high or very high risk for tor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29750" name="Picture 941229750" descr="A map that shows that large portions of the state of Alabama are at a relatively high or very high risk for tornad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noFill/>
                    </a:ln>
                  </pic:spPr>
                </pic:pic>
              </a:graphicData>
            </a:graphic>
          </wp:inline>
        </w:drawing>
      </w:r>
    </w:p>
    <w:p w:rsidR="0067708D" w:rsidP="00D44B6F" w:rsidRDefault="0067708D" w14:paraId="6BE55729" w14:textId="02AF1A13">
      <w:pPr>
        <w:pStyle w:val="Heading4"/>
      </w:pPr>
      <w:r>
        <w:t>Hurricanes</w:t>
      </w:r>
    </w:p>
    <w:p w:rsidR="0067708D" w:rsidP="0067708D" w:rsidRDefault="0067708D" w14:paraId="584DBB00" w14:textId="77777777">
      <w:r>
        <w:t xml:space="preserve">Hurricanes are intense tropical cyclones with maximum sustained winds over water of 74 mph or higher. These storms are much larger than thunderstorms or tornadoes. The eye of a hurricane typically ranges from 10 to 30 nautical miles in diameter, and the surrounding storm may be 100 to 500 nautical miles in diameter. Although this section only addresses the wind hazard from hurricanes, related hazards include storm surge, coastal erosion, and lightning. </w:t>
      </w:r>
    </w:p>
    <w:p w:rsidR="0067708D" w:rsidP="0067708D" w:rsidRDefault="0067708D" w14:paraId="390BD9A0" w14:textId="1CC67A34">
      <w:r>
        <w:t>The hurricanes that strike the Gulf Coast region originate as tropical storms in the warm waters of the Gulf of Mexico, Caribbean Sea, or tropical Atlantic, then gain in intensi</w:t>
      </w:r>
      <w:r w:rsidR="00892431">
        <w:t>ty</w:t>
      </w:r>
      <w:r>
        <w:t xml:space="preserve"> as they traverse the ocean. Alabama’s coastal region is subject to the highest risk from hurricane winds. Wind speeds tend to decrease significantly within 12 hours of landfall, as drier and cooler air begins to power the eyewall. Depending on a hurricane’s strength and forward motion, however, hurricane force winds (winds greater than or equal to 74 mph) can extend well inland.</w:t>
      </w:r>
    </w:p>
    <w:p w:rsidR="0067708D" w:rsidP="0067708D" w:rsidRDefault="0067708D" w14:paraId="16A894D0" w14:textId="77777777">
      <w:r>
        <w:t>As shown in the map below, most of the counties that are at Very High or Relatively High risk of hurricanes in Alabama are those closest to the coast.</w:t>
      </w:r>
    </w:p>
    <w:p w:rsidR="0067708D" w:rsidP="0067708D" w:rsidRDefault="0067708D" w14:paraId="5C61A031" w14:textId="38A3712D">
      <w:pPr>
        <w:pStyle w:val="Caption"/>
      </w:pPr>
      <w:bookmarkStart w:name="_Toc150852766" w:id="281"/>
      <w:r>
        <w:t xml:space="preserve">Figure </w:t>
      </w:r>
      <w:r w:rsidR="00597437">
        <w:fldChar w:fldCharType="begin"/>
      </w:r>
      <w:r w:rsidR="00597437">
        <w:instrText xml:space="preserve"> SEQ Figure \* ARABIC </w:instrText>
      </w:r>
      <w:r w:rsidR="00597437">
        <w:fldChar w:fldCharType="separate"/>
      </w:r>
      <w:r w:rsidR="00093D1D">
        <w:rPr>
          <w:noProof/>
        </w:rPr>
        <w:t>12</w:t>
      </w:r>
      <w:r w:rsidR="00597437">
        <w:rPr>
          <w:noProof/>
        </w:rPr>
        <w:fldChar w:fldCharType="end"/>
      </w:r>
      <w:r>
        <w:t>:</w:t>
      </w:r>
      <w:r w:rsidR="006E6402">
        <w:t xml:space="preserve"> </w:t>
      </w:r>
      <w:r w:rsidR="00F96EB6">
        <w:t>Risk of h</w:t>
      </w:r>
      <w:r>
        <w:t>urricane</w:t>
      </w:r>
      <w:r w:rsidR="00F96EB6">
        <w:t>s</w:t>
      </w:r>
      <w:r>
        <w:t xml:space="preserve"> in Alabama</w:t>
      </w:r>
      <w:bookmarkEnd w:id="281"/>
    </w:p>
    <w:p w:rsidR="0067708D" w:rsidP="0067708D" w:rsidRDefault="0067708D" w14:paraId="284B4D39" w14:textId="77777777">
      <w:r>
        <w:rPr>
          <w:noProof/>
        </w:rPr>
        <w:drawing>
          <wp:inline distT="0" distB="0" distL="0" distR="0" wp14:anchorId="72C83CEF" wp14:editId="63362998">
            <wp:extent cx="5937250" cy="7683500"/>
            <wp:effectExtent l="0" t="0" r="6350" b="0"/>
            <wp:docPr id="1578486820" name="Picture 1578486820" descr="A map that shows that most of the southern part of the state of Alabama is at a relatively high or very high risk for hurric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86820" name="Picture 1578486820" descr="A map that shows that most of the southern part of the state of Alabama is at a relatively high or very high risk for hurrican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noFill/>
                    </a:ln>
                  </pic:spPr>
                </pic:pic>
              </a:graphicData>
            </a:graphic>
          </wp:inline>
        </w:drawing>
      </w:r>
    </w:p>
    <w:p w:rsidR="0067708D" w:rsidP="00D44B6F" w:rsidRDefault="0067708D" w14:paraId="6BDE39E1" w14:textId="21042A8C">
      <w:pPr>
        <w:pStyle w:val="Heading4"/>
      </w:pPr>
      <w:r>
        <w:t>Strong winds</w:t>
      </w:r>
    </w:p>
    <w:p w:rsidRPr="00816072" w:rsidR="0067708D" w:rsidP="0067708D" w:rsidRDefault="0067708D" w14:paraId="475F5317" w14:textId="77777777">
      <w:r>
        <w:t>FEMA defines the strong wind hazard as “</w:t>
      </w:r>
      <w:r w:rsidRPr="00D0152F">
        <w:t>damaging winds, often originating from thunderstorms, that are classified as exceeding 58 mph</w:t>
      </w:r>
      <w:r>
        <w:t>.”</w:t>
      </w:r>
      <w:r>
        <w:rPr>
          <w:rStyle w:val="FootnoteReference"/>
        </w:rPr>
        <w:footnoteReference w:id="128"/>
      </w:r>
      <w:r>
        <w:t xml:space="preserve"> </w:t>
      </w:r>
    </w:p>
    <w:p w:rsidR="0067708D" w:rsidP="0067708D" w:rsidRDefault="0067708D" w14:paraId="2F0377FE" w14:textId="2870C5F8">
      <w:r>
        <w:t xml:space="preserve">Thunderstorms are local storms, usually of short duration, that are accompanied by lightning and thunder. The average thunderstorm in the </w:t>
      </w:r>
      <w:r w:rsidR="00606A04">
        <w:t>United States</w:t>
      </w:r>
      <w:r>
        <w:t xml:space="preserve"> is about 15 miles in diameter and lasts less than 30 minutes in any one location.</w:t>
      </w:r>
    </w:p>
    <w:p w:rsidR="0067708D" w:rsidP="0067708D" w:rsidRDefault="0067708D" w14:paraId="331F0E8F" w14:textId="77777777">
      <w:r>
        <w:t>As shown in the map below, counties across Alabama are at Very High risk or Relatively High risk from FEMA-defined strong winds.</w:t>
      </w:r>
    </w:p>
    <w:p w:rsidR="0067708D" w:rsidP="0067708D" w:rsidRDefault="0067708D" w14:paraId="497E6222" w14:textId="3246D9ED">
      <w:pPr>
        <w:pStyle w:val="Caption"/>
      </w:pPr>
      <w:bookmarkStart w:name="_Toc150852767" w:id="282"/>
      <w:r>
        <w:t xml:space="preserve">Figure </w:t>
      </w:r>
      <w:r w:rsidR="00597437">
        <w:fldChar w:fldCharType="begin"/>
      </w:r>
      <w:r w:rsidR="00597437">
        <w:instrText xml:space="preserve"> SEQ Figure \* ARABIC </w:instrText>
      </w:r>
      <w:r w:rsidR="00597437">
        <w:fldChar w:fldCharType="separate"/>
      </w:r>
      <w:r w:rsidR="00093D1D">
        <w:rPr>
          <w:noProof/>
        </w:rPr>
        <w:t>13</w:t>
      </w:r>
      <w:r w:rsidR="00597437">
        <w:rPr>
          <w:noProof/>
        </w:rPr>
        <w:fldChar w:fldCharType="end"/>
      </w:r>
      <w:r>
        <w:t>: Risk of strong winds in Alabama</w:t>
      </w:r>
      <w:bookmarkEnd w:id="282"/>
    </w:p>
    <w:p w:rsidR="0067708D" w:rsidP="0067708D" w:rsidRDefault="0067708D" w14:paraId="1087988F" w14:textId="77777777">
      <w:r>
        <w:rPr>
          <w:noProof/>
        </w:rPr>
        <w:drawing>
          <wp:inline distT="0" distB="0" distL="0" distR="0" wp14:anchorId="6F92A70C" wp14:editId="683B971F">
            <wp:extent cx="5937250" cy="7683500"/>
            <wp:effectExtent l="0" t="0" r="6350" b="0"/>
            <wp:docPr id="1491799755" name="Picture 1491799755" descr="A map showing that scattered areas across Alabama, including much of the northern part of the state, are at a very high or relatively high risk of strong w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99755" name="Picture 1491799755" descr="A map showing that scattered areas across Alabama, including much of the northern part of the state, are at a very high or relatively high risk of strong wind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noFill/>
                    </a:ln>
                  </pic:spPr>
                </pic:pic>
              </a:graphicData>
            </a:graphic>
          </wp:inline>
        </w:drawing>
      </w:r>
    </w:p>
    <w:p w:rsidR="0067708D" w:rsidP="006F78D2" w:rsidRDefault="0067708D" w14:paraId="3CF45022" w14:textId="77777777">
      <w:pPr>
        <w:pStyle w:val="Heading3"/>
        <w:numPr>
          <w:ilvl w:val="2"/>
          <w:numId w:val="43"/>
        </w:numPr>
      </w:pPr>
      <w:bookmarkStart w:name="_Toc150852715" w:id="283"/>
      <w:r>
        <w:t>Landslides</w:t>
      </w:r>
      <w:bookmarkEnd w:id="283"/>
    </w:p>
    <w:p w:rsidR="0067708D" w:rsidP="0067708D" w:rsidRDefault="0067708D" w14:paraId="03B30C4F" w14:textId="77777777">
      <w:r>
        <w:t xml:space="preserve">The SHMP ranks landslides as medium risk in Alabama, balancing a lack of warning with their brief duration and local spatial extent. </w:t>
      </w:r>
    </w:p>
    <w:p w:rsidR="0067708D" w:rsidP="0067708D" w:rsidRDefault="0067708D" w14:paraId="06EBF204" w14:textId="77777777">
      <w:r>
        <w:t>A landslide is the movement of a mass of rock, debris, or earth down a slope.</w:t>
      </w:r>
      <w:r>
        <w:rPr>
          <w:rStyle w:val="FootnoteReference"/>
        </w:rPr>
        <w:footnoteReference w:id="129"/>
      </w:r>
      <w:r>
        <w:t xml:space="preserve"> There are many types of landslides, but some of the most common are rock falls, debris flows, mud flows, slides, and creep. Debris flows are considered one of the most dangerous forms of landslides. This type of landslide usually starts on steep slopes during heavy rainfall, and often follows roadway drainage networks and streams. Because debris flows move rapidly and with great force, they can destroy almost everything in their path. Debris flows and mud flows differ only in the materials that flow downslope.</w:t>
      </w:r>
    </w:p>
    <w:p w:rsidRPr="00CB09D0" w:rsidR="0067708D" w:rsidP="0067708D" w:rsidRDefault="0067708D" w14:paraId="24B04997" w14:textId="77777777">
      <w:r>
        <w:t>Landslides happen when areas that are landslide-prone are subject to natural and/or human-induced changes in the environment. Landslide-prone areas can be identified based on rock strength, slope, land cover, and known historical landslides. In general, landslides are more likely in areas with steeper slopes, weaker rocks, and sparser vegetation.</w:t>
      </w:r>
    </w:p>
    <w:p w:rsidR="0067708D" w:rsidP="0067708D" w:rsidRDefault="0067708D" w14:paraId="1A03D9EF" w14:textId="77933370">
      <w:r>
        <w:t xml:space="preserve">The geologic units that are most prone to landslides are those characterized by strongly cemented rocks and very steep slopes (more than thirty degrees); weakly cemented rocks and moderately steep slopes (more than fifteen degrees); and shales, clayey soils, or poorly compacted fills and slightly steep slopes (more than ten degrees). Notable geologic units in Alabama with a documented history of landslides include (but are not limited to): the Tuscaloosa Group, Pottsville Formation, Parkwood Formation, Pennington Formation, Bangor Limestone, and Pride Mountain Formation. Landslides become more likely during heavy rainfall. </w:t>
      </w:r>
    </w:p>
    <w:p w:rsidR="0067708D" w:rsidP="0067708D" w:rsidRDefault="0067708D" w14:paraId="20CC6285" w14:textId="62F9AF63">
      <w:r>
        <w:t xml:space="preserve">BEAD deployments in most areas will need to incorporate best practices regarding </w:t>
      </w:r>
      <w:r w:rsidR="009C4AFA">
        <w:t xml:space="preserve">landslide </w:t>
      </w:r>
      <w:r>
        <w:t>mitigation, including connectivity path redundancy.</w:t>
      </w:r>
    </w:p>
    <w:p w:rsidR="0067708D" w:rsidP="0067708D" w:rsidRDefault="0067708D" w14:paraId="5BEC40BC" w14:textId="43FA222C">
      <w:r>
        <w:t>As shown in the map below, the areas of Alabama at Very High risk of landslides correspond to the urban areas of Birmingham, Huntsville, and Tuscaloosa, plus Lee</w:t>
      </w:r>
      <w:r w:rsidR="009C4AFA">
        <w:t xml:space="preserve"> County</w:t>
      </w:r>
      <w:r>
        <w:t>.</w:t>
      </w:r>
    </w:p>
    <w:p w:rsidR="0067708D" w:rsidP="0067708D" w:rsidRDefault="0067708D" w14:paraId="117C63E3" w14:textId="01A3F2F5">
      <w:pPr>
        <w:pStyle w:val="Caption"/>
      </w:pPr>
      <w:bookmarkStart w:name="_Toc150852768" w:id="284"/>
      <w:r>
        <w:t xml:space="preserve">Figure </w:t>
      </w:r>
      <w:r w:rsidR="00597437">
        <w:fldChar w:fldCharType="begin"/>
      </w:r>
      <w:r w:rsidR="00597437">
        <w:instrText xml:space="preserve"> SEQ Figure \* ARABIC </w:instrText>
      </w:r>
      <w:r w:rsidR="00597437">
        <w:fldChar w:fldCharType="separate"/>
      </w:r>
      <w:r w:rsidR="00093D1D">
        <w:rPr>
          <w:noProof/>
        </w:rPr>
        <w:t>14</w:t>
      </w:r>
      <w:r w:rsidR="00597437">
        <w:rPr>
          <w:noProof/>
        </w:rPr>
        <w:fldChar w:fldCharType="end"/>
      </w:r>
      <w:r>
        <w:t xml:space="preserve">: </w:t>
      </w:r>
      <w:r w:rsidR="00F96EB6">
        <w:t>Risk of l</w:t>
      </w:r>
      <w:r>
        <w:t>andslide</w:t>
      </w:r>
      <w:r w:rsidR="00F96EB6">
        <w:t>s</w:t>
      </w:r>
      <w:r>
        <w:t xml:space="preserve"> in Alabama</w:t>
      </w:r>
      <w:bookmarkEnd w:id="284"/>
    </w:p>
    <w:p w:rsidR="0067708D" w:rsidP="0067708D" w:rsidRDefault="0067708D" w14:paraId="6C10AB0B" w14:textId="77777777">
      <w:r>
        <w:rPr>
          <w:noProof/>
        </w:rPr>
        <w:drawing>
          <wp:inline distT="0" distB="0" distL="0" distR="0" wp14:anchorId="1854D6FE" wp14:editId="39D55DB9">
            <wp:extent cx="5937250" cy="7683500"/>
            <wp:effectExtent l="0" t="0" r="6350" b="0"/>
            <wp:docPr id="1714837954" name="Picture 1714837954" descr="A map showing that a large portion of central Alabama is at a very high risk for a land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837954" name="Picture 1714837954" descr="A map showing that a large portion of central Alabama is at a very high risk for a landslid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noFill/>
                    </a:ln>
                  </pic:spPr>
                </pic:pic>
              </a:graphicData>
            </a:graphic>
          </wp:inline>
        </w:drawing>
      </w:r>
    </w:p>
    <w:p w:rsidR="0067708D" w:rsidP="0067708D" w:rsidRDefault="0067708D" w14:paraId="567EABF2" w14:textId="6999EB88">
      <w:r>
        <w:t>Some</w:t>
      </w:r>
      <w:r w:rsidDel="00D03FF1">
        <w:t xml:space="preserve"> </w:t>
      </w:r>
      <w:r>
        <w:t>processes</w:t>
      </w:r>
      <w:r w:rsidR="00575600">
        <w:t>, such as high precipitation and changes in groundwater levels,</w:t>
      </w:r>
      <w:r>
        <w:t xml:space="preserve"> </w:t>
      </w:r>
      <w:r w:rsidR="00D03FF1">
        <w:t xml:space="preserve">may </w:t>
      </w:r>
      <w:r>
        <w:t>increase the likelihood of landslides. If rainfall events become more intense in the future, the incidence of landslides in Alabama may increase. At the same time, more prolonged and intense drought events could lead to more groundwater withdrawals and the lowering of some water tables. In some instances, this effect could reduce the likelihood of landslides.</w:t>
      </w:r>
    </w:p>
    <w:p w:rsidR="0067708D" w:rsidP="006F78D2" w:rsidRDefault="0067708D" w14:paraId="549752EE" w14:textId="77777777">
      <w:pPr>
        <w:pStyle w:val="Heading3"/>
        <w:numPr>
          <w:ilvl w:val="2"/>
          <w:numId w:val="43"/>
        </w:numPr>
      </w:pPr>
      <w:bookmarkStart w:name="_Toc150852716" w:id="285"/>
      <w:r>
        <w:t>Lightning</w:t>
      </w:r>
      <w:bookmarkEnd w:id="285"/>
    </w:p>
    <w:p w:rsidR="0067708D" w:rsidP="0067708D" w:rsidRDefault="0067708D" w14:paraId="4C556381" w14:textId="77777777">
      <w:r>
        <w:t xml:space="preserve">The SHMP ranks lightning as a medium risk in Alabama, balancing a lack of warning and high probability against their relatively low impact as well as their brief duration and narrow spatial extent. Lightning is a discharge of electricity in the atmosphere that occurs between clouds, the air, or the ground. While lightning can occur during such events as volcanic eruptions, intense forest fires, and large hurricanes, lightning most typically occurs during a thunderstorm. </w:t>
      </w:r>
    </w:p>
    <w:p w:rsidR="0067708D" w:rsidP="0067708D" w:rsidRDefault="0067708D" w14:paraId="02D72D0D" w14:textId="21B1E01A">
      <w:r>
        <w:t xml:space="preserve">Lightning can be especially damaging to the equipment associated with broadband infrastructure, but it is a hazard that the industry has experience </w:t>
      </w:r>
      <w:proofErr w:type="gramStart"/>
      <w:r>
        <w:t>with</w:t>
      </w:r>
      <w:proofErr w:type="gramEnd"/>
      <w:r>
        <w:t xml:space="preserve"> and best practices are well defined among </w:t>
      </w:r>
      <w:r w:rsidR="00216A99">
        <w:t>ISPs</w:t>
      </w:r>
      <w:r>
        <w:t xml:space="preserve"> and equipment manufacturers.</w:t>
      </w:r>
    </w:p>
    <w:p w:rsidR="0067708D" w:rsidP="0067708D" w:rsidRDefault="0067708D" w14:paraId="13E7EF64" w14:textId="0A2AE5E6">
      <w:r>
        <w:t xml:space="preserve">Although lightning can occur anywhere throughout the </w:t>
      </w:r>
      <w:r w:rsidR="00216A99">
        <w:t>United States</w:t>
      </w:r>
      <w:r>
        <w:t>, lightning is more likely to occur in areas with conditions conducive to thunderstorm cloud formation. This happens when a large amount of moisture is present low within the atmosphere, surface temperatures are higher, and there is sufficient upward air movement. These conditions are often met along the Gulf of Mexico, which has high frequencies of cloud-to-ground lightning flashes. Alabama, in close proximity to the Gulf of Mexico, ranks seventh o</w:t>
      </w:r>
      <w:r w:rsidR="00216A99">
        <w:t>ut of</w:t>
      </w:r>
      <w:r>
        <w:t xml:space="preserve"> the 48 continental states in annual average cloud-to-ground flashes per square mile (14 flashes per square mile).</w:t>
      </w:r>
    </w:p>
    <w:p w:rsidR="0067708D" w:rsidP="0067708D" w:rsidRDefault="0067708D" w14:paraId="43D7947D" w14:textId="77777777">
      <w:r>
        <w:t>As shown in the map below, a majority of counties in Alabama are at Very High risk or Relatively High risk from lightning.</w:t>
      </w:r>
    </w:p>
    <w:p w:rsidR="0067708D" w:rsidP="0067708D" w:rsidRDefault="0067708D" w14:paraId="406862FD" w14:textId="60639C28">
      <w:pPr>
        <w:pStyle w:val="Caption"/>
      </w:pPr>
      <w:bookmarkStart w:name="_Toc150852769" w:id="286"/>
      <w:r>
        <w:t xml:space="preserve">Figure </w:t>
      </w:r>
      <w:r w:rsidR="00597437">
        <w:fldChar w:fldCharType="begin"/>
      </w:r>
      <w:r w:rsidR="00597437">
        <w:instrText xml:space="preserve"> SEQ Figure \* ARABIC </w:instrText>
      </w:r>
      <w:r w:rsidR="00597437">
        <w:fldChar w:fldCharType="separate"/>
      </w:r>
      <w:r w:rsidR="00626CDC">
        <w:rPr>
          <w:noProof/>
        </w:rPr>
        <w:t>15</w:t>
      </w:r>
      <w:r w:rsidR="00597437">
        <w:rPr>
          <w:noProof/>
        </w:rPr>
        <w:fldChar w:fldCharType="end"/>
      </w:r>
      <w:r>
        <w:t xml:space="preserve">: </w:t>
      </w:r>
      <w:r w:rsidR="00F96EB6">
        <w:t>Risk of l</w:t>
      </w:r>
      <w:r>
        <w:t>ightning in Alabama</w:t>
      </w:r>
      <w:bookmarkEnd w:id="286"/>
    </w:p>
    <w:p w:rsidR="0067708D" w:rsidP="0067708D" w:rsidRDefault="0067708D" w14:paraId="7FAA6D1B" w14:textId="77777777">
      <w:r>
        <w:rPr>
          <w:noProof/>
        </w:rPr>
        <w:drawing>
          <wp:inline distT="0" distB="0" distL="0" distR="0" wp14:anchorId="6F0EF2ED" wp14:editId="278DFA93">
            <wp:extent cx="5937250" cy="7683500"/>
            <wp:effectExtent l="0" t="0" r="6350" b="0"/>
            <wp:docPr id="1660101907" name="Picture 1660101907" descr="A map that shows large portions throughout the state of Alabama are at a relatively high or very high risk for light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01907" name="Picture 1660101907" descr="A map that shows large portions throughout the state of Alabama are at a relatively high or very high risk for lightn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noFill/>
                    </a:ln>
                  </pic:spPr>
                </pic:pic>
              </a:graphicData>
            </a:graphic>
          </wp:inline>
        </w:drawing>
      </w:r>
    </w:p>
    <w:p w:rsidR="0067708D" w:rsidP="0067708D" w:rsidRDefault="0067708D" w14:paraId="4828A5E9" w14:textId="4B39D0A2">
      <w:r>
        <w:t>Since the probability of a lightning event is influenced by the probability of a severe thunderstorm occurrence, potential future changes in</w:t>
      </w:r>
      <w:r w:rsidDel="00BD7A32">
        <w:t xml:space="preserve"> </w:t>
      </w:r>
      <w:r>
        <w:t>weather conditions may impact the future probability of cloud-to-ground lightning strikes. However, future projections in the severity and frequency of thunderstorms are uncertain in the Southeast U</w:t>
      </w:r>
      <w:r w:rsidR="004B07A9">
        <w:t>nited States</w:t>
      </w:r>
      <w:r>
        <w:t>.</w:t>
      </w:r>
    </w:p>
    <w:p w:rsidR="0067708D" w:rsidP="006F78D2" w:rsidRDefault="0067708D" w14:paraId="5A71B449" w14:textId="77777777">
      <w:pPr>
        <w:pStyle w:val="Heading3"/>
        <w:numPr>
          <w:ilvl w:val="2"/>
          <w:numId w:val="43"/>
        </w:numPr>
      </w:pPr>
      <w:bookmarkStart w:name="_Toc150852717" w:id="287"/>
      <w:r w:rsidRPr="000526E7">
        <w:t xml:space="preserve">Sea </w:t>
      </w:r>
      <w:r>
        <w:t>l</w:t>
      </w:r>
      <w:r w:rsidRPr="000526E7">
        <w:t xml:space="preserve">evel </w:t>
      </w:r>
      <w:r>
        <w:t>r</w:t>
      </w:r>
      <w:r w:rsidRPr="000526E7">
        <w:t xml:space="preserve">ise and </w:t>
      </w:r>
      <w:r>
        <w:t>c</w:t>
      </w:r>
      <w:r w:rsidRPr="000526E7">
        <w:t xml:space="preserve">oastal </w:t>
      </w:r>
      <w:r>
        <w:t>l</w:t>
      </w:r>
      <w:r w:rsidRPr="000526E7">
        <w:t xml:space="preserve">and </w:t>
      </w:r>
      <w:r>
        <w:t>c</w:t>
      </w:r>
      <w:r w:rsidRPr="000526E7">
        <w:t>hange</w:t>
      </w:r>
      <w:bookmarkEnd w:id="287"/>
    </w:p>
    <w:p w:rsidR="0067708D" w:rsidP="0067708D" w:rsidRDefault="0067708D" w14:paraId="571E29C9" w14:textId="4D4FEA93">
      <w:r>
        <w:t xml:space="preserve">The SHMP ranks sea level rise as high risk in Alabama, with a high probability, high impact, and long duration. Sea level rise is a global phenomenon with varying local impacts. The highest rates of sea level rise in the </w:t>
      </w:r>
      <w:r w:rsidR="00155253">
        <w:t>United States</w:t>
      </w:r>
      <w:r>
        <w:t xml:space="preserve"> are seen along </w:t>
      </w:r>
      <w:r w:rsidR="00155253">
        <w:t>southern</w:t>
      </w:r>
      <w:r>
        <w:t xml:space="preserve"> coastlines.</w:t>
      </w:r>
    </w:p>
    <w:p w:rsidR="0067708D" w:rsidP="0067708D" w:rsidRDefault="0067708D" w14:paraId="3B35F8FC" w14:textId="7B2EDC84">
      <w:r>
        <w:t xml:space="preserve">Risks in Alabama include coastal land loss and nuisance flooding, where regular or extraordinary high tides cause flooding. Alabama has approximately 607 miles of Gulf Coast shoreline, including the </w:t>
      </w:r>
      <w:r w:rsidR="004625F1">
        <w:t>s</w:t>
      </w:r>
      <w:r>
        <w:t>tate’s offshore islands and the tidal shorelines of Mobile and Baldwin counties. The future rate of local sea level rise along a particular coast will depend on the future rate of global sea level rise, as well as the future rate of local land subsidence. Each of these rates could follow a range of trajectories.</w:t>
      </w:r>
      <w:r w:rsidR="007108FD">
        <w:t xml:space="preserve"> BEAD deployments in areas subject to sea level rise and coastal land change will need to incorporate best practices regarding mitigation.</w:t>
      </w:r>
    </w:p>
    <w:p w:rsidR="0067708D" w:rsidP="006F78D2" w:rsidRDefault="0067708D" w14:paraId="209DA3C8" w14:textId="77777777">
      <w:pPr>
        <w:pStyle w:val="Heading3"/>
        <w:numPr>
          <w:ilvl w:val="2"/>
          <w:numId w:val="43"/>
        </w:numPr>
      </w:pPr>
      <w:bookmarkStart w:name="_Toc150852718" w:id="288"/>
      <w:r>
        <w:t>Sinkholes and land subsidence</w:t>
      </w:r>
      <w:bookmarkEnd w:id="288"/>
    </w:p>
    <w:p w:rsidRPr="009C5606" w:rsidR="0067708D" w:rsidP="0067708D" w:rsidRDefault="0067708D" w14:paraId="5AA0E707" w14:textId="77777777">
      <w:r>
        <w:t xml:space="preserve">The SHMP ranks sinkholes and land subsidence as a medium risk in Alabama, balancing their high probability and lack of warning against their brief duration and local spatial extent. Land subsidence is the loss of surface elevation due to the removal of subsurface support. This geologic hazard can be caused by many different natural processes and human activities, and ranges from slow, regional lowering of the land surface to sudden, localized collapse. Subsidence poses a risk to infrastructure. </w:t>
      </w:r>
    </w:p>
    <w:p w:rsidR="0067708D" w:rsidP="0067708D" w:rsidRDefault="0067708D" w14:paraId="69CBDA4C" w14:textId="0617BEC2">
      <w:r>
        <w:t xml:space="preserve">Alabama, in particular the north and northeastern part of </w:t>
      </w:r>
      <w:r w:rsidR="007108FD">
        <w:t>the state</w:t>
      </w:r>
      <w:r>
        <w:t xml:space="preserve">, is part of the well-known Tennessee-Alabama-Georgia area of caves and sinkholes (TAG area). The TAG area is one of the densest karst areas of the </w:t>
      </w:r>
      <w:r w:rsidR="007108FD">
        <w:t>United States</w:t>
      </w:r>
      <w:r>
        <w:t xml:space="preserve">. The karst areas in Alabama most prone to sinkhole formation are concentrated in four physiographic sections: the Highland Rim, with the greatest sinkhole density in a West-to-East band associated with the geologic unit Tuscumbia Limestone; the Cumberland Plateau, with the greatest density in the northern plateau and Northeast to Southwest trending units of the Bangor Limestone and Knox Group; parts of the Alabama Valley and Ridge, with greatest density in the Knox Group, </w:t>
      </w:r>
      <w:proofErr w:type="spellStart"/>
      <w:r>
        <w:t>Chepultepec</w:t>
      </w:r>
      <w:proofErr w:type="spellEnd"/>
      <w:r>
        <w:t xml:space="preserve"> Dolomite, and Copper Ridge Dolomite; and the southern part of the Coastal Plain, including residuum of the Eocene-Oligocene units, Miocene Series, and parts of the Citronelle Formation.</w:t>
      </w:r>
    </w:p>
    <w:p w:rsidR="0067708D" w:rsidP="0067708D" w:rsidRDefault="0067708D" w14:paraId="4C827EE2" w14:textId="0B7F5EBD">
      <w:r>
        <w:t xml:space="preserve">Localized subsidence is also common in those areas of the state underlain by abandoned coal and iron mines. Pillars left for roof support in the mines generally deteriorate over time and eventually collapse, removing support. This is particularly a problem where mines underlie more </w:t>
      </w:r>
      <w:proofErr w:type="gramStart"/>
      <w:r>
        <w:t>recently</w:t>
      </w:r>
      <w:r w:rsidR="00161B7D">
        <w:t>-</w:t>
      </w:r>
      <w:r>
        <w:t>developed</w:t>
      </w:r>
      <w:proofErr w:type="gramEnd"/>
      <w:r>
        <w:t xml:space="preserve"> residential areas and roads. Abandoned coal mines in Alabama are concentrated in the northeast and central </w:t>
      </w:r>
      <w:r w:rsidR="00161B7D">
        <w:t>parts of the state</w:t>
      </w:r>
      <w:r>
        <w:t xml:space="preserve">, especially in areas underlain by the Pottsville Formation geologic unit. </w:t>
      </w:r>
      <w:r w:rsidRPr="00EF0A5B">
        <w:t>Groundwater withdrawal is an important driver of sinkhole development in Alabama.</w:t>
      </w:r>
    </w:p>
    <w:p w:rsidR="0067708D" w:rsidP="0067708D" w:rsidRDefault="0067708D" w14:paraId="56FC2AA4" w14:textId="79605AC9">
      <w:r>
        <w:t xml:space="preserve">The probability of sinkholes and land subsidence cannot be expressed in terms of specific frequencies or return periods. These events are the culmination of multiple </w:t>
      </w:r>
      <w:proofErr w:type="gramStart"/>
      <w:r>
        <w:t>naturally</w:t>
      </w:r>
      <w:r w:rsidR="00161B7D">
        <w:t>-</w:t>
      </w:r>
      <w:r>
        <w:t>occurring</w:t>
      </w:r>
      <w:proofErr w:type="gramEnd"/>
      <w:r>
        <w:t xml:space="preserve"> and human-induced geological processes that play out over a range of timescales and can be highly localized.</w:t>
      </w:r>
      <w:r w:rsidR="00161B7D">
        <w:t xml:space="preserve"> </w:t>
      </w:r>
      <w:r>
        <w:t>Some of the processes that tend to accelerate sinkhole development may be impacted by drought conditions and groundwater withdrawals, both of which can remove the support provided by water pressure and lead to the collapse of underground voids. If drought periods become more intense and prolonged in the future, the incidence of sinkholes in Alabama may increase, particularly in the state’s northern counties.</w:t>
      </w:r>
    </w:p>
    <w:p w:rsidR="0067708D" w:rsidP="006F78D2" w:rsidRDefault="0067708D" w14:paraId="22FCCA9E" w14:textId="77777777">
      <w:pPr>
        <w:pStyle w:val="Heading3"/>
        <w:numPr>
          <w:ilvl w:val="2"/>
          <w:numId w:val="43"/>
        </w:numPr>
      </w:pPr>
      <w:bookmarkStart w:name="_Toc150852719" w:id="289"/>
      <w:r>
        <w:t>Wildfire</w:t>
      </w:r>
      <w:bookmarkEnd w:id="289"/>
    </w:p>
    <w:p w:rsidR="0067708D" w:rsidP="0067708D" w:rsidRDefault="0067708D" w14:paraId="56F5DE99" w14:textId="77777777">
      <w:r>
        <w:t>The SHMP ranks wildfire as medium risk, with a high probability and long duration. A wildfire can be defined as any non-structural fire that occurs in the wild. Wildfires are uncontrolled blazes fueled by weather, wind, and dry underbrush that have the ability to burn a significant amount of land in a very short period of time. Three conditions need to be present for a wildfire to burn: fuel, oxygen, and a heat source.</w:t>
      </w:r>
    </w:p>
    <w:p w:rsidR="0067708D" w:rsidP="0067708D" w:rsidRDefault="0067708D" w14:paraId="31696D33" w14:textId="355F9D98">
      <w:r>
        <w:t>Approximately 71 percent of Alabama’s land area is forestland and 85 percent of this forestland is owned by nonindustrial</w:t>
      </w:r>
      <w:r w:rsidR="007824F5">
        <w:t>,</w:t>
      </w:r>
      <w:r>
        <w:t xml:space="preserve"> private landowners. Therefore, the vast majority of wildfires in Alabama occur on privately</w:t>
      </w:r>
      <w:r w:rsidR="007824F5">
        <w:t>-</w:t>
      </w:r>
      <w:r>
        <w:t>owned lands. Additionally, the majority of wildfires in Alabama occur in areas where residential properties or other structures are endangered. Areas where homes are built near or among lands prone to wildfire</w:t>
      </w:r>
      <w:r w:rsidR="00391896">
        <w:t>s</w:t>
      </w:r>
      <w:r>
        <w:t xml:space="preserve"> are known as the wildland-urban interface. As more people move into natural areas for their privacy, beauty, recreational opportunities, and affordable real estate, the wildland-urban interface in Alabama is growing and now faces the risk of major losses from wildfires.</w:t>
      </w:r>
    </w:p>
    <w:p w:rsidR="0067708D" w:rsidP="0067708D" w:rsidRDefault="0067708D" w14:paraId="348EFA4C" w14:textId="78A18A67">
      <w:r>
        <w:t xml:space="preserve">Wildfires damage infrastructure and will need to be </w:t>
      </w:r>
      <w:proofErr w:type="gramStart"/>
      <w:r>
        <w:t>taken into account</w:t>
      </w:r>
      <w:proofErr w:type="gramEnd"/>
      <w:r>
        <w:t xml:space="preserve"> in deploying BEAD infrastructure, particularly in wildland-urban interface areas. As shown in the map below, the wildfire risk in Alabama is higher in the southwestern area of the </w:t>
      </w:r>
      <w:r w:rsidR="004625F1">
        <w:t>s</w:t>
      </w:r>
      <w:r>
        <w:t xml:space="preserve">tate but is present near most urban areas. </w:t>
      </w:r>
    </w:p>
    <w:p w:rsidR="0067708D" w:rsidP="0067708D" w:rsidRDefault="0067708D" w14:paraId="6C24F4FF" w14:textId="0FCCD687">
      <w:pPr>
        <w:pStyle w:val="Caption"/>
      </w:pPr>
      <w:bookmarkStart w:name="_Toc150852770" w:id="290"/>
      <w:r>
        <w:t xml:space="preserve">Figure </w:t>
      </w:r>
      <w:r w:rsidR="00597437">
        <w:fldChar w:fldCharType="begin"/>
      </w:r>
      <w:r w:rsidR="00597437">
        <w:instrText xml:space="preserve"> SEQ Figure \* ARABIC </w:instrText>
      </w:r>
      <w:r w:rsidR="00597437">
        <w:fldChar w:fldCharType="separate"/>
      </w:r>
      <w:r w:rsidR="00626CDC">
        <w:rPr>
          <w:noProof/>
        </w:rPr>
        <w:t>16</w:t>
      </w:r>
      <w:r w:rsidR="00597437">
        <w:rPr>
          <w:noProof/>
        </w:rPr>
        <w:fldChar w:fldCharType="end"/>
      </w:r>
      <w:r>
        <w:t xml:space="preserve">: </w:t>
      </w:r>
      <w:r w:rsidR="00F96EB6">
        <w:t>Risk of w</w:t>
      </w:r>
      <w:r>
        <w:t>ildfire in Alabama</w:t>
      </w:r>
      <w:bookmarkEnd w:id="290"/>
    </w:p>
    <w:p w:rsidR="0067708D" w:rsidP="0067708D" w:rsidRDefault="0067708D" w14:paraId="60D7CE19" w14:textId="77777777">
      <w:r>
        <w:rPr>
          <w:noProof/>
        </w:rPr>
        <w:drawing>
          <wp:inline distT="0" distB="0" distL="0" distR="0" wp14:anchorId="73EAE8DD" wp14:editId="0DD5E4E2">
            <wp:extent cx="5937250" cy="7683500"/>
            <wp:effectExtent l="0" t="0" r="6350" b="0"/>
            <wp:docPr id="723232132" name="Picture 723232132" descr="A map showing that only the most south western portion of the state of Alabama is at a very high risk for wild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32132" name="Picture 723232132" descr="A map showing that only the most south western portion of the state of Alabama is at a very high risk for wildfi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noFill/>
                    </a:ln>
                  </pic:spPr>
                </pic:pic>
              </a:graphicData>
            </a:graphic>
          </wp:inline>
        </w:drawing>
      </w:r>
    </w:p>
    <w:p w:rsidR="0067708D" w:rsidP="0067708D" w:rsidRDefault="0067708D" w14:paraId="520A91D6" w14:textId="2CAC7BE2">
      <w:r>
        <w:t>As with most natural hazards, wildfires are strongly influenced by weather phenomena. Alabama is projected to become more prone to wildfire occurrences. Alabama is at risk of facing considerable increasing threat levels from wildfire between now and 2050.</w:t>
      </w:r>
    </w:p>
    <w:p w:rsidR="00D44B6F" w:rsidP="001B4244" w:rsidRDefault="00D44B6F" w14:paraId="667643A8" w14:textId="4F106B22">
      <w:pPr>
        <w:pStyle w:val="Heading3"/>
        <w:numPr>
          <w:ilvl w:val="2"/>
          <w:numId w:val="43"/>
        </w:numPr>
      </w:pPr>
      <w:bookmarkStart w:name="_Toc150852720" w:id="291"/>
      <w:r w:rsidRPr="00D44B6F">
        <w:t xml:space="preserve">Winter </w:t>
      </w:r>
      <w:r w:rsidR="000528C5">
        <w:t>s</w:t>
      </w:r>
      <w:r w:rsidRPr="00D44B6F">
        <w:t>torms</w:t>
      </w:r>
      <w:bookmarkEnd w:id="291"/>
    </w:p>
    <w:p w:rsidR="0067708D" w:rsidP="0067708D" w:rsidRDefault="0067708D" w14:paraId="0E2AA139" w14:textId="39E810B4">
      <w:r>
        <w:t>Although the SHMP ranks winter storms as medium risk, they are the highest</w:t>
      </w:r>
      <w:r w:rsidR="00031AD5">
        <w:t>-</w:t>
      </w:r>
      <w:r>
        <w:t>ranked medium risk and fourth overall in Alabama. Winter storms are storm events characterized by extreme cold and precipitation in the form of snow, ice, and/or sleet. Winter storms can also spawn other natural hazards, such as coastal flooding and erosion, severe thunderstorms and tornados, and extreme winds. These storm events can have significant impacts in terms of human life, economic loss, and disruption of transportation and commerce. Accumulations of snow and ice can severely impact power and telecommunications infrastructure, and BEAD deployments will need to take mitigation measures and review best practices.</w:t>
      </w:r>
    </w:p>
    <w:p w:rsidR="0067708D" w:rsidP="0067708D" w:rsidRDefault="0067708D" w14:paraId="1477C4C7" w14:textId="3EA43535">
      <w:r>
        <w:t>The disruption caused by a winter storm depends on the amount of precipitation, the affected population, and the regional climatology. Areas where winter storms are rare, such as the southeastern U</w:t>
      </w:r>
      <w:r w:rsidR="008165F2">
        <w:t>nited States</w:t>
      </w:r>
      <w:r>
        <w:t xml:space="preserve">, tend to be less prepared for these events and therefore tend to experience greater disruption. </w:t>
      </w:r>
    </w:p>
    <w:p w:rsidR="0067708D" w:rsidP="0067708D" w:rsidRDefault="0067708D" w14:paraId="51C4BB31" w14:textId="77777777">
      <w:r>
        <w:t>Winter storms in Alabama are not as severe or common as winter storms in the northern states. Typically, a winter storm in Alabama consists of freezing rain or a few inches of snow that may or may not be accompanied by frozen roadways. Because Alabama is not accustomed to these events, however, winter storms tend to be very disruptive to transportation and commerce. The local warning criteria established by the Mobile, AL and New York, NY Weather Forecast Offices illustrate how the amount of snow or ice that poses a risk to life and property varies from state to state. While expected snow accumulation of 2 inches in 24 hours is enough to trigger a warning in Mobile, snow accumulation of 6 inches in 12 hours is required to trigger a warning in New York.</w:t>
      </w:r>
    </w:p>
    <w:p w:rsidR="0067708D" w:rsidP="0067708D" w:rsidRDefault="0067708D" w14:paraId="034E29C9" w14:textId="77777777">
      <w:r>
        <w:t>FEMA defines winter weather as “</w:t>
      </w:r>
      <w:r w:rsidRPr="00F44208">
        <w:t>winter storm events in which the main types of precipitation are snow, sleet, or freezing rain.</w:t>
      </w:r>
      <w:r>
        <w:t>”</w:t>
      </w:r>
      <w:r>
        <w:rPr>
          <w:rStyle w:val="FootnoteReference"/>
        </w:rPr>
        <w:footnoteReference w:id="130"/>
      </w:r>
      <w:r>
        <w:t xml:space="preserve"> As shown in the map below, Coffee and Houston counties are at Relatively High risk of winter weather, according to FEMA.</w:t>
      </w:r>
    </w:p>
    <w:p w:rsidR="0067708D" w:rsidP="0067708D" w:rsidRDefault="0067708D" w14:paraId="68A5B578" w14:textId="452165E7">
      <w:pPr>
        <w:pStyle w:val="Caption"/>
      </w:pPr>
      <w:bookmarkStart w:name="_Toc150852771" w:id="292"/>
      <w:r>
        <w:t xml:space="preserve">Figure </w:t>
      </w:r>
      <w:r w:rsidR="00597437">
        <w:fldChar w:fldCharType="begin"/>
      </w:r>
      <w:r w:rsidR="00597437">
        <w:instrText xml:space="preserve"> SEQ Figure \* ARABIC </w:instrText>
      </w:r>
      <w:r w:rsidR="00597437">
        <w:fldChar w:fldCharType="separate"/>
      </w:r>
      <w:r w:rsidR="00626CDC">
        <w:rPr>
          <w:noProof/>
        </w:rPr>
        <w:t>17</w:t>
      </w:r>
      <w:r w:rsidR="00597437">
        <w:rPr>
          <w:noProof/>
        </w:rPr>
        <w:fldChar w:fldCharType="end"/>
      </w:r>
      <w:r>
        <w:t xml:space="preserve">: </w:t>
      </w:r>
      <w:r w:rsidR="00F96EB6">
        <w:t>Risk of w</w:t>
      </w:r>
      <w:r>
        <w:t>inter weather in Alabama</w:t>
      </w:r>
      <w:bookmarkEnd w:id="292"/>
    </w:p>
    <w:p w:rsidR="0067708D" w:rsidP="0067708D" w:rsidRDefault="0067708D" w14:paraId="382FB84E" w14:textId="77777777">
      <w:r>
        <w:rPr>
          <w:noProof/>
        </w:rPr>
        <w:drawing>
          <wp:inline distT="0" distB="0" distL="0" distR="0" wp14:anchorId="5B3AC4AC" wp14:editId="19504E3B">
            <wp:extent cx="5937250" cy="7683500"/>
            <wp:effectExtent l="0" t="0" r="6350" b="0"/>
            <wp:docPr id="1823622225" name="Picture 1823622225" descr="A map showing that only two counties in south eastern Alabama are at a relatively high risk for winter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622225" name="Picture 1823622225" descr="A map showing that only two counties in south eastern Alabama are at a relatively high risk for winter weath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noFill/>
                    </a:ln>
                  </pic:spPr>
                </pic:pic>
              </a:graphicData>
            </a:graphic>
          </wp:inline>
        </w:drawing>
      </w:r>
    </w:p>
    <w:p w:rsidR="0067708D" w:rsidP="0067708D" w:rsidRDefault="0067708D" w14:paraId="19BE4E8C" w14:textId="2783ECC4">
      <w:r>
        <w:t>FEMA separately defines an ice storm as, “</w:t>
      </w:r>
      <w:r w:rsidRPr="00102FE0">
        <w:t>a freezing rain situation (rain that freezes on surface contact) with significant ice accumulations of 0.25 inches or greater.</w:t>
      </w:r>
      <w:r>
        <w:t>”</w:t>
      </w:r>
      <w:r w:rsidR="00084655">
        <w:rPr>
          <w:rStyle w:val="FootnoteReference"/>
        </w:rPr>
        <w:footnoteReference w:id="131"/>
      </w:r>
      <w:r>
        <w:t xml:space="preserve"> Ice storms can cause significant damage to power and telecommunications infrastructure.</w:t>
      </w:r>
    </w:p>
    <w:p w:rsidR="0067708D" w:rsidP="0067708D" w:rsidRDefault="0067708D" w14:paraId="34D80BE7" w14:textId="77777777">
      <w:r>
        <w:t>As shown in the map below, Choctaw and Chilton counties, and several counties in Alabama’s northern areas, are at Relatively High risk of ice storms.</w:t>
      </w:r>
    </w:p>
    <w:p w:rsidRPr="00385C7A" w:rsidR="00573DEC" w:rsidP="00573DEC" w:rsidRDefault="00573DEC" w14:paraId="4C050B5B" w14:textId="77777777">
      <w:r>
        <w:t>If historical trends continue, Alabama can expect the probability of hazardous ice storms to remain relatively constant, and the probability of hazardous snowstorms to fall.</w:t>
      </w:r>
    </w:p>
    <w:p w:rsidR="00573DEC" w:rsidP="0067708D" w:rsidRDefault="00573DEC" w14:paraId="7C160F48" w14:textId="77777777"/>
    <w:p w:rsidR="0067708D" w:rsidP="0067708D" w:rsidRDefault="0067708D" w14:paraId="5F4D7BDA" w14:textId="3BBE9EB5">
      <w:pPr>
        <w:pStyle w:val="Caption"/>
      </w:pPr>
      <w:bookmarkStart w:name="_Toc150852772" w:id="293"/>
      <w:r>
        <w:t xml:space="preserve">Figure </w:t>
      </w:r>
      <w:r w:rsidR="00597437">
        <w:fldChar w:fldCharType="begin"/>
      </w:r>
      <w:r w:rsidR="00597437">
        <w:instrText xml:space="preserve"> SEQ Figure \* ARABIC </w:instrText>
      </w:r>
      <w:r w:rsidR="00597437">
        <w:fldChar w:fldCharType="separate"/>
      </w:r>
      <w:r w:rsidR="00626CDC">
        <w:rPr>
          <w:noProof/>
        </w:rPr>
        <w:t>18</w:t>
      </w:r>
      <w:r w:rsidR="00597437">
        <w:rPr>
          <w:noProof/>
        </w:rPr>
        <w:fldChar w:fldCharType="end"/>
      </w:r>
      <w:r>
        <w:t xml:space="preserve">: </w:t>
      </w:r>
      <w:r w:rsidR="00F96EB6">
        <w:t>Risk of i</w:t>
      </w:r>
      <w:r>
        <w:t>ce storm</w:t>
      </w:r>
      <w:r w:rsidR="00F96EB6">
        <w:t>s</w:t>
      </w:r>
      <w:r>
        <w:t xml:space="preserve"> in Alabama</w:t>
      </w:r>
      <w:bookmarkEnd w:id="293"/>
    </w:p>
    <w:p w:rsidR="0067708D" w:rsidP="0067708D" w:rsidRDefault="0067708D" w14:paraId="3A95395B" w14:textId="77777777">
      <w:r>
        <w:rPr>
          <w:noProof/>
        </w:rPr>
        <w:drawing>
          <wp:inline distT="0" distB="0" distL="0" distR="0" wp14:anchorId="74D5D905" wp14:editId="45FA82EE">
            <wp:extent cx="5937250" cy="7683500"/>
            <wp:effectExtent l="0" t="0" r="6350" b="0"/>
            <wp:docPr id="1521732507" name="Picture 1521732507" descr="A map showing that large parts of northern Alabama are at a relatively high risk for an ice 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32507" name="Picture 1521732507" descr="A map showing that large parts of northern Alabama are at a relatively high risk for an ice stor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noFill/>
                    </a:ln>
                  </pic:spPr>
                </pic:pic>
              </a:graphicData>
            </a:graphic>
          </wp:inline>
        </w:drawing>
      </w:r>
    </w:p>
    <w:p w:rsidR="00E10ABA" w:rsidP="00221975" w:rsidRDefault="00E10ABA" w14:paraId="11A36B2E" w14:textId="77777777">
      <w:pPr>
        <w:pStyle w:val="Heading2"/>
        <w:numPr>
          <w:ilvl w:val="1"/>
          <w:numId w:val="23"/>
        </w:numPr>
      </w:pPr>
      <w:bookmarkStart w:name="_Toc147385557" w:id="294"/>
      <w:bookmarkStart w:name="_Toc150852721" w:id="295"/>
      <w:r>
        <w:t xml:space="preserve">Projected weather and climate risks to new </w:t>
      </w:r>
      <w:r w:rsidR="00B20636">
        <w:t xml:space="preserve">BEAD-funded </w:t>
      </w:r>
      <w:r w:rsidR="0014288C">
        <w:t xml:space="preserve">broadband </w:t>
      </w:r>
      <w:r>
        <w:t>infrastructure</w:t>
      </w:r>
      <w:bookmarkEnd w:id="294"/>
      <w:bookmarkEnd w:id="295"/>
      <w:r>
        <w:t xml:space="preserve"> </w:t>
      </w:r>
    </w:p>
    <w:p w:rsidR="0067708D" w:rsidP="0067708D" w:rsidRDefault="0067708D" w14:paraId="4553862C" w14:textId="77777777">
      <w:r>
        <w:t xml:space="preserve">The top natural hazard risks impact broadband infrastructure in the following ways: through power outages, through equipment damage, and through signal degradation. </w:t>
      </w:r>
    </w:p>
    <w:p w:rsidR="0067708D" w:rsidP="0067708D" w:rsidRDefault="0067708D" w14:paraId="304F243F" w14:textId="72584A16">
      <w:pPr>
        <w:pStyle w:val="Caption"/>
      </w:pPr>
      <w:bookmarkStart w:name="_Toc150852794" w:id="296"/>
      <w:r w:rsidRPr="005C3944">
        <w:t xml:space="preserve">Table </w:t>
      </w:r>
      <w:r w:rsidR="00597437">
        <w:fldChar w:fldCharType="begin"/>
      </w:r>
      <w:r w:rsidR="00597437">
        <w:instrText xml:space="preserve"> SEQ Table \* ARABIC </w:instrText>
      </w:r>
      <w:r w:rsidR="00597437">
        <w:fldChar w:fldCharType="separate"/>
      </w:r>
      <w:r w:rsidR="00444AF1">
        <w:rPr>
          <w:noProof/>
        </w:rPr>
        <w:t>19</w:t>
      </w:r>
      <w:r w:rsidR="00597437">
        <w:rPr>
          <w:noProof/>
        </w:rPr>
        <w:fldChar w:fldCharType="end"/>
      </w:r>
      <w:r>
        <w:t xml:space="preserve">: </w:t>
      </w:r>
      <w:r w:rsidRPr="00C224C0">
        <w:t>Threats to infrastructure posed by weather risks</w:t>
      </w:r>
      <w:bookmarkEnd w:id="296"/>
    </w:p>
    <w:tbl>
      <w:tblPr>
        <w:tblStyle w:val="TableGrid"/>
        <w:tblW w:w="0" w:type="auto"/>
        <w:tblLook w:val="04A0" w:firstRow="1" w:lastRow="0" w:firstColumn="1" w:lastColumn="0" w:noHBand="0" w:noVBand="1"/>
      </w:tblPr>
      <w:tblGrid>
        <w:gridCol w:w="4675"/>
        <w:gridCol w:w="4675"/>
      </w:tblGrid>
      <w:tr w:rsidRPr="0079073D" w:rsidR="0067708D" w:rsidTr="005C3944" w14:paraId="7A152EAE" w14:textId="77777777">
        <w:tc>
          <w:tcPr>
            <w:tcW w:w="4675" w:type="dxa"/>
            <w:tcBorders>
              <w:right w:val="single" w:color="FFFFFF" w:themeColor="background1" w:sz="4" w:space="0"/>
            </w:tcBorders>
            <w:shd w:val="clear" w:color="auto" w:fill="0A2458"/>
          </w:tcPr>
          <w:p w:rsidRPr="00626CDC" w:rsidR="0067708D" w:rsidP="00626CDC" w:rsidRDefault="0067708D" w14:paraId="672E4BB1" w14:textId="77777777">
            <w:pPr>
              <w:jc w:val="left"/>
            </w:pPr>
            <w:r w:rsidRPr="00626CDC">
              <w:t>Risks</w:t>
            </w:r>
          </w:p>
        </w:tc>
        <w:tc>
          <w:tcPr>
            <w:tcW w:w="4675" w:type="dxa"/>
            <w:tcBorders>
              <w:left w:val="single" w:color="FFFFFF" w:themeColor="background1" w:sz="4" w:space="0"/>
            </w:tcBorders>
            <w:shd w:val="clear" w:color="auto" w:fill="0A2458"/>
          </w:tcPr>
          <w:p w:rsidRPr="00626CDC" w:rsidR="0067708D" w:rsidP="00626CDC" w:rsidRDefault="0067708D" w14:paraId="761AB817" w14:textId="77777777">
            <w:pPr>
              <w:jc w:val="left"/>
            </w:pPr>
            <w:r w:rsidRPr="00626CDC">
              <w:t>Potential causes</w:t>
            </w:r>
          </w:p>
        </w:tc>
      </w:tr>
      <w:tr w:rsidRPr="0079073D" w:rsidR="0067708D" w14:paraId="261926BA" w14:textId="77777777">
        <w:tc>
          <w:tcPr>
            <w:tcW w:w="4675" w:type="dxa"/>
          </w:tcPr>
          <w:p w:rsidRPr="0079073D" w:rsidR="0067708D" w:rsidP="00626CDC" w:rsidRDefault="0067708D" w14:paraId="19ACD1CF" w14:textId="77777777">
            <w:pPr>
              <w:jc w:val="left"/>
            </w:pPr>
            <w:r w:rsidRPr="0079073D">
              <w:t>Power outages</w:t>
            </w:r>
          </w:p>
        </w:tc>
        <w:tc>
          <w:tcPr>
            <w:tcW w:w="4675" w:type="dxa"/>
          </w:tcPr>
          <w:p w:rsidRPr="0079073D" w:rsidR="0067708D" w:rsidP="00626CDC" w:rsidRDefault="0067708D" w14:paraId="15F9AAC6" w14:textId="77777777">
            <w:pPr>
              <w:jc w:val="left"/>
            </w:pPr>
            <w:r w:rsidRPr="0079073D">
              <w:t>Strong winds, hurricanes, ice storms, flooding</w:t>
            </w:r>
          </w:p>
        </w:tc>
      </w:tr>
      <w:tr w:rsidRPr="0079073D" w:rsidR="0067708D" w14:paraId="09A66108" w14:textId="77777777">
        <w:tc>
          <w:tcPr>
            <w:tcW w:w="4675" w:type="dxa"/>
          </w:tcPr>
          <w:p w:rsidRPr="0079073D" w:rsidR="0067708D" w:rsidP="00626CDC" w:rsidRDefault="0067708D" w14:paraId="2DEF7B46" w14:textId="77777777">
            <w:pPr>
              <w:jc w:val="left"/>
            </w:pPr>
            <w:r w:rsidRPr="0079073D">
              <w:t>Equipment damage</w:t>
            </w:r>
          </w:p>
        </w:tc>
        <w:tc>
          <w:tcPr>
            <w:tcW w:w="4675" w:type="dxa"/>
          </w:tcPr>
          <w:p w:rsidRPr="0079073D" w:rsidR="0067708D" w:rsidP="00626CDC" w:rsidRDefault="0067708D" w14:paraId="5758EDC4" w14:textId="77777777">
            <w:pPr>
              <w:jc w:val="left"/>
            </w:pPr>
            <w:r w:rsidRPr="0079073D">
              <w:t>Lightning, tornadoes, ice storms, flooding, hail</w:t>
            </w:r>
            <w:r>
              <w:t>, wildfires, landslides, sinkholes</w:t>
            </w:r>
          </w:p>
        </w:tc>
      </w:tr>
      <w:tr w:rsidR="0067708D" w14:paraId="2D35165F" w14:textId="77777777">
        <w:tc>
          <w:tcPr>
            <w:tcW w:w="4675" w:type="dxa"/>
          </w:tcPr>
          <w:p w:rsidRPr="0079073D" w:rsidR="0067708D" w:rsidP="00626CDC" w:rsidRDefault="0067708D" w14:paraId="4EE527CD" w14:textId="77777777">
            <w:pPr>
              <w:jc w:val="left"/>
            </w:pPr>
            <w:r w:rsidRPr="0079073D">
              <w:t>Signal degradation</w:t>
            </w:r>
          </w:p>
        </w:tc>
        <w:tc>
          <w:tcPr>
            <w:tcW w:w="4675" w:type="dxa"/>
          </w:tcPr>
          <w:p w:rsidR="0067708D" w:rsidP="00626CDC" w:rsidRDefault="0067708D" w14:paraId="4834D0A5" w14:textId="77777777">
            <w:pPr>
              <w:jc w:val="left"/>
            </w:pPr>
            <w:r w:rsidRPr="0079073D">
              <w:t>Flooding, hail</w:t>
            </w:r>
          </w:p>
        </w:tc>
      </w:tr>
    </w:tbl>
    <w:p w:rsidR="0067708D" w:rsidP="00177EAF" w:rsidRDefault="0067708D" w14:paraId="68A7F87A" w14:textId="3C6A340D">
      <w:pPr>
        <w:spacing w:before="200"/>
      </w:pPr>
      <w:r>
        <w:t xml:space="preserve">Strong winds, hurricanes, ice storms, and other hazards can cause power lines to go down or power to be turned off for safety, resulting in a break in internet accessibility. Heat and wildfires </w:t>
      </w:r>
      <w:r w:rsidR="007A33AC">
        <w:t>also</w:t>
      </w:r>
      <w:r>
        <w:t xml:space="preserve"> impact the power infrastructure. Additionally, aerial fiber (and coaxial cable) is frequently </w:t>
      </w:r>
      <w:proofErr w:type="spellStart"/>
      <w:r w:rsidR="00177EAF">
        <w:t>overlashed</w:t>
      </w:r>
      <w:proofErr w:type="spellEnd"/>
      <w:r>
        <w:t xml:space="preserve"> on power lines that run along poles. When tree branches or ice cause power lines to break, the applied force may also damage the </w:t>
      </w:r>
      <w:proofErr w:type="spellStart"/>
      <w:r>
        <w:t>overlashed</w:t>
      </w:r>
      <w:proofErr w:type="spellEnd"/>
      <w:r>
        <w:t xml:space="preserve"> asset. This risk is raised when a technician untrained in internet infrastructure or fiber attempts to fix downed power lines by cutting through otherwise intact fiber. </w:t>
      </w:r>
    </w:p>
    <w:p w:rsidR="0067708D" w:rsidP="0067708D" w:rsidRDefault="0067708D" w14:paraId="0EF4427B" w14:textId="5BA2BAEA">
      <w:r>
        <w:t xml:space="preserve">Risks such as lightning, tornadoes, flooding, </w:t>
      </w:r>
      <w:r w:rsidR="00B3013C">
        <w:t>and wildfires</w:t>
      </w:r>
      <w:r>
        <w:t xml:space="preserve"> can threaten aerial assets of all kinds. Intense winds and debris can damage fiber and even knock down utility poles. Lightning can strike antenna and satellite equipment that is necessary for fixed wireless communications. In either case, the result is severed connectivity. </w:t>
      </w:r>
    </w:p>
    <w:p w:rsidR="008B4819" w:rsidP="0067708D" w:rsidRDefault="0067708D" w14:paraId="6BC59BEE" w14:textId="77777777">
      <w:r>
        <w:t>In addition, risks such as floods and hail can cause the signal between fixed wireless transmitters and receivers to be absorbed or scattered, weakening their performance.</w:t>
      </w:r>
    </w:p>
    <w:p w:rsidR="0067708D" w:rsidP="0067708D" w:rsidRDefault="008B4819" w14:paraId="4BA71A36" w14:textId="2373429A">
      <w:r>
        <w:t xml:space="preserve">As discussed above, the </w:t>
      </w:r>
      <w:r w:rsidR="00A919BB">
        <w:t>highest-risk hazards in Alabama include flooding, high winds, and sea level rise, followed by moderate-risk hazards</w:t>
      </w:r>
      <w:r w:rsidR="00635652">
        <w:t xml:space="preserve"> that include w</w:t>
      </w:r>
      <w:r>
        <w:t>inter storms</w:t>
      </w:r>
      <w:r w:rsidR="00635652">
        <w:t>, w</w:t>
      </w:r>
      <w:r>
        <w:t>ildfires</w:t>
      </w:r>
      <w:r w:rsidR="00635652">
        <w:t>, e</w:t>
      </w:r>
      <w:r>
        <w:t>xtreme temperatures</w:t>
      </w:r>
      <w:r w:rsidR="00635652">
        <w:t>, d</w:t>
      </w:r>
      <w:r>
        <w:t>rought</w:t>
      </w:r>
      <w:r w:rsidR="00635652">
        <w:t>, l</w:t>
      </w:r>
      <w:r>
        <w:t>andslides</w:t>
      </w:r>
      <w:r w:rsidR="00635652">
        <w:t>, s</w:t>
      </w:r>
      <w:r>
        <w:t>inkholes and subsidence</w:t>
      </w:r>
      <w:r w:rsidR="00635652">
        <w:t>, l</w:t>
      </w:r>
      <w:r>
        <w:t>ightning</w:t>
      </w:r>
      <w:r w:rsidR="00635652">
        <w:t>, and e</w:t>
      </w:r>
      <w:r>
        <w:t>arthquakes</w:t>
      </w:r>
      <w:r w:rsidR="00635652">
        <w:t>.</w:t>
      </w:r>
    </w:p>
    <w:p w:rsidR="0014288C" w:rsidP="00221975" w:rsidRDefault="00DA2DB1" w14:paraId="64A565ED" w14:textId="77777777">
      <w:pPr>
        <w:pStyle w:val="Heading2"/>
        <w:numPr>
          <w:ilvl w:val="1"/>
          <w:numId w:val="23"/>
        </w:numPr>
      </w:pPr>
      <w:bookmarkStart w:name="_Toc147385558" w:id="297"/>
      <w:bookmarkStart w:name="_Toc150852722" w:id="298"/>
      <w:r>
        <w:t>Avoidance and mitigation of weather and climate risks</w:t>
      </w:r>
      <w:bookmarkEnd w:id="297"/>
      <w:bookmarkEnd w:id="298"/>
    </w:p>
    <w:p w:rsidR="0067708D" w:rsidP="0067708D" w:rsidRDefault="0067708D" w14:paraId="38442CE9" w14:textId="5C561AA5">
      <w:r w:rsidRPr="00471937">
        <w:t xml:space="preserve">Network infrastructure deployment—especially wireline—generally builds in principles of resilient and reliable networks, which mitigate risks against natural hazards. Since BEAD awardees will be familiar with these practices and incentivized by their profit motive to deploy resilient network technology, </w:t>
      </w:r>
      <w:r w:rsidR="009B2ACA">
        <w:t>ADECA</w:t>
      </w:r>
      <w:r w:rsidRPr="00471937">
        <w:t xml:space="preserve"> will focus on providing guidance in areas where additional risk mitigation techniques should be considered. The following subsections discuss both hazard mitigation best practices that the anticipated BEAD funded projects in </w:t>
      </w:r>
      <w:r>
        <w:t>Alabama</w:t>
      </w:r>
      <w:r w:rsidRPr="00471937">
        <w:t xml:space="preserve"> are likely to include, and how </w:t>
      </w:r>
      <w:r w:rsidR="00926719">
        <w:t>ADECA</w:t>
      </w:r>
      <w:r w:rsidRPr="00471937">
        <w:t xml:space="preserve"> will adopt processes to ensure climate resiliency. </w:t>
      </w:r>
    </w:p>
    <w:p w:rsidR="0067708D" w:rsidP="00603158" w:rsidRDefault="0067708D" w14:paraId="2A7BAB21" w14:textId="083BF391">
      <w:pPr>
        <w:pStyle w:val="Heading3"/>
        <w:numPr>
          <w:ilvl w:val="2"/>
          <w:numId w:val="23"/>
        </w:numPr>
      </w:pPr>
      <w:bookmarkStart w:name="_Toc150852723" w:id="299"/>
      <w:r w:rsidRPr="001620DD">
        <w:t>Hazard mitigation for anticipated BEAD-funded projects in</w:t>
      </w:r>
      <w:r>
        <w:t xml:space="preserve"> Alabama</w:t>
      </w:r>
      <w:bookmarkEnd w:id="299"/>
    </w:p>
    <w:p w:rsidR="0067708D" w:rsidP="0067708D" w:rsidRDefault="006E138C" w14:paraId="6560EB93" w14:textId="2F89A075">
      <w:r>
        <w:t>In accordance with the BEAD NOFO</w:t>
      </w:r>
      <w:r w:rsidR="00B21717">
        <w:t xml:space="preserve"> project prioritization process</w:t>
      </w:r>
      <w:r>
        <w:t xml:space="preserve">, </w:t>
      </w:r>
      <w:r w:rsidR="00323E61">
        <w:t xml:space="preserve">ADECA anticipates that the majority of BEAD funding </w:t>
      </w:r>
      <w:r>
        <w:t>will be awarded to projects proposing fiber optic deployments.</w:t>
      </w:r>
      <w:r w:rsidR="00B21717">
        <w:t xml:space="preserve"> However, depending on the outcomes of the subgrantee selection process and available funding, </w:t>
      </w:r>
      <w:r w:rsidR="0067708D">
        <w:t>alternative technologies such as fixed wireless may play a role in BEAD deployments</w:t>
      </w:r>
      <w:r w:rsidR="00B21717">
        <w:t xml:space="preserve"> in Alabama</w:t>
      </w:r>
      <w:r w:rsidR="0067708D">
        <w:t xml:space="preserve">. </w:t>
      </w:r>
    </w:p>
    <w:p w:rsidR="0067708D" w:rsidP="0067708D" w:rsidRDefault="0067708D" w14:paraId="523A5765" w14:textId="77777777">
      <w:r w:rsidRPr="006D3C8B">
        <w:t xml:space="preserve">Fiber optic cable is </w:t>
      </w:r>
      <w:r>
        <w:t xml:space="preserve">preferred as a matter of national policy because it is future-proof. It is also </w:t>
      </w:r>
      <w:r w:rsidRPr="006D3C8B">
        <w:t xml:space="preserve">one of the most resilient media for broadband: it is well encased and protected and does not require power except for a limited amount of network equipment huts and locations with active electronics. </w:t>
      </w:r>
    </w:p>
    <w:p w:rsidR="0067708D" w:rsidP="0067708D" w:rsidRDefault="0067708D" w14:paraId="2337943C" w14:textId="5414B7F5">
      <w:r>
        <w:t>Mitigati</w:t>
      </w:r>
      <w:r w:rsidR="00B55D2E">
        <w:t>o</w:t>
      </w:r>
      <w:r>
        <w:t xml:space="preserve">n </w:t>
      </w:r>
      <w:r w:rsidR="00B55D2E">
        <w:t xml:space="preserve">of </w:t>
      </w:r>
      <w:r>
        <w:t xml:space="preserve">current climate events </w:t>
      </w:r>
      <w:r w:rsidR="00703BC5">
        <w:t>is</w:t>
      </w:r>
      <w:r>
        <w:t xml:space="preserve"> typically incorporated into the practices of any ISP</w:t>
      </w:r>
      <w:r w:rsidDel="00FA2EB2">
        <w:t xml:space="preserve"> </w:t>
      </w:r>
      <w:r w:rsidR="00FA2EB2">
        <w:t xml:space="preserve">which </w:t>
      </w:r>
      <w:r>
        <w:t xml:space="preserve">has a vested interest in ensuring business continuity to manage customer satisfaction and operational costs. Burying fiber is the best mitigation to natural hazards but should be supplemented with standard best practices </w:t>
      </w:r>
      <w:r w:rsidR="00094B4B">
        <w:t xml:space="preserve">for </w:t>
      </w:r>
      <w:r>
        <w:t>optimizing network resilience, such as equipment and path diversity.</w:t>
      </w:r>
    </w:p>
    <w:p w:rsidR="0067708D" w:rsidP="0067708D" w:rsidRDefault="0067708D" w14:paraId="49B7BB77" w14:textId="7EE76086">
      <w:r>
        <w:t xml:space="preserve">For current and planned aerial fiber, wireline broadband providers generally depend on utility pole owner actions. Fiber optic cables do not need power and continue to provide signal transport even when the cable is down. Pole technology is evolving, as is the understanding of wind hazards. </w:t>
      </w:r>
      <w:r w:rsidRPr="006A6C3D">
        <w:t>Poles that are older and/or experience previous strains are weakened and more likely to fail in future events. Mitigation of such risks involve</w:t>
      </w:r>
      <w:r>
        <w:t>s</w:t>
      </w:r>
      <w:r w:rsidRPr="006A6C3D">
        <w:t xml:space="preserve"> estimating pole risks based on watershed proximity, previous events, and existing drainage</w:t>
      </w:r>
      <w:r>
        <w:t>. Mitigation strategies include</w:t>
      </w:r>
      <w:r w:rsidRPr="006A6C3D">
        <w:t xml:space="preserve"> adding drainage and replacing old and weak poles. </w:t>
      </w:r>
    </w:p>
    <w:p w:rsidR="0067708D" w:rsidP="0067708D" w:rsidRDefault="0067708D" w14:paraId="289FA856" w14:textId="77777777">
      <w:r>
        <w:t>For aerial fiber, long-term risk mitigation is similar to mitigation strategies for power lines. In general, changes in the severity and frequency of natural hazards have a longer time horizon and allow for the gradual implementation of hardening efforts. When risks and outages become too frequent, power utilities will convert aerial to buried in vulnerable segments and wireline broadband providers can simply follow their lead and cadence. For communications providers, risk mitigation can therefore include any of the following on a gradual implementation basis:</w:t>
      </w:r>
    </w:p>
    <w:p w:rsidR="0067708D" w:rsidP="001B4244" w:rsidRDefault="0067708D" w14:paraId="1009B87F" w14:textId="77777777">
      <w:pPr>
        <w:pStyle w:val="ListParagraph"/>
        <w:numPr>
          <w:ilvl w:val="1"/>
          <w:numId w:val="40"/>
        </w:numPr>
        <w:spacing w:after="200"/>
      </w:pPr>
      <w:r>
        <w:t>Aligning with power utilities burying aerial power lines</w:t>
      </w:r>
    </w:p>
    <w:p w:rsidR="0067708D" w:rsidP="001B4244" w:rsidRDefault="0067708D" w14:paraId="5FF79E07" w14:textId="77777777">
      <w:pPr>
        <w:pStyle w:val="ListParagraph"/>
        <w:numPr>
          <w:ilvl w:val="1"/>
          <w:numId w:val="40"/>
        </w:numPr>
        <w:spacing w:after="200"/>
      </w:pPr>
      <w:r>
        <w:t>Adding more redundant network paths</w:t>
      </w:r>
    </w:p>
    <w:p w:rsidR="0067708D" w:rsidP="001B4244" w:rsidRDefault="0067708D" w14:paraId="39764DBB" w14:textId="19539ACB">
      <w:pPr>
        <w:pStyle w:val="ListParagraph"/>
        <w:numPr>
          <w:ilvl w:val="1"/>
          <w:numId w:val="40"/>
        </w:numPr>
        <w:spacing w:after="200"/>
      </w:pPr>
      <w:r>
        <w:t xml:space="preserve">Increasing backup power capabilities at ISP network equipment sites and at customer </w:t>
      </w:r>
      <w:r w:rsidR="00EF5AD8">
        <w:t>locations</w:t>
      </w:r>
    </w:p>
    <w:p w:rsidR="0067708D" w:rsidP="0067708D" w:rsidRDefault="0067708D" w14:paraId="0A90DAF3" w14:textId="77777777">
      <w:r>
        <w:t>Tower technology is also evolving. For fixed wireless deployment, tower owners typically make sure the tower is resilient against natural hazards and load studies are conducted frequently on such vertical assets. Owners of such vertical assets therefore typically make reinforcements as needed against different types of hazards.</w:t>
      </w:r>
    </w:p>
    <w:p w:rsidR="0067708D" w:rsidP="00603158" w:rsidRDefault="0067708D" w14:paraId="722C51D9" w14:textId="04387E23">
      <w:pPr>
        <w:pStyle w:val="Heading3"/>
        <w:numPr>
          <w:ilvl w:val="2"/>
          <w:numId w:val="23"/>
        </w:numPr>
      </w:pPr>
      <w:bookmarkStart w:name="_Toc150852724" w:id="300"/>
      <w:r w:rsidRPr="00511CBC">
        <w:t>Adopted risk mitigation processes</w:t>
      </w:r>
      <w:bookmarkEnd w:id="300"/>
    </w:p>
    <w:p w:rsidR="0067708D" w:rsidP="0067708D" w:rsidRDefault="00EF7F3C" w14:paraId="294CED2A" w14:textId="69E91F7F">
      <w:r>
        <w:t>ADECA</w:t>
      </w:r>
      <w:r w:rsidR="0067708D">
        <w:t xml:space="preserve"> will </w:t>
      </w:r>
      <w:r>
        <w:t>require</w:t>
      </w:r>
      <w:r w:rsidR="0067708D">
        <w:t xml:space="preserve"> all subgrantee applicants to have a business continuity plan</w:t>
      </w:r>
      <w:r w:rsidR="00E21C94">
        <w:t>,</w:t>
      </w:r>
      <w:r w:rsidR="0067708D">
        <w:t xml:space="preserve"> which includes their natural hazard risk mitigation </w:t>
      </w:r>
      <w:r w:rsidR="003549FF">
        <w:t>strategy</w:t>
      </w:r>
      <w:r w:rsidR="000A081B">
        <w:t>.</w:t>
      </w:r>
      <w:r w:rsidR="0067708D">
        <w:t xml:space="preserve"> </w:t>
      </w:r>
      <w:r w:rsidR="003549FF">
        <w:t>In addition, ADECA will</w:t>
      </w:r>
      <w:r w:rsidR="0067708D">
        <w:t xml:space="preserve"> </w:t>
      </w:r>
      <w:r w:rsidR="00E21C94">
        <w:t>require</w:t>
      </w:r>
      <w:r w:rsidR="0067708D">
        <w:t xml:space="preserve"> applicants whose project area includes identified high-risk areas </w:t>
      </w:r>
      <w:r w:rsidR="003549FF">
        <w:t xml:space="preserve">(in accordance with the data provided </w:t>
      </w:r>
      <w:r w:rsidR="00F56FDF">
        <w:t xml:space="preserve">above </w:t>
      </w:r>
      <w:r w:rsidR="003549FF">
        <w:t xml:space="preserve">in Section </w:t>
      </w:r>
      <w:r w:rsidR="00F56FDF">
        <w:t>12.2)</w:t>
      </w:r>
      <w:r w:rsidR="0067708D">
        <w:t xml:space="preserve"> to provide specific responses to how they will incorporate mitigation measures into their deployment planning. A</w:t>
      </w:r>
      <w:r w:rsidR="0097304A">
        <w:t xml:space="preserve">DECA </w:t>
      </w:r>
      <w:r w:rsidR="0067708D">
        <w:t xml:space="preserve">will </w:t>
      </w:r>
      <w:r w:rsidR="00D65CD2">
        <w:t xml:space="preserve">require applicants to describe </w:t>
      </w:r>
      <w:r w:rsidR="0003280B">
        <w:t xml:space="preserve">how they considered the following </w:t>
      </w:r>
      <w:r w:rsidR="00AF0D28">
        <w:t xml:space="preserve">strategies </w:t>
      </w:r>
      <w:r w:rsidR="0067708D">
        <w:t>to address natural hazard risks</w:t>
      </w:r>
      <w:r w:rsidR="00A42F67">
        <w:t xml:space="preserve"> in their project design</w:t>
      </w:r>
      <w:r w:rsidR="0067708D">
        <w:t>:</w:t>
      </w:r>
    </w:p>
    <w:p w:rsidR="0067708D" w:rsidP="001B4244" w:rsidRDefault="006170F2" w14:paraId="07333D80" w14:textId="2CEE0733">
      <w:pPr>
        <w:pStyle w:val="ListParagraph"/>
        <w:numPr>
          <w:ilvl w:val="0"/>
          <w:numId w:val="44"/>
        </w:numPr>
        <w:spacing w:after="200"/>
      </w:pPr>
      <w:r>
        <w:t>B</w:t>
      </w:r>
      <w:r w:rsidR="0067708D">
        <w:t>uried fiber compared to aerial in order to mitigate the risks described in this section.</w:t>
      </w:r>
    </w:p>
    <w:p w:rsidR="0067708D" w:rsidP="001B4244" w:rsidRDefault="0067708D" w14:paraId="53CB17CA" w14:textId="479C5722">
      <w:pPr>
        <w:pStyle w:val="ListParagraph"/>
        <w:numPr>
          <w:ilvl w:val="0"/>
          <w:numId w:val="44"/>
        </w:numPr>
        <w:spacing w:after="200"/>
      </w:pPr>
      <w:r>
        <w:t>Retrofitting and hardening existing network assets that are deemed critical to BEAD expansion projects.</w:t>
      </w:r>
    </w:p>
    <w:p w:rsidR="0067708D" w:rsidP="001B4244" w:rsidRDefault="006170F2" w14:paraId="315C7461" w14:textId="15C6FC20">
      <w:pPr>
        <w:pStyle w:val="ListParagraph"/>
        <w:numPr>
          <w:ilvl w:val="0"/>
          <w:numId w:val="44"/>
        </w:numPr>
        <w:spacing w:after="200"/>
      </w:pPr>
      <w:r>
        <w:t>R</w:t>
      </w:r>
      <w:r w:rsidR="0067708D">
        <w:t>edundancy in network designs to reduce single points of failure.</w:t>
      </w:r>
    </w:p>
    <w:p w:rsidR="0067708D" w:rsidP="001B4244" w:rsidRDefault="0067708D" w14:paraId="42E97877" w14:textId="77777777">
      <w:pPr>
        <w:pStyle w:val="ListParagraph"/>
        <w:numPr>
          <w:ilvl w:val="0"/>
          <w:numId w:val="44"/>
        </w:numPr>
        <w:spacing w:after="200"/>
      </w:pPr>
      <w:r>
        <w:t>Considering average down time and emergency response time in applicant selection.</w:t>
      </w:r>
    </w:p>
    <w:p w:rsidRPr="00511CBC" w:rsidR="0067708D" w:rsidP="001B4244" w:rsidRDefault="001E352E" w14:paraId="11BF5529" w14:textId="3ACF9402">
      <w:pPr>
        <w:pStyle w:val="ListParagraph"/>
        <w:numPr>
          <w:ilvl w:val="0"/>
          <w:numId w:val="44"/>
        </w:numPr>
        <w:spacing w:after="200"/>
      </w:pPr>
      <w:r>
        <w:t>T</w:t>
      </w:r>
      <w:r w:rsidR="0067708D">
        <w:t>he use of backup generator power systems</w:t>
      </w:r>
      <w:r w:rsidR="00FB61E3">
        <w:t>,</w:t>
      </w:r>
      <w:r w:rsidR="0067708D">
        <w:t xml:space="preserve"> where applicable.</w:t>
      </w:r>
    </w:p>
    <w:p w:rsidR="00DA2DB1" w:rsidP="00221975" w:rsidRDefault="002E7056" w14:paraId="7432B6E5" w14:textId="77777777">
      <w:pPr>
        <w:pStyle w:val="Heading2"/>
        <w:numPr>
          <w:ilvl w:val="1"/>
          <w:numId w:val="23"/>
        </w:numPr>
      </w:pPr>
      <w:bookmarkStart w:name="_Toc147385559" w:id="301"/>
      <w:bookmarkStart w:name="_Toc150852725" w:id="302"/>
      <w:r>
        <w:t xml:space="preserve">Plan for </w:t>
      </w:r>
      <w:r w:rsidR="00AE4996">
        <w:t>completing the climate assessment process over the life of the program</w:t>
      </w:r>
      <w:bookmarkEnd w:id="301"/>
      <w:bookmarkEnd w:id="302"/>
    </w:p>
    <w:p w:rsidR="0067708D" w:rsidP="0067708D" w:rsidRDefault="009F7184" w14:paraId="589F6773" w14:textId="690A0A1E">
      <w:r>
        <w:t xml:space="preserve">ADECA plans to </w:t>
      </w:r>
      <w:r w:rsidR="00BA10D0">
        <w:t>update the BEAD climate assessment in conjunction with the EMA’s upcoming</w:t>
      </w:r>
      <w:r w:rsidR="006C03A9">
        <w:t xml:space="preserve"> update to the </w:t>
      </w:r>
      <w:r w:rsidR="0067708D">
        <w:t xml:space="preserve">State Hazard Mitigation </w:t>
      </w:r>
      <w:r w:rsidR="00B6356E">
        <w:t>Plan (</w:t>
      </w:r>
      <w:r w:rsidR="0067708D">
        <w:t>SHMP</w:t>
      </w:r>
      <w:r w:rsidR="00B6356E">
        <w:t>)</w:t>
      </w:r>
      <w:r w:rsidRPr="000F6078" w:rsidR="0067708D">
        <w:t xml:space="preserve">. </w:t>
      </w:r>
      <w:r w:rsidR="00132694">
        <w:t>Organizations involved in updating the plan</w:t>
      </w:r>
      <w:r w:rsidR="0067708D">
        <w:t xml:space="preserve"> include:</w:t>
      </w:r>
    </w:p>
    <w:p w:rsidR="0067708D" w:rsidP="001B4244" w:rsidRDefault="0067708D" w14:paraId="76509525" w14:textId="77777777">
      <w:pPr>
        <w:pStyle w:val="ListParagraph"/>
        <w:numPr>
          <w:ilvl w:val="0"/>
          <w:numId w:val="36"/>
        </w:numPr>
        <w:spacing w:after="200"/>
      </w:pPr>
      <w:r>
        <w:t xml:space="preserve">The Governor of Alabama or her designee, who shall serve as </w:t>
      </w:r>
      <w:proofErr w:type="gramStart"/>
      <w:r>
        <w:t>Chair;</w:t>
      </w:r>
      <w:proofErr w:type="gramEnd"/>
    </w:p>
    <w:p w:rsidR="0067708D" w:rsidP="001B4244" w:rsidRDefault="0067708D" w14:paraId="0C769BA3" w14:textId="77777777">
      <w:pPr>
        <w:pStyle w:val="ListParagraph"/>
        <w:numPr>
          <w:ilvl w:val="0"/>
          <w:numId w:val="36"/>
        </w:numPr>
        <w:spacing w:after="200"/>
      </w:pPr>
      <w:r>
        <w:t>The Commissioner of the Alabama Department of Agriculture and Industries (AGI</w:t>
      </w:r>
      <w:proofErr w:type="gramStart"/>
      <w:r>
        <w:t>);</w:t>
      </w:r>
      <w:proofErr w:type="gramEnd"/>
    </w:p>
    <w:p w:rsidR="0067708D" w:rsidP="001B4244" w:rsidRDefault="0067708D" w14:paraId="3D3D84F9" w14:textId="77777777">
      <w:pPr>
        <w:pStyle w:val="ListParagraph"/>
        <w:numPr>
          <w:ilvl w:val="0"/>
          <w:numId w:val="36"/>
        </w:numPr>
        <w:spacing w:after="200"/>
      </w:pPr>
      <w:r>
        <w:t xml:space="preserve">The Attorney </w:t>
      </w:r>
      <w:proofErr w:type="gramStart"/>
      <w:r>
        <w:t>General;</w:t>
      </w:r>
      <w:proofErr w:type="gramEnd"/>
    </w:p>
    <w:p w:rsidR="0067708D" w:rsidP="001B4244" w:rsidRDefault="0067708D" w14:paraId="7C23063E" w14:textId="77777777">
      <w:pPr>
        <w:pStyle w:val="ListParagraph"/>
        <w:numPr>
          <w:ilvl w:val="0"/>
          <w:numId w:val="36"/>
        </w:numPr>
        <w:spacing w:after="200"/>
      </w:pPr>
      <w:r>
        <w:t>The Commissioner of the Alabama Department of Conservation and Natural Resources (DCNR</w:t>
      </w:r>
      <w:proofErr w:type="gramStart"/>
      <w:r>
        <w:t>);</w:t>
      </w:r>
      <w:proofErr w:type="gramEnd"/>
    </w:p>
    <w:p w:rsidR="0067708D" w:rsidP="001B4244" w:rsidRDefault="0067708D" w14:paraId="66B364CB" w14:textId="0AD44377">
      <w:pPr>
        <w:pStyle w:val="ListParagraph"/>
        <w:numPr>
          <w:ilvl w:val="0"/>
          <w:numId w:val="36"/>
        </w:numPr>
        <w:spacing w:after="200"/>
      </w:pPr>
      <w:r>
        <w:t xml:space="preserve">The Director of </w:t>
      </w:r>
      <w:proofErr w:type="gramStart"/>
      <w:r>
        <w:t>ADECA;</w:t>
      </w:r>
      <w:proofErr w:type="gramEnd"/>
    </w:p>
    <w:p w:rsidR="0067708D" w:rsidP="001B4244" w:rsidRDefault="0067708D" w14:paraId="0B2EABB9" w14:textId="529B0D83">
      <w:pPr>
        <w:pStyle w:val="ListParagraph"/>
        <w:numPr>
          <w:ilvl w:val="0"/>
          <w:numId w:val="36"/>
        </w:numPr>
        <w:spacing w:after="200"/>
      </w:pPr>
      <w:r>
        <w:t xml:space="preserve">The Director of the </w:t>
      </w:r>
      <w:proofErr w:type="gramStart"/>
      <w:r w:rsidR="006C03A9">
        <w:t>EMA</w:t>
      </w:r>
      <w:r>
        <w:t>;</w:t>
      </w:r>
      <w:proofErr w:type="gramEnd"/>
    </w:p>
    <w:p w:rsidR="0067708D" w:rsidP="001B4244" w:rsidRDefault="0067708D" w14:paraId="187E81DF" w14:textId="77777777">
      <w:pPr>
        <w:pStyle w:val="ListParagraph"/>
        <w:numPr>
          <w:ilvl w:val="0"/>
          <w:numId w:val="36"/>
        </w:numPr>
        <w:spacing w:after="200"/>
      </w:pPr>
      <w:r>
        <w:t>The Director of the Alabama Department of Environmental Management (ADEM</w:t>
      </w:r>
      <w:proofErr w:type="gramStart"/>
      <w:r>
        <w:t>);</w:t>
      </w:r>
      <w:proofErr w:type="gramEnd"/>
    </w:p>
    <w:p w:rsidR="0067708D" w:rsidP="001B4244" w:rsidRDefault="0067708D" w14:paraId="4848FB30" w14:textId="77777777">
      <w:pPr>
        <w:pStyle w:val="ListParagraph"/>
        <w:numPr>
          <w:ilvl w:val="0"/>
          <w:numId w:val="36"/>
        </w:numPr>
        <w:spacing w:after="200"/>
      </w:pPr>
      <w:r>
        <w:t>The State Forester of the Alabama Forestry Commission (AFC</w:t>
      </w:r>
      <w:proofErr w:type="gramStart"/>
      <w:r>
        <w:t>);</w:t>
      </w:r>
      <w:proofErr w:type="gramEnd"/>
    </w:p>
    <w:p w:rsidR="0067708D" w:rsidP="001B4244" w:rsidRDefault="0067708D" w14:paraId="32D93C9A" w14:textId="77777777">
      <w:pPr>
        <w:pStyle w:val="ListParagraph"/>
        <w:numPr>
          <w:ilvl w:val="0"/>
          <w:numId w:val="36"/>
        </w:numPr>
        <w:spacing w:after="200"/>
      </w:pPr>
      <w:r>
        <w:t xml:space="preserve">The Office of the State </w:t>
      </w:r>
      <w:proofErr w:type="gramStart"/>
      <w:r>
        <w:t>Geologist;</w:t>
      </w:r>
      <w:proofErr w:type="gramEnd"/>
    </w:p>
    <w:p w:rsidR="0067708D" w:rsidP="001B4244" w:rsidRDefault="0067708D" w14:paraId="52F6A374" w14:textId="77777777">
      <w:pPr>
        <w:pStyle w:val="ListParagraph"/>
        <w:numPr>
          <w:ilvl w:val="0"/>
          <w:numId w:val="36"/>
        </w:numPr>
        <w:spacing w:after="200"/>
      </w:pPr>
      <w:r>
        <w:t xml:space="preserve">The State Historic Preservation </w:t>
      </w:r>
      <w:proofErr w:type="gramStart"/>
      <w:r>
        <w:t>Officer;</w:t>
      </w:r>
      <w:proofErr w:type="gramEnd"/>
    </w:p>
    <w:p w:rsidR="0067708D" w:rsidP="001B4244" w:rsidRDefault="0067708D" w14:paraId="5AE98C3B" w14:textId="77777777">
      <w:pPr>
        <w:pStyle w:val="ListParagraph"/>
        <w:numPr>
          <w:ilvl w:val="0"/>
          <w:numId w:val="36"/>
        </w:numPr>
        <w:spacing w:after="200"/>
      </w:pPr>
      <w:r>
        <w:t xml:space="preserve">The Commissioner of the Insurance </w:t>
      </w:r>
      <w:proofErr w:type="gramStart"/>
      <w:r>
        <w:t>Department;</w:t>
      </w:r>
      <w:proofErr w:type="gramEnd"/>
    </w:p>
    <w:p w:rsidR="0067708D" w:rsidP="001B4244" w:rsidRDefault="0067708D" w14:paraId="4CB58D46" w14:textId="255A32DB">
      <w:pPr>
        <w:pStyle w:val="ListParagraph"/>
        <w:numPr>
          <w:ilvl w:val="0"/>
          <w:numId w:val="36"/>
        </w:numPr>
        <w:spacing w:after="200"/>
      </w:pPr>
      <w:r>
        <w:t xml:space="preserve">The Director of the Governor’s Legal </w:t>
      </w:r>
      <w:r w:rsidR="00BB62D8">
        <w:t>Counsel</w:t>
      </w:r>
      <w:r>
        <w:t xml:space="preserve"> </w:t>
      </w:r>
      <w:proofErr w:type="gramStart"/>
      <w:r>
        <w:t>Office;</w:t>
      </w:r>
      <w:proofErr w:type="gramEnd"/>
    </w:p>
    <w:p w:rsidR="0067708D" w:rsidP="001B4244" w:rsidRDefault="0067708D" w14:paraId="6BF98819" w14:textId="77777777">
      <w:pPr>
        <w:pStyle w:val="ListParagraph"/>
        <w:numPr>
          <w:ilvl w:val="0"/>
          <w:numId w:val="36"/>
        </w:numPr>
        <w:spacing w:after="200"/>
      </w:pPr>
      <w:r>
        <w:t>The Director of the Alabama Department of Public Health (ADPH</w:t>
      </w:r>
      <w:proofErr w:type="gramStart"/>
      <w:r>
        <w:t>);</w:t>
      </w:r>
      <w:proofErr w:type="gramEnd"/>
    </w:p>
    <w:p w:rsidR="0067708D" w:rsidP="001B4244" w:rsidRDefault="0067708D" w14:paraId="5EE726D5" w14:textId="77777777">
      <w:pPr>
        <w:pStyle w:val="ListParagraph"/>
        <w:numPr>
          <w:ilvl w:val="0"/>
          <w:numId w:val="36"/>
        </w:numPr>
        <w:spacing w:after="200"/>
      </w:pPr>
      <w:r>
        <w:t xml:space="preserve">The Director of the Governor’s Public Information </w:t>
      </w:r>
      <w:proofErr w:type="gramStart"/>
      <w:r>
        <w:t>Office;</w:t>
      </w:r>
      <w:proofErr w:type="gramEnd"/>
    </w:p>
    <w:p w:rsidR="0067708D" w:rsidP="001B4244" w:rsidRDefault="0067708D" w14:paraId="64C9AE0A" w14:textId="77777777">
      <w:pPr>
        <w:pStyle w:val="ListParagraph"/>
        <w:numPr>
          <w:ilvl w:val="0"/>
          <w:numId w:val="36"/>
        </w:numPr>
        <w:spacing w:after="200"/>
      </w:pPr>
      <w:r>
        <w:t xml:space="preserve">The Director of the Alabama Department of Public </w:t>
      </w:r>
      <w:proofErr w:type="gramStart"/>
      <w:r>
        <w:t>Safety;</w:t>
      </w:r>
      <w:proofErr w:type="gramEnd"/>
    </w:p>
    <w:p w:rsidR="0067708D" w:rsidP="001B4244" w:rsidRDefault="0067708D" w14:paraId="2826AEB8" w14:textId="77777777">
      <w:pPr>
        <w:pStyle w:val="ListParagraph"/>
        <w:numPr>
          <w:ilvl w:val="0"/>
          <w:numId w:val="36"/>
        </w:numPr>
        <w:spacing w:after="200"/>
      </w:pPr>
      <w:r>
        <w:t>The Commissioner of the Alabama Public Service Commission (PSC</w:t>
      </w:r>
      <w:proofErr w:type="gramStart"/>
      <w:r>
        <w:t>);</w:t>
      </w:r>
      <w:proofErr w:type="gramEnd"/>
    </w:p>
    <w:p w:rsidR="0067708D" w:rsidP="001B4244" w:rsidRDefault="0067708D" w14:paraId="6F0990B3" w14:textId="77777777">
      <w:pPr>
        <w:pStyle w:val="ListParagraph"/>
        <w:numPr>
          <w:ilvl w:val="0"/>
          <w:numId w:val="36"/>
        </w:numPr>
        <w:spacing w:after="200"/>
      </w:pPr>
      <w:r>
        <w:t xml:space="preserve">The Secretary of </w:t>
      </w:r>
      <w:proofErr w:type="gramStart"/>
      <w:r>
        <w:t>State;</w:t>
      </w:r>
      <w:proofErr w:type="gramEnd"/>
    </w:p>
    <w:p w:rsidR="0067708D" w:rsidP="001B4244" w:rsidRDefault="0067708D" w14:paraId="5D010448" w14:textId="332F2434">
      <w:pPr>
        <w:pStyle w:val="ListParagraph"/>
        <w:numPr>
          <w:ilvl w:val="0"/>
          <w:numId w:val="36"/>
        </w:numPr>
        <w:spacing w:after="200"/>
      </w:pPr>
      <w:r>
        <w:t xml:space="preserve">The Director of </w:t>
      </w:r>
      <w:proofErr w:type="gramStart"/>
      <w:r>
        <w:t>ALDOT;</w:t>
      </w:r>
      <w:proofErr w:type="gramEnd"/>
    </w:p>
    <w:p w:rsidR="0067708D" w:rsidP="001B4244" w:rsidRDefault="0067708D" w14:paraId="0B0E35AC" w14:textId="77777777">
      <w:pPr>
        <w:pStyle w:val="ListParagraph"/>
        <w:numPr>
          <w:ilvl w:val="0"/>
          <w:numId w:val="36"/>
        </w:numPr>
        <w:spacing w:after="200"/>
      </w:pPr>
      <w:r>
        <w:t xml:space="preserve">The Director of the Alabama Association of Regional </w:t>
      </w:r>
      <w:proofErr w:type="gramStart"/>
      <w:r>
        <w:t>Councils;</w:t>
      </w:r>
      <w:proofErr w:type="gramEnd"/>
    </w:p>
    <w:p w:rsidR="0067708D" w:rsidP="001B4244" w:rsidRDefault="0067708D" w14:paraId="3B2DB019" w14:textId="77777777">
      <w:pPr>
        <w:pStyle w:val="ListParagraph"/>
        <w:numPr>
          <w:ilvl w:val="0"/>
          <w:numId w:val="36"/>
        </w:numPr>
        <w:spacing w:after="200"/>
      </w:pPr>
      <w:r>
        <w:t xml:space="preserve">The Director of the Alabama League of </w:t>
      </w:r>
      <w:proofErr w:type="gramStart"/>
      <w:r>
        <w:t>Municipalities;</w:t>
      </w:r>
      <w:proofErr w:type="gramEnd"/>
    </w:p>
    <w:p w:rsidR="0067708D" w:rsidP="001B4244" w:rsidRDefault="0067708D" w14:paraId="62C973CA" w14:textId="77777777">
      <w:pPr>
        <w:pStyle w:val="ListParagraph"/>
        <w:numPr>
          <w:ilvl w:val="0"/>
          <w:numId w:val="36"/>
        </w:numPr>
        <w:spacing w:after="200"/>
      </w:pPr>
      <w:r>
        <w:t xml:space="preserve">The Director of the Association of County </w:t>
      </w:r>
      <w:proofErr w:type="gramStart"/>
      <w:r>
        <w:t>Commissioners;</w:t>
      </w:r>
      <w:proofErr w:type="gramEnd"/>
    </w:p>
    <w:p w:rsidR="0067708D" w:rsidP="001B4244" w:rsidRDefault="0067708D" w14:paraId="656BFBE0" w14:textId="77777777">
      <w:pPr>
        <w:pStyle w:val="ListParagraph"/>
        <w:numPr>
          <w:ilvl w:val="0"/>
          <w:numId w:val="36"/>
        </w:numPr>
        <w:spacing w:after="200"/>
      </w:pPr>
      <w:r>
        <w:t xml:space="preserve">The Director of the Indian Affairs </w:t>
      </w:r>
      <w:proofErr w:type="gramStart"/>
      <w:r>
        <w:t>Commission;</w:t>
      </w:r>
      <w:proofErr w:type="gramEnd"/>
    </w:p>
    <w:p w:rsidR="0067708D" w:rsidP="001B4244" w:rsidRDefault="0067708D" w14:paraId="7AAAA500" w14:textId="77777777">
      <w:pPr>
        <w:pStyle w:val="ListParagraph"/>
        <w:numPr>
          <w:ilvl w:val="0"/>
          <w:numId w:val="36"/>
        </w:numPr>
        <w:spacing w:after="200"/>
      </w:pPr>
      <w:r>
        <w:t>The Chief of the U.S. Army Corps of Engineers; and</w:t>
      </w:r>
    </w:p>
    <w:p w:rsidR="0067708D" w:rsidP="001B4244" w:rsidRDefault="0067708D" w14:paraId="7F88EF07" w14:textId="59D3EEC8">
      <w:pPr>
        <w:pStyle w:val="ListParagraph"/>
        <w:numPr>
          <w:ilvl w:val="0"/>
          <w:numId w:val="36"/>
        </w:numPr>
        <w:spacing w:after="200"/>
      </w:pPr>
      <w:r>
        <w:t>The Director of the Choctawhatchee, Pea</w:t>
      </w:r>
      <w:r w:rsidR="00BC5F56">
        <w:t>,</w:t>
      </w:r>
      <w:r>
        <w:t xml:space="preserve"> and Yellow Rivers Watershed Management Authority (CPYRWMA).</w:t>
      </w:r>
    </w:p>
    <w:p w:rsidRPr="0014288C" w:rsidR="0067708D" w:rsidP="0067708D" w:rsidRDefault="0067708D" w14:paraId="4346CD77" w14:textId="36F8C772">
      <w:r>
        <w:t xml:space="preserve">The update process will </w:t>
      </w:r>
      <w:r w:rsidR="00284D9A">
        <w:t xml:space="preserve">be conducted </w:t>
      </w:r>
      <w:r w:rsidR="009C01E6">
        <w:t>following SHMP updates</w:t>
      </w:r>
      <w:r w:rsidR="00584991">
        <w:t xml:space="preserve">. </w:t>
      </w:r>
      <w:r w:rsidR="00EB3250">
        <w:t xml:space="preserve">ADECA will conduct </w:t>
      </w:r>
      <w:r>
        <w:t xml:space="preserve">a re-examination of the original </w:t>
      </w:r>
      <w:r w:rsidR="00BC5F56">
        <w:t>climate assessment</w:t>
      </w:r>
      <w:r w:rsidR="005D0043">
        <w:t xml:space="preserve"> and provide updates to the recommendations</w:t>
      </w:r>
      <w:r w:rsidR="00C254A9">
        <w:t xml:space="preserve"> and analysis</w:t>
      </w:r>
      <w:r w:rsidR="00A569A5">
        <w:t>, as necessary</w:t>
      </w:r>
      <w:r>
        <w:t xml:space="preserve">. </w:t>
      </w:r>
    </w:p>
    <w:p w:rsidR="000207A3" w:rsidRDefault="000207A3" w14:paraId="55030114" w14:textId="77777777">
      <w:pPr>
        <w:jc w:val="left"/>
        <w:rPr>
          <w:rFonts w:ascii="Georgia" w:hAnsi="Georgia" w:eastAsiaTheme="majorEastAsia" w:cstheme="majorBidi"/>
          <w:b/>
          <w:bCs/>
          <w:color w:val="242451"/>
          <w:sz w:val="28"/>
          <w:szCs w:val="28"/>
        </w:rPr>
      </w:pPr>
      <w:r>
        <w:br w:type="page"/>
      </w:r>
    </w:p>
    <w:p w:rsidR="0077724C" w:rsidP="006F78D2" w:rsidRDefault="0077724C" w14:paraId="18DCE476" w14:textId="3FDB240E">
      <w:pPr>
        <w:pStyle w:val="Heading1"/>
      </w:pPr>
      <w:bookmarkStart w:name="_Toc150852726" w:id="303"/>
      <w:r>
        <w:t>Low-cost broadband service option (Requirement 16)</w:t>
      </w:r>
      <w:bookmarkEnd w:id="303"/>
    </w:p>
    <w:p w:rsidR="000647D1" w:rsidP="000647D1" w:rsidRDefault="0080167B" w14:paraId="1B21A685" w14:textId="3D306749">
      <w:r>
        <w:t>Among the</w:t>
      </w:r>
      <w:r w:rsidRPr="00A67072" w:rsidR="00E166E3">
        <w:t xml:space="preserve"> numerous barriers to internet adoption, affordability of service is a particularly relevant consideration in the State of </w:t>
      </w:r>
      <w:r w:rsidR="00E166E3">
        <w:t>Alabama</w:t>
      </w:r>
      <w:r w:rsidRPr="00A67072" w:rsidR="00E166E3">
        <w:t>.</w:t>
      </w:r>
      <w:r w:rsidR="00E166E3">
        <w:t xml:space="preserve"> </w:t>
      </w:r>
      <w:r w:rsidR="00AC5E7F">
        <w:t>The American Community Survey reports that 89.9 percent of Alabama residents have a home internet subscription of any kind</w:t>
      </w:r>
      <w:r w:rsidR="002302C4">
        <w:t>,</w:t>
      </w:r>
      <w:r w:rsidR="00AC5E7F">
        <w:t xml:space="preserve"> which</w:t>
      </w:r>
      <w:r w:rsidR="009B2934">
        <w:t xml:space="preserve"> is</w:t>
      </w:r>
      <w:r w:rsidR="00AC5E7F">
        <w:t xml:space="preserve"> </w:t>
      </w:r>
      <w:r w:rsidR="009B2934">
        <w:t>similar</w:t>
      </w:r>
      <w:r w:rsidR="00AC5E7F">
        <w:t xml:space="preserve"> to the national rate of 90.3 percent</w:t>
      </w:r>
      <w:r w:rsidR="009B2934">
        <w:t>.</w:t>
      </w:r>
      <w:r w:rsidRPr="0079633F" w:rsidR="00AC5E7F">
        <w:rPr>
          <w:rStyle w:val="FootnoteReference"/>
          <w:rFonts w:ascii="Gill Sans Nova" w:hAnsi="Gill Sans Nova"/>
        </w:rPr>
        <w:footnoteReference w:id="132"/>
      </w:r>
      <w:r w:rsidR="009B2934">
        <w:t xml:space="preserve"> However,</w:t>
      </w:r>
      <w:r w:rsidR="00EA5FAD">
        <w:t xml:space="preserve"> </w:t>
      </w:r>
      <w:r w:rsidRPr="4DAB7B41" w:rsidR="00EA5FAD">
        <w:rPr>
          <w:rFonts w:eastAsia="MS Mincho"/>
        </w:rPr>
        <w:t xml:space="preserve">while the national </w:t>
      </w:r>
      <w:r w:rsidR="00170F48">
        <w:rPr>
          <w:rFonts w:eastAsia="MS Mincho"/>
        </w:rPr>
        <w:t>rate</w:t>
      </w:r>
      <w:r w:rsidRPr="4DAB7B41" w:rsidR="00EA5FAD">
        <w:rPr>
          <w:rFonts w:eastAsia="MS Mincho"/>
        </w:rPr>
        <w:t xml:space="preserve"> helps </w:t>
      </w:r>
      <w:r w:rsidR="00170F48">
        <w:rPr>
          <w:rFonts w:eastAsia="MS Mincho"/>
        </w:rPr>
        <w:t xml:space="preserve">to </w:t>
      </w:r>
      <w:r w:rsidRPr="4DAB7B41" w:rsidR="00EA5FAD">
        <w:rPr>
          <w:rFonts w:eastAsia="MS Mincho"/>
        </w:rPr>
        <w:t>contextualize the state’s position relative to the country, the nation</w:t>
      </w:r>
      <w:r w:rsidR="00170F48">
        <w:rPr>
          <w:rFonts w:eastAsia="MS Mincho"/>
        </w:rPr>
        <w:t>al rate</w:t>
      </w:r>
      <w:r w:rsidRPr="4DAB7B41" w:rsidR="00EA5FAD">
        <w:rPr>
          <w:rFonts w:eastAsia="MS Mincho"/>
        </w:rPr>
        <w:t xml:space="preserve"> does not represent the ceiling for achievement and</w:t>
      </w:r>
      <w:r w:rsidR="00977318">
        <w:rPr>
          <w:rFonts w:eastAsia="MS Mincho"/>
        </w:rPr>
        <w:t>,</w:t>
      </w:r>
      <w:r w:rsidR="009B2934">
        <w:t xml:space="preserve"> a</w:t>
      </w:r>
      <w:r w:rsidR="000D5E2F">
        <w:t>mong</w:t>
      </w:r>
      <w:r w:rsidR="0083523A">
        <w:t xml:space="preserve"> Alabama residents that do not </w:t>
      </w:r>
      <w:r w:rsidR="00EA0C84">
        <w:t>have internet at home,</w:t>
      </w:r>
      <w:r w:rsidR="00DF605B">
        <w:t xml:space="preserve"> </w:t>
      </w:r>
      <w:r w:rsidR="00E25AC6">
        <w:t>42.</w:t>
      </w:r>
      <w:r w:rsidR="00D3794E">
        <w:t>6</w:t>
      </w:r>
      <w:r w:rsidR="007954AC">
        <w:t xml:space="preserve"> percent report that a primary reason they do not pay for an internet service at home is an inability to afford service</w:t>
      </w:r>
      <w:r w:rsidRPr="005B75D3" w:rsidR="08D4EECF">
        <w:t>.</w:t>
      </w:r>
      <w:r w:rsidRPr="0079633F" w:rsidR="000D5E2F">
        <w:rPr>
          <w:rStyle w:val="FootnoteReference"/>
          <w:rFonts w:ascii="Gill Sans Nova" w:hAnsi="Gill Sans Nova"/>
        </w:rPr>
        <w:footnoteReference w:id="133"/>
      </w:r>
      <w:r w:rsidR="00DF605B">
        <w:t xml:space="preserve"> </w:t>
      </w:r>
      <w:r w:rsidR="002B7818">
        <w:t xml:space="preserve">Additionally, </w:t>
      </w:r>
      <w:r w:rsidR="000647D1">
        <w:t xml:space="preserve">low-income individuals are </w:t>
      </w:r>
      <w:r w:rsidRPr="005B75D3" w:rsidR="000647D1">
        <w:t>15.</w:t>
      </w:r>
      <w:r w:rsidR="00524A4A">
        <w:t>7</w:t>
      </w:r>
      <w:r w:rsidR="000647D1">
        <w:t xml:space="preserve"> percentage points less likely than higher-income individuals to have a home internet subscription</w:t>
      </w:r>
      <w:r w:rsidRPr="002859BF" w:rsidR="002859BF">
        <w:t xml:space="preserve"> </w:t>
      </w:r>
      <w:r w:rsidR="002859BF">
        <w:t>and they are 21.6 percentage points less likely to have a wireline internet subscription</w:t>
      </w:r>
      <w:r w:rsidRPr="0079633F" w:rsidR="00084192">
        <w:rPr>
          <w:rStyle w:val="FootnoteReference"/>
          <w:rFonts w:ascii="Gill Sans Nova" w:hAnsi="Gill Sans Nova"/>
        </w:rPr>
        <w:footnoteReference w:id="134"/>
      </w:r>
      <w:r w:rsidR="000647D1">
        <w:t>—</w:t>
      </w:r>
      <w:r w:rsidR="00EA5FAD">
        <w:t xml:space="preserve">further </w:t>
      </w:r>
      <w:r w:rsidR="000647D1">
        <w:t>highlighting the connection between affordability and internet adoption.</w:t>
      </w:r>
    </w:p>
    <w:p w:rsidR="006464F5" w:rsidP="000647D1" w:rsidRDefault="006B1318" w14:paraId="17E15C34" w14:textId="799220DC">
      <w:r w:rsidRPr="006B1318">
        <w:t>Perhaps the most widely recognized intervention to lower the cost of internet service is the FCC’s ACP</w:t>
      </w:r>
      <w:r w:rsidR="006E7EE5">
        <w:t>. The ACP</w:t>
      </w:r>
      <w:r w:rsidRPr="006B1318">
        <w:t xml:space="preserve"> subsidizes up to $30 per month (or $75 </w:t>
      </w:r>
      <w:r w:rsidR="00C57DD5">
        <w:t xml:space="preserve">per month </w:t>
      </w:r>
      <w:r w:rsidRPr="006B1318">
        <w:t xml:space="preserve">for </w:t>
      </w:r>
      <w:r w:rsidR="00C875D7">
        <w:t xml:space="preserve">applicants residing on </w:t>
      </w:r>
      <w:r w:rsidRPr="006B1318">
        <w:t>Tribal</w:t>
      </w:r>
      <w:r w:rsidR="00C875D7">
        <w:t xml:space="preserve"> lands</w:t>
      </w:r>
      <w:r w:rsidRPr="006B1318">
        <w:t xml:space="preserve">) for broadband for qualifying households and may include a one-time </w:t>
      </w:r>
      <w:r w:rsidR="006E7EE5">
        <w:t xml:space="preserve">$100 </w:t>
      </w:r>
      <w:r w:rsidRPr="006B1318">
        <w:t xml:space="preserve">subsidy toward buying a laptop or tablet. </w:t>
      </w:r>
      <w:r w:rsidR="00351444">
        <w:t>However, d</w:t>
      </w:r>
      <w:r w:rsidR="000C59B2">
        <w:t>espite</w:t>
      </w:r>
      <w:r w:rsidRPr="006B1318">
        <w:t xml:space="preserve"> the benefit of the subsidy, the ACP is known to be greatly underutilized nationwide. In </w:t>
      </w:r>
      <w:r w:rsidR="0038429A">
        <w:t>Alabama</w:t>
      </w:r>
      <w:r w:rsidRPr="006B1318">
        <w:t xml:space="preserve">, </w:t>
      </w:r>
      <w:r w:rsidR="00351444">
        <w:t>an estimated</w:t>
      </w:r>
      <w:r w:rsidRPr="006B1318">
        <w:t xml:space="preserve"> </w:t>
      </w:r>
      <w:r>
        <w:t>40</w:t>
      </w:r>
      <w:r w:rsidRPr="006B1318">
        <w:t xml:space="preserve"> percent of eligible households have enrolled in the ACP, </w:t>
      </w:r>
      <w:r w:rsidR="00DE10CB">
        <w:t xml:space="preserve">a rate higher than </w:t>
      </w:r>
      <w:r w:rsidR="00E20647">
        <w:t>the estimated national level of 35</w:t>
      </w:r>
      <w:r w:rsidRPr="006B1318" w:rsidDel="00E20647">
        <w:t xml:space="preserve"> </w:t>
      </w:r>
      <w:r w:rsidRPr="006B1318">
        <w:t>percent.</w:t>
      </w:r>
      <w:r w:rsidR="008214C0">
        <w:rPr>
          <w:rStyle w:val="FootnoteReference"/>
        </w:rPr>
        <w:footnoteReference w:id="135"/>
      </w:r>
      <w:r w:rsidRPr="006B1318">
        <w:t xml:space="preserve"> </w:t>
      </w:r>
      <w:r w:rsidR="000C59B2">
        <w:t>Nevertheless</w:t>
      </w:r>
      <w:r w:rsidRPr="006B1318">
        <w:t xml:space="preserve">, there is still opportunity for expansion </w:t>
      </w:r>
      <w:r w:rsidR="00720428">
        <w:t>of the program in</w:t>
      </w:r>
      <w:r w:rsidRPr="006B1318">
        <w:t xml:space="preserve"> the state.</w:t>
      </w:r>
    </w:p>
    <w:p w:rsidR="00CA78BA" w:rsidP="000647D1" w:rsidRDefault="00856679" w14:paraId="5F36ED4C" w14:textId="1C11C236">
      <w:r>
        <w:t xml:space="preserve">Beyond </w:t>
      </w:r>
      <w:r w:rsidRPr="00D24534">
        <w:t>provid</w:t>
      </w:r>
      <w:r>
        <w:t>ing</w:t>
      </w:r>
      <w:r w:rsidRPr="00D24534">
        <w:t xml:space="preserve"> relevant information for residents about the ACP </w:t>
      </w:r>
      <w:r w:rsidR="007A2C11">
        <w:t xml:space="preserve">on </w:t>
      </w:r>
      <w:r>
        <w:t>its website,</w:t>
      </w:r>
      <w:r>
        <w:rPr>
          <w:rStyle w:val="FootnoteReference"/>
        </w:rPr>
        <w:footnoteReference w:id="136"/>
      </w:r>
      <w:r>
        <w:t xml:space="preserve"> </w:t>
      </w:r>
      <w:r w:rsidR="008B0432">
        <w:t xml:space="preserve">Alabama has been a trailblazer in </w:t>
      </w:r>
      <w:r w:rsidR="004F305A">
        <w:t xml:space="preserve">its support of the ACP and other programs </w:t>
      </w:r>
      <w:r w:rsidR="00B1040A">
        <w:t xml:space="preserve">that lower the cost of internet for residents. </w:t>
      </w:r>
      <w:r w:rsidR="00925DE9">
        <w:t xml:space="preserve">Notably, </w:t>
      </w:r>
      <w:r w:rsidR="00D734B3">
        <w:t xml:space="preserve">with </w:t>
      </w:r>
      <w:r w:rsidR="00063980">
        <w:t>the Alabama Broadband Connectivity</w:t>
      </w:r>
      <w:r w:rsidR="00B074B1">
        <w:t xml:space="preserve"> (ABC) for Students program, the </w:t>
      </w:r>
      <w:r w:rsidR="004625F1">
        <w:t>s</w:t>
      </w:r>
      <w:r w:rsidR="00B074B1">
        <w:t xml:space="preserve">tate </w:t>
      </w:r>
      <w:r w:rsidR="00927716">
        <w:t xml:space="preserve">sought to ensure that students </w:t>
      </w:r>
      <w:r w:rsidR="00F146E2">
        <w:t xml:space="preserve">could </w:t>
      </w:r>
      <w:r w:rsidR="00422C3A">
        <w:t xml:space="preserve">continue their education via the internet during </w:t>
      </w:r>
      <w:r w:rsidR="00597B0A">
        <w:t xml:space="preserve">the 2020-2021 school year </w:t>
      </w:r>
      <w:r w:rsidR="00B24D34">
        <w:t>despite</w:t>
      </w:r>
      <w:r w:rsidR="00CA78BA">
        <w:t xml:space="preserve"> </w:t>
      </w:r>
      <w:r w:rsidR="00422C3A">
        <w:t>the C</w:t>
      </w:r>
      <w:r w:rsidR="00766AD7">
        <w:t>OVID</w:t>
      </w:r>
      <w:r w:rsidR="00422C3A">
        <w:t>-19 pandemic. This</w:t>
      </w:r>
      <w:r w:rsidRPr="00352BF4" w:rsidR="00CA78BA">
        <w:t xml:space="preserve"> $50 million statewide initiative</w:t>
      </w:r>
      <w:r w:rsidR="00422C3A">
        <w:t xml:space="preserve"> connected over 200,000 Alabama </w:t>
      </w:r>
      <w:r w:rsidRPr="0092617E" w:rsidR="00CA78BA">
        <w:t xml:space="preserve">students </w:t>
      </w:r>
      <w:r w:rsidR="00766AD7">
        <w:t xml:space="preserve">in </w:t>
      </w:r>
      <w:r w:rsidRPr="00F33ECC" w:rsidR="00CA78BA">
        <w:t>107,000 households</w:t>
      </w:r>
      <w:r w:rsidRPr="008744C7" w:rsidR="00896700">
        <w:t>—</w:t>
      </w:r>
      <w:r w:rsidR="00896700">
        <w:t xml:space="preserve">with 76,000 </w:t>
      </w:r>
      <w:r w:rsidRPr="00F33ECC" w:rsidR="00CA78BA">
        <w:t>households</w:t>
      </w:r>
      <w:r w:rsidR="00896700">
        <w:t xml:space="preserve"> receiving</w:t>
      </w:r>
      <w:r w:rsidRPr="00F33ECC" w:rsidR="00CA78BA">
        <w:t xml:space="preserve"> vouchers from ADECA</w:t>
      </w:r>
      <w:r w:rsidR="00896700">
        <w:t xml:space="preserve"> directly and </w:t>
      </w:r>
      <w:r w:rsidRPr="00F33ECC" w:rsidR="00CA78BA">
        <w:t xml:space="preserve">31,000 </w:t>
      </w:r>
      <w:r w:rsidR="002353A5">
        <w:t xml:space="preserve">households </w:t>
      </w:r>
      <w:r w:rsidR="00B373AA">
        <w:t>receiving</w:t>
      </w:r>
      <w:r w:rsidR="00C12D7A">
        <w:t xml:space="preserve"> </w:t>
      </w:r>
      <w:r w:rsidRPr="00F33ECC" w:rsidR="00CA78BA">
        <w:t xml:space="preserve">hotspots </w:t>
      </w:r>
      <w:r w:rsidR="00C12D7A">
        <w:t>distributed by</w:t>
      </w:r>
      <w:r w:rsidRPr="00F33ECC" w:rsidR="00CA78BA">
        <w:t xml:space="preserve"> school districts.</w:t>
      </w:r>
      <w:r w:rsidRPr="00F33ECC" w:rsidR="00CA78BA">
        <w:rPr>
          <w:vertAlign w:val="superscript"/>
        </w:rPr>
        <w:footnoteReference w:id="137"/>
      </w:r>
      <w:r w:rsidR="00CA78BA">
        <w:t xml:space="preserve"> </w:t>
      </w:r>
      <w:r w:rsidR="0058491B">
        <w:t>After</w:t>
      </w:r>
      <w:r w:rsidR="00CA78BA">
        <w:t xml:space="preserve"> </w:t>
      </w:r>
      <w:r w:rsidR="00F55890">
        <w:t xml:space="preserve">ABC for Students </w:t>
      </w:r>
      <w:r w:rsidR="00CA78BA">
        <w:t xml:space="preserve">funding </w:t>
      </w:r>
      <w:r w:rsidR="00033C7F">
        <w:t>ended</w:t>
      </w:r>
      <w:r w:rsidR="00CA78BA">
        <w:t xml:space="preserve"> in June 2021, the call center </w:t>
      </w:r>
      <w:r w:rsidR="00B62A93">
        <w:t xml:space="preserve">for the program </w:t>
      </w:r>
      <w:r w:rsidR="00E11EBB">
        <w:t xml:space="preserve">continued to </w:t>
      </w:r>
      <w:r w:rsidR="006538AF">
        <w:t>aid Alabama households</w:t>
      </w:r>
      <w:r w:rsidR="00CA78BA">
        <w:t xml:space="preserve"> through August </w:t>
      </w:r>
      <w:r w:rsidR="0022033C">
        <w:t>of that year, assi</w:t>
      </w:r>
      <w:r w:rsidR="00113ABC">
        <w:t>sting households</w:t>
      </w:r>
      <w:r w:rsidR="00C762CF">
        <w:t xml:space="preserve"> in transition</w:t>
      </w:r>
      <w:r w:rsidR="0014345C">
        <w:t>ing</w:t>
      </w:r>
      <w:r w:rsidR="00CA78BA">
        <w:t xml:space="preserve"> from the program to </w:t>
      </w:r>
      <w:r w:rsidR="00030B29">
        <w:t xml:space="preserve">other federal </w:t>
      </w:r>
      <w:r w:rsidR="0060307D">
        <w:t xml:space="preserve">broadband </w:t>
      </w:r>
      <w:r w:rsidR="00710345">
        <w:t>subsid</w:t>
      </w:r>
      <w:r w:rsidR="0060307D">
        <w:t>ies</w:t>
      </w:r>
      <w:r w:rsidR="006B34B0">
        <w:t>.</w:t>
      </w:r>
    </w:p>
    <w:p w:rsidR="00F72C72" w:rsidP="00F72C72" w:rsidRDefault="005F4AA7" w14:paraId="74A2F101" w14:textId="11DD36F3">
      <w:r>
        <w:t>Alabama has also made promoting service affordability and outreach for the ACP and similar subsidy programs a goal of the broadband deployment grant programs it administers</w:t>
      </w:r>
      <w:r w:rsidR="00E4700A">
        <w:t>.</w:t>
      </w:r>
      <w:r w:rsidR="00F72C72">
        <w:t xml:space="preserve"> The Alabama Broadband Accessibility Fund,</w:t>
      </w:r>
      <w:r w:rsidRPr="00F7739E" w:rsidR="00F72C72">
        <w:rPr>
          <w:vertAlign w:val="superscript"/>
        </w:rPr>
        <w:footnoteReference w:id="138"/>
      </w:r>
      <w:r w:rsidR="00F72C72">
        <w:t xml:space="preserve"> which supports last-mile and related middle-mile deployment, awards points to providers in the rating of their applications for making a commitment to improving the adoption rate of broadband services by offering low-cost service programs to qualifying households; participating in the ACP or other federal broadband subsidy programs; or providing devices or digital skills training.</w:t>
      </w:r>
      <w:r w:rsidR="00F72C72">
        <w:rPr>
          <w:rStyle w:val="FootnoteReference"/>
        </w:rPr>
        <w:footnoteReference w:id="139"/>
      </w:r>
      <w:r w:rsidR="00F72C72">
        <w:t xml:space="preserve"> </w:t>
      </w:r>
      <w:r w:rsidR="00E22DC5">
        <w:t>ADECA</w:t>
      </w:r>
      <w:r w:rsidR="00F72C72">
        <w:t xml:space="preserve"> has also incorporated scoring criteria and requirements around affordability into the Alabama Capital Projects Fund </w:t>
      </w:r>
      <w:r w:rsidR="00740FC5">
        <w:t>P</w:t>
      </w:r>
      <w:r w:rsidR="00F72C72">
        <w:t xml:space="preserve">rogram, which provides grants for providers to deploy last-mile service </w:t>
      </w:r>
      <w:r w:rsidRPr="0099377A" w:rsidR="00F72C72">
        <w:t>in rural, unserved areas</w:t>
      </w:r>
      <w:r w:rsidR="00F72C72">
        <w:t>. Subrecipients are required to participate in the ACP and applicants are scored based on their plans to offer services that are affordable to customers in the proposed service area—potentially including offerings with discounts in addition to the ACP to deliver service at no cost to eligible subscribers—and their plans to promote these offerings.</w:t>
      </w:r>
      <w:r w:rsidR="00F72C72">
        <w:rPr>
          <w:rStyle w:val="FootnoteReference"/>
        </w:rPr>
        <w:footnoteReference w:id="140"/>
      </w:r>
      <w:r w:rsidR="00F72C72">
        <w:t xml:space="preserve"> AIMM Program</w:t>
      </w:r>
      <w:r w:rsidDel="009B3739" w:rsidR="00F72C72">
        <w:t xml:space="preserve"> </w:t>
      </w:r>
      <w:r w:rsidR="00F72C72">
        <w:t>subrecipients that provide service to households using AIMM-supported broadband infrastructure must, for as long as the AIMM-supported broadband infrastructure is in use, either participate in the ACP through the lifetime of the ACP or otherwise provide access to a broad-based affordability program to low-income consumers in the proposed service area of the broadband infrastructure that provides benefits to households commensurate with those provided under the ACP through the lifetime of the ACP.</w:t>
      </w:r>
      <w:r w:rsidR="00F72C72">
        <w:rPr>
          <w:rStyle w:val="FootnoteReference"/>
        </w:rPr>
        <w:footnoteReference w:id="141"/>
      </w:r>
      <w:r w:rsidDel="004832CE" w:rsidR="00F72C72">
        <w:t xml:space="preserve"> AIMM</w:t>
      </w:r>
      <w:r w:rsidR="00F72C72">
        <w:t xml:space="preserve"> Program subrecipients that enter into an agreement with a last-mile provider to serve households using AIMM-supported infrastructure must hold the last-mile provider to the same requirement.</w:t>
      </w:r>
      <w:r w:rsidR="00F72C72">
        <w:rPr>
          <w:rStyle w:val="FootnoteReference"/>
        </w:rPr>
        <w:footnoteReference w:id="142"/>
      </w:r>
    </w:p>
    <w:p w:rsidR="00C67AAD" w:rsidP="000647D1" w:rsidRDefault="0078017F" w14:paraId="6CFA681D" w14:textId="6B276DCC">
      <w:r>
        <w:t>As such</w:t>
      </w:r>
      <w:r w:rsidR="00F84313">
        <w:t>, w</w:t>
      </w:r>
      <w:r w:rsidR="00312F0A">
        <w:t xml:space="preserve">hen </w:t>
      </w:r>
      <w:r w:rsidR="007A4BCF">
        <w:t>ADECA engaged in outreach with every county in the state,</w:t>
      </w:r>
      <w:r w:rsidR="00312F0A">
        <w:t xml:space="preserve"> </w:t>
      </w:r>
      <w:r w:rsidR="00946315">
        <w:t>many entities, such as public libraries and ISP</w:t>
      </w:r>
      <w:r w:rsidR="00FE39F7">
        <w:t>s</w:t>
      </w:r>
      <w:r w:rsidR="00946315">
        <w:t xml:space="preserve">, offered to support Alabama’s </w:t>
      </w:r>
      <w:r w:rsidR="003213D7">
        <w:t xml:space="preserve">ACP </w:t>
      </w:r>
      <w:r w:rsidDel="00EA15C5" w:rsidR="003213D7">
        <w:t>outreach</w:t>
      </w:r>
      <w:r w:rsidR="003213D7">
        <w:t xml:space="preserve"> efforts at all levels. </w:t>
      </w:r>
      <w:r w:rsidR="00FE39F7">
        <w:t>T</w:t>
      </w:r>
      <w:r w:rsidR="00861F40">
        <w:t>here are many ISPs operating in Alabama that offer plans at low to nearly no cost for eligible subscribers who enroll in the ACP.</w:t>
      </w:r>
      <w:r w:rsidR="00FE39F7">
        <w:rPr>
          <w:rStyle w:val="FootnoteReference"/>
        </w:rPr>
        <w:footnoteReference w:id="143"/>
      </w:r>
      <w:r w:rsidR="00861F40">
        <w:t xml:space="preserve"> </w:t>
      </w:r>
      <w:r w:rsidR="00212717">
        <w:t xml:space="preserve">There are </w:t>
      </w:r>
      <w:r w:rsidR="00861F40">
        <w:t xml:space="preserve">also </w:t>
      </w:r>
      <w:r w:rsidR="00212717">
        <w:t xml:space="preserve">several </w:t>
      </w:r>
      <w:r w:rsidR="00E33399">
        <w:t xml:space="preserve">municipal governments, </w:t>
      </w:r>
      <w:r w:rsidR="00212717">
        <w:t>community organizations</w:t>
      </w:r>
      <w:r w:rsidR="00510FF8">
        <w:t>,</w:t>
      </w:r>
      <w:r w:rsidR="00212717">
        <w:t xml:space="preserve"> and </w:t>
      </w:r>
      <w:r w:rsidR="00920D81">
        <w:t>CAIs</w:t>
      </w:r>
      <w:r w:rsidR="00212717">
        <w:t xml:space="preserve"> in </w:t>
      </w:r>
      <w:r w:rsidR="00113C9D">
        <w:t>Alabama</w:t>
      </w:r>
      <w:r w:rsidR="00212717">
        <w:t xml:space="preserve"> that have engaged in outreach efforts </w:t>
      </w:r>
      <w:r w:rsidR="000E21BA">
        <w:t>(</w:t>
      </w:r>
      <w:r w:rsidR="006938B6">
        <w:t>often</w:t>
      </w:r>
      <w:r w:rsidR="000E21BA">
        <w:t xml:space="preserve"> </w:t>
      </w:r>
      <w:r w:rsidR="00510FF8">
        <w:t>using grant</w:t>
      </w:r>
      <w:r w:rsidR="00396C96">
        <w:t xml:space="preserve"> </w:t>
      </w:r>
      <w:r w:rsidR="00510FF8">
        <w:t>funding</w:t>
      </w:r>
      <w:r w:rsidR="000E21BA">
        <w:t>)</w:t>
      </w:r>
      <w:r w:rsidR="00510FF8">
        <w:t xml:space="preserve"> </w:t>
      </w:r>
      <w:r w:rsidR="00212717">
        <w:t xml:space="preserve">to spread awareness about the ACP, encourage </w:t>
      </w:r>
      <w:r w:rsidR="00920D81">
        <w:t xml:space="preserve">ACP </w:t>
      </w:r>
      <w:r w:rsidR="00212717">
        <w:t xml:space="preserve">participation among eligible households, and assist in the </w:t>
      </w:r>
      <w:r w:rsidR="00920D81">
        <w:t xml:space="preserve">ACP </w:t>
      </w:r>
      <w:r w:rsidR="00212717">
        <w:t>enrollment process.</w:t>
      </w:r>
      <w:r w:rsidR="007C1130">
        <w:t xml:space="preserve"> </w:t>
      </w:r>
      <w:r w:rsidR="00920D34">
        <w:t>E</w:t>
      </w:r>
      <w:r w:rsidR="007F7530">
        <w:t>xamples include the City of Montgomery</w:t>
      </w:r>
      <w:r w:rsidR="000E21BA">
        <w:t xml:space="preserve">, </w:t>
      </w:r>
      <w:r w:rsidR="0069163B">
        <w:t>which received funding in 2023</w:t>
      </w:r>
      <w:r w:rsidR="000E21BA">
        <w:t xml:space="preserve"> through the National Competitive Outreach Program, and </w:t>
      </w:r>
      <w:r w:rsidR="00302A33">
        <w:t xml:space="preserve">the </w:t>
      </w:r>
      <w:r w:rsidRPr="00F40C7B" w:rsidR="000E21BA">
        <w:t>Community Action Association of Alabama (CAA)</w:t>
      </w:r>
      <w:r w:rsidR="000E21BA">
        <w:t xml:space="preserve">, a statewide </w:t>
      </w:r>
      <w:r w:rsidRPr="00F40C7B" w:rsidR="000E21BA">
        <w:t>association of member community action agencies</w:t>
      </w:r>
      <w:r w:rsidR="000E21BA">
        <w:t xml:space="preserve"> that serve </w:t>
      </w:r>
      <w:r w:rsidRPr="00F40C7B" w:rsidR="000E21BA">
        <w:t>low-income individuals and families</w:t>
      </w:r>
      <w:r w:rsidR="000E21BA">
        <w:t xml:space="preserve">, which </w:t>
      </w:r>
      <w:r w:rsidR="00302A33">
        <w:t>also</w:t>
      </w:r>
      <w:r w:rsidR="005B52DA">
        <w:t xml:space="preserve"> received funding from the National Competitive Outreach Program.</w:t>
      </w:r>
      <w:r w:rsidR="000E21BA">
        <w:rPr>
          <w:rStyle w:val="FootnoteReference"/>
        </w:rPr>
        <w:footnoteReference w:id="144"/>
      </w:r>
      <w:r w:rsidR="00862C6D">
        <w:t xml:space="preserve"> </w:t>
      </w:r>
      <w:r w:rsidR="00C67AAD">
        <w:t>Alabama residents can also apply for Lifeline</w:t>
      </w:r>
      <w:r w:rsidRPr="002A02B0" w:rsidR="00C67AAD">
        <w:t>—</w:t>
      </w:r>
      <w:r w:rsidR="00C67AAD">
        <w:t>a federal program which subsidizes up to $9.25 of eligible consumers’ monthly phone or internet service bill</w:t>
      </w:r>
      <w:r w:rsidR="008513A5">
        <w:t>s</w:t>
      </w:r>
      <w:r w:rsidR="00C67AAD">
        <w:t>.</w:t>
      </w:r>
      <w:r w:rsidR="00CF221B">
        <w:rPr>
          <w:rStyle w:val="FootnoteReference"/>
        </w:rPr>
        <w:footnoteReference w:id="145"/>
      </w:r>
    </w:p>
    <w:p w:rsidR="00F621A0" w:rsidP="003F47AD" w:rsidRDefault="00E60CAB" w14:paraId="24C3E5CE" w14:textId="0975526B">
      <w:r>
        <w:t xml:space="preserve">For a more detailed breakdown of the </w:t>
      </w:r>
      <w:r w:rsidR="008A2F19">
        <w:t>manner in which ADECA</w:t>
      </w:r>
      <w:r w:rsidR="00210247">
        <w:t xml:space="preserve"> and other entities in the state have supported and continue to support the ACP</w:t>
      </w:r>
      <w:r w:rsidR="007C3328">
        <w:t xml:space="preserve"> and other subsidy programs</w:t>
      </w:r>
      <w:r w:rsidR="00475A52">
        <w:t>, please see ADECA’s Digital Opportunity Report, published in September 2023.</w:t>
      </w:r>
    </w:p>
    <w:p w:rsidR="006B596E" w:rsidP="0004268B" w:rsidRDefault="00F621A0" w14:paraId="3B661214" w14:textId="6C73307E">
      <w:pPr>
        <w:pStyle w:val="Heading2"/>
        <w:numPr>
          <w:ilvl w:val="1"/>
          <w:numId w:val="22"/>
        </w:numPr>
      </w:pPr>
      <w:bookmarkStart w:name="_Toc150852727" w:id="306"/>
      <w:r>
        <w:t xml:space="preserve">Low-cost broadband service option that must be offered by </w:t>
      </w:r>
      <w:r w:rsidR="000A31C2">
        <w:t xml:space="preserve">Alabama </w:t>
      </w:r>
      <w:r>
        <w:t>BEAD subgrantees</w:t>
      </w:r>
      <w:bookmarkEnd w:id="306"/>
    </w:p>
    <w:p w:rsidR="006B596E" w:rsidP="006B596E" w:rsidRDefault="006B596E" w14:paraId="55D062A7" w14:textId="2BDD84E1">
      <w:r>
        <w:t xml:space="preserve">ADECA’s intention is to aid as many Alabama residents as possible while ensuring that the scale of the low-cost </w:t>
      </w:r>
      <w:r w:rsidR="008D4675">
        <w:t xml:space="preserve">broadband </w:t>
      </w:r>
      <w:r w:rsidR="00754181">
        <w:t xml:space="preserve">service </w:t>
      </w:r>
      <w:r>
        <w:t>o</w:t>
      </w:r>
      <w:r w:rsidR="00EC1BA7">
        <w:t>ption</w:t>
      </w:r>
      <w:r>
        <w:t>—and its resulting impact on the business case for ISP</w:t>
      </w:r>
      <w:r w:rsidR="000A31C2">
        <w:t>s</w:t>
      </w:r>
      <w:r>
        <w:t xml:space="preserve"> to build to unserved </w:t>
      </w:r>
      <w:r w:rsidR="00754181">
        <w:t xml:space="preserve">and underserved </w:t>
      </w:r>
      <w:r>
        <w:t xml:space="preserve">Alabama locations—is not too burdensome </w:t>
      </w:r>
      <w:r w:rsidR="008D4675">
        <w:t>for</w:t>
      </w:r>
      <w:r>
        <w:t xml:space="preserve"> grant applicants. The</w:t>
      </w:r>
      <w:r w:rsidR="006C19DD">
        <w:t xml:space="preserve"> income</w:t>
      </w:r>
      <w:r>
        <w:t xml:space="preserve"> eligibility requirement for the ACP is </w:t>
      </w:r>
      <w:r w:rsidR="00A75DF5">
        <w:t>set</w:t>
      </w:r>
      <w:r w:rsidR="006C19DD">
        <w:t xml:space="preserve"> at or below </w:t>
      </w:r>
      <w:r>
        <w:t xml:space="preserve">200 percent of the federal poverty line, </w:t>
      </w:r>
      <w:r w:rsidR="00C247BC">
        <w:t xml:space="preserve">and NTIA requires that </w:t>
      </w:r>
      <w:r w:rsidR="00E4374D">
        <w:t>eligibility for</w:t>
      </w:r>
      <w:r w:rsidR="00C247BC">
        <w:t xml:space="preserve"> the low-cost service option be set at that </w:t>
      </w:r>
      <w:r w:rsidR="00E4374D">
        <w:t>level</w:t>
      </w:r>
      <w:r w:rsidR="00C247BC">
        <w:t>. That benchmark also offers</w:t>
      </w:r>
      <w:r>
        <w:t xml:space="preserve"> the potential to utilize the ACP National Verifier as a useful, low-cost means of verifying eligibility that does not impose additional burden on either the consumer or the ISP.</w:t>
      </w:r>
      <w:r w:rsidR="0024432D">
        <w:rPr>
          <w:rStyle w:val="FootnoteReference"/>
        </w:rPr>
        <w:footnoteReference w:id="146"/>
      </w:r>
      <w:r w:rsidR="00663303">
        <w:t xml:space="preserve"> </w:t>
      </w:r>
      <w:r w:rsidR="003D6ABF">
        <w:t>As a result</w:t>
      </w:r>
      <w:r w:rsidR="00043E3D">
        <w:t xml:space="preserve"> and consistent with NTIA guidance</w:t>
      </w:r>
      <w:r w:rsidR="003D6ABF">
        <w:t xml:space="preserve">, ADECA intends to set the eligibility </w:t>
      </w:r>
      <w:r w:rsidR="00E50C44">
        <w:t>threshold</w:t>
      </w:r>
      <w:r w:rsidR="003D6ABF">
        <w:t xml:space="preserve"> for </w:t>
      </w:r>
      <w:r w:rsidR="00FE0CDF">
        <w:t>its proposed</w:t>
      </w:r>
      <w:r w:rsidR="003D6ABF">
        <w:t xml:space="preserve"> low-cost </w:t>
      </w:r>
      <w:r w:rsidR="00495E3A">
        <w:t xml:space="preserve">broadband </w:t>
      </w:r>
      <w:r w:rsidR="003D6ABF">
        <w:t>service option</w:t>
      </w:r>
      <w:r w:rsidR="0026243B">
        <w:t xml:space="preserve"> at </w:t>
      </w:r>
      <w:r w:rsidR="00A06A58">
        <w:t xml:space="preserve">incomes at </w:t>
      </w:r>
      <w:r w:rsidR="0026243B">
        <w:t>or below 200 percent of the federal poverty line.</w:t>
      </w:r>
    </w:p>
    <w:p w:rsidR="003F47AD" w:rsidP="003F47AD" w:rsidRDefault="000D1893" w14:paraId="34AC7BBB" w14:textId="046F2F7B">
      <w:r>
        <w:t xml:space="preserve">As the 200 percent </w:t>
      </w:r>
      <w:r w:rsidR="00A06A58">
        <w:t xml:space="preserve">income </w:t>
      </w:r>
      <w:r>
        <w:t xml:space="preserve">threshold </w:t>
      </w:r>
      <w:r w:rsidR="00783DEC">
        <w:t xml:space="preserve">for the BEAD low-cost </w:t>
      </w:r>
      <w:r w:rsidR="00584C72">
        <w:t xml:space="preserve">broadband </w:t>
      </w:r>
      <w:r w:rsidR="00783DEC">
        <w:t xml:space="preserve">service option </w:t>
      </w:r>
      <w:r>
        <w:t xml:space="preserve">might, in theory, impose an additional burden upon participating ISPs should the </w:t>
      </w:r>
      <w:r w:rsidR="00613C3A">
        <w:t xml:space="preserve">ACP </w:t>
      </w:r>
      <w:r>
        <w:t xml:space="preserve">subsidy remain at $30 per month, a proposed </w:t>
      </w:r>
      <w:r w:rsidRPr="001D7746">
        <w:t>$</w:t>
      </w:r>
      <w:r w:rsidRPr="001D7746" w:rsidR="00114071">
        <w:t>7</w:t>
      </w:r>
      <w:r w:rsidRPr="001D7746" w:rsidR="00B52BBC">
        <w:t>0</w:t>
      </w:r>
      <w:r w:rsidR="00114071">
        <w:t xml:space="preserve"> </w:t>
      </w:r>
      <w:r>
        <w:t xml:space="preserve">monthly service </w:t>
      </w:r>
      <w:r w:rsidR="00401FFA">
        <w:t xml:space="preserve">offering </w:t>
      </w:r>
      <w:r>
        <w:t xml:space="preserve">aligns with many current ISP low-cost offerings (in the State of </w:t>
      </w:r>
      <w:r w:rsidR="002F08E4">
        <w:t>Alabama</w:t>
      </w:r>
      <w:r>
        <w:t xml:space="preserve"> and nationwide) and represents a sensible benchmark for a low-cost </w:t>
      </w:r>
      <w:r w:rsidR="003B003F">
        <w:t xml:space="preserve">broadband </w:t>
      </w:r>
      <w:r>
        <w:t xml:space="preserve">service option to be offered by </w:t>
      </w:r>
      <w:r w:rsidR="003B003F">
        <w:t xml:space="preserve">BEAD </w:t>
      </w:r>
      <w:r>
        <w:t>subgrantees.</w:t>
      </w:r>
    </w:p>
    <w:p w:rsidR="00B52BBC" w:rsidP="00B52BBC" w:rsidRDefault="00B52BBC" w14:paraId="007A2EDC" w14:textId="77777777">
      <w:r w:rsidRPr="0066454A">
        <w:t>Th</w:t>
      </w:r>
      <w:r>
        <w:t>is cost is based on the following data analysis:</w:t>
      </w:r>
    </w:p>
    <w:p w:rsidRPr="0066454A" w:rsidR="00B52BBC" w:rsidP="00B52BBC" w:rsidRDefault="00B52BBC" w14:paraId="6A6463CB" w14:textId="3ECAFE26">
      <w:r w:rsidRPr="0066454A">
        <w:t>A</w:t>
      </w:r>
      <w:r>
        <w:t>ccording to the FCC</w:t>
      </w:r>
      <w:r w:rsidRPr="0066454A">
        <w:t xml:space="preserve">, the current unweighted median price </w:t>
      </w:r>
      <w:r>
        <w:t>of 100/10 Mbps broadband service in Alabama</w:t>
      </w:r>
      <w:r w:rsidRPr="0066454A">
        <w:t xml:space="preserve"> is $70 per month, with an overall statewide pricing range of $61 to $110 per month.</w:t>
      </w:r>
      <w:r w:rsidRPr="0066454A">
        <w:rPr>
          <w:rStyle w:val="FootnoteReference"/>
        </w:rPr>
        <w:footnoteReference w:id="147"/>
      </w:r>
      <w:r w:rsidR="00535D56">
        <w:t xml:space="preserve"> </w:t>
      </w:r>
      <w:r w:rsidR="0026270F">
        <w:t xml:space="preserve">Furthermore, $65 is the average service fee commitment in grant applications received in the recent CPF Program. Given these data, ADECA concludes that </w:t>
      </w:r>
      <w:r w:rsidR="00FB76EA">
        <w:t xml:space="preserve">a price point of $70 per month </w:t>
      </w:r>
      <w:r w:rsidR="00960498">
        <w:t xml:space="preserve">is not likely to </w:t>
      </w:r>
      <w:r w:rsidR="00FB76EA">
        <w:t xml:space="preserve">adversely impact ISP interest. </w:t>
      </w:r>
    </w:p>
    <w:p w:rsidRPr="0066454A" w:rsidR="00B52BBC" w:rsidP="00B52BBC" w:rsidRDefault="00B52BBC" w14:paraId="28555397" w14:textId="3926C70F">
      <w:r w:rsidRPr="0066454A">
        <w:t xml:space="preserve">With the </w:t>
      </w:r>
      <w:r w:rsidR="00736AF1">
        <w:t>ACP</w:t>
      </w:r>
      <w:r w:rsidRPr="0066454A" w:rsidDel="00080F32">
        <w:t xml:space="preserve"> </w:t>
      </w:r>
      <w:r w:rsidRPr="0066454A">
        <w:t>subsidy applied</w:t>
      </w:r>
      <w:r>
        <w:t xml:space="preserve"> to the </w:t>
      </w:r>
      <w:r w:rsidR="00823B0C">
        <w:t xml:space="preserve">proposed </w:t>
      </w:r>
      <w:r>
        <w:t xml:space="preserve">$70 </w:t>
      </w:r>
      <w:r w:rsidR="003E5FE1">
        <w:t>per month</w:t>
      </w:r>
      <w:r w:rsidR="00823B0C">
        <w:t xml:space="preserve"> service offering</w:t>
      </w:r>
      <w:r w:rsidRPr="0066454A">
        <w:t>, the effective pricing for eligible low-income households purchasing services over BEAD-funded infrastructure would be $40</w:t>
      </w:r>
      <w:r w:rsidR="00D433C0">
        <w:t xml:space="preserve"> per month</w:t>
      </w:r>
      <w:r w:rsidRPr="0066454A">
        <w:t>.</w:t>
      </w:r>
    </w:p>
    <w:p w:rsidRPr="008656DB" w:rsidR="00931135" w:rsidP="00931135" w:rsidRDefault="00B52BBC" w14:paraId="08A16669" w14:textId="3B4A4134">
      <w:r w:rsidRPr="0066454A">
        <w:rPr>
          <w:rFonts w:eastAsia="Times New Roman"/>
        </w:rPr>
        <w:t>This effective cost is considered reasonable in light of the generally</w:t>
      </w:r>
      <w:r w:rsidR="00B3422A">
        <w:rPr>
          <w:rFonts w:eastAsia="Times New Roman"/>
        </w:rPr>
        <w:t xml:space="preserve"> </w:t>
      </w:r>
      <w:r w:rsidRPr="0066454A">
        <w:rPr>
          <w:rFonts w:eastAsia="Times New Roman"/>
        </w:rPr>
        <w:t>accepted economic metric that broadband costs should not exceed two percent of household income.</w:t>
      </w:r>
      <w:r w:rsidRPr="008656DB" w:rsidR="00931135">
        <w:rPr>
          <w:vertAlign w:val="superscript"/>
        </w:rPr>
        <w:footnoteReference w:id="148"/>
      </w:r>
      <w:r w:rsidRPr="008656DB" w:rsidR="00931135">
        <w:t xml:space="preserve"> </w:t>
      </w:r>
    </w:p>
    <w:p w:rsidRPr="0066454A" w:rsidR="00B52BBC" w:rsidP="00B52BBC" w:rsidRDefault="00B52BBC" w14:paraId="6C749BEC" w14:textId="36A5F97B">
      <w:pPr>
        <w:rPr>
          <w:rFonts w:eastAsia="Times New Roman"/>
        </w:rPr>
      </w:pPr>
      <w:r w:rsidRPr="0066454A">
        <w:rPr>
          <w:rFonts w:eastAsia="Times New Roman"/>
        </w:rPr>
        <w:t xml:space="preserve">The average household income of </w:t>
      </w:r>
      <w:r w:rsidR="001450AA">
        <w:rPr>
          <w:rFonts w:eastAsia="Times New Roman"/>
        </w:rPr>
        <w:t xml:space="preserve">households of four </w:t>
      </w:r>
      <w:r w:rsidRPr="0066454A">
        <w:rPr>
          <w:rFonts w:eastAsia="Times New Roman"/>
        </w:rPr>
        <w:t xml:space="preserve">at </w:t>
      </w:r>
      <w:r w:rsidR="002C5895">
        <w:rPr>
          <w:rFonts w:eastAsia="Times New Roman"/>
        </w:rPr>
        <w:t xml:space="preserve">or below </w:t>
      </w:r>
      <w:r w:rsidR="00403186">
        <w:rPr>
          <w:rFonts w:eastAsia="Times New Roman"/>
        </w:rPr>
        <w:t>200</w:t>
      </w:r>
      <w:r w:rsidRPr="0066454A">
        <w:rPr>
          <w:rFonts w:eastAsia="Times New Roman"/>
        </w:rPr>
        <w:t xml:space="preserve"> percent </w:t>
      </w:r>
      <w:r w:rsidR="001B531C">
        <w:rPr>
          <w:rFonts w:eastAsia="Times New Roman"/>
        </w:rPr>
        <w:t xml:space="preserve">the federal </w:t>
      </w:r>
      <w:r w:rsidRPr="0066454A">
        <w:rPr>
          <w:rFonts w:eastAsia="Times New Roman"/>
        </w:rPr>
        <w:t>poverty level in Alabama is roughly $</w:t>
      </w:r>
      <w:r w:rsidR="001B531C">
        <w:rPr>
          <w:rFonts w:eastAsia="Times New Roman"/>
        </w:rPr>
        <w:t>35,000</w:t>
      </w:r>
      <w:r w:rsidRPr="0066454A">
        <w:rPr>
          <w:rFonts w:eastAsia="Times New Roman"/>
        </w:rPr>
        <w:t>, yielding a $</w:t>
      </w:r>
      <w:r w:rsidR="001B531C">
        <w:rPr>
          <w:rFonts w:eastAsia="Times New Roman"/>
        </w:rPr>
        <w:t>58</w:t>
      </w:r>
      <w:r w:rsidRPr="0066454A">
        <w:rPr>
          <w:rFonts w:eastAsia="Times New Roman"/>
        </w:rPr>
        <w:t xml:space="preserve"> per month reasonable internet cost at two percent of household income</w:t>
      </w:r>
      <w:r w:rsidR="006B3E3F">
        <w:rPr>
          <w:rFonts w:eastAsia="Times New Roman"/>
        </w:rPr>
        <w:t xml:space="preserve"> ($</w:t>
      </w:r>
      <w:r w:rsidR="001B531C">
        <w:rPr>
          <w:rFonts w:eastAsia="Times New Roman"/>
        </w:rPr>
        <w:t>88</w:t>
      </w:r>
      <w:r w:rsidR="006B3E3F">
        <w:rPr>
          <w:rFonts w:eastAsia="Times New Roman"/>
        </w:rPr>
        <w:t xml:space="preserve"> </w:t>
      </w:r>
      <w:r w:rsidR="00E615EC">
        <w:rPr>
          <w:rFonts w:eastAsia="Times New Roman"/>
        </w:rPr>
        <w:t>before</w:t>
      </w:r>
      <w:r w:rsidR="006B3E3F">
        <w:rPr>
          <w:rFonts w:eastAsia="Times New Roman"/>
        </w:rPr>
        <w:t xml:space="preserve"> a $30 per month ACP sub</w:t>
      </w:r>
      <w:r w:rsidR="00597D08">
        <w:rPr>
          <w:rFonts w:eastAsia="Times New Roman"/>
        </w:rPr>
        <w:t>sidy)</w:t>
      </w:r>
      <w:r w:rsidRPr="0066454A">
        <w:rPr>
          <w:rFonts w:eastAsia="Times New Roman"/>
        </w:rPr>
        <w:t>.</w:t>
      </w:r>
      <w:r w:rsidR="00E678EC">
        <w:rPr>
          <w:rStyle w:val="FootnoteReference"/>
          <w:rFonts w:eastAsia="Times New Roman"/>
        </w:rPr>
        <w:footnoteReference w:id="149"/>
      </w:r>
      <w:r w:rsidRPr="0066454A">
        <w:rPr>
          <w:rFonts w:eastAsia="Times New Roman"/>
        </w:rPr>
        <w:t xml:space="preserve"> </w:t>
      </w:r>
      <w:r w:rsidR="008850CD">
        <w:rPr>
          <w:rFonts w:eastAsia="Times New Roman"/>
        </w:rPr>
        <w:t xml:space="preserve">Therefore, </w:t>
      </w:r>
      <w:r w:rsidR="009A1F3A">
        <w:rPr>
          <w:rFonts w:eastAsia="Times New Roman"/>
        </w:rPr>
        <w:t>a maximum price of $7</w:t>
      </w:r>
      <w:r w:rsidR="00DC1F3E">
        <w:rPr>
          <w:rFonts w:eastAsia="Times New Roman"/>
        </w:rPr>
        <w:t>0</w:t>
      </w:r>
      <w:r w:rsidR="009A1F3A">
        <w:rPr>
          <w:rFonts w:eastAsia="Times New Roman"/>
        </w:rPr>
        <w:t xml:space="preserve"> per month should </w:t>
      </w:r>
      <w:r w:rsidR="00D57973">
        <w:rPr>
          <w:rFonts w:eastAsia="Times New Roman"/>
        </w:rPr>
        <w:t xml:space="preserve">allow a large proportion of low-income </w:t>
      </w:r>
      <w:r w:rsidR="00DC1F3E">
        <w:rPr>
          <w:rFonts w:eastAsia="Times New Roman"/>
        </w:rPr>
        <w:t xml:space="preserve">households to reasonably afford </w:t>
      </w:r>
      <w:r w:rsidR="009C2C59">
        <w:rPr>
          <w:rFonts w:eastAsia="Times New Roman"/>
        </w:rPr>
        <w:t>reliable broadband service</w:t>
      </w:r>
      <w:r w:rsidR="009A1F3A">
        <w:rPr>
          <w:rFonts w:eastAsia="Times New Roman"/>
        </w:rPr>
        <w:t>.</w:t>
      </w:r>
    </w:p>
    <w:p w:rsidR="00EB46BC" w:rsidP="00B52BBC" w:rsidRDefault="00B52BBC" w14:paraId="26E7B0DD" w14:textId="044EA51C">
      <w:pPr>
        <w:rPr>
          <w:rFonts w:eastAsia="Times New Roman"/>
        </w:rPr>
      </w:pPr>
      <w:r w:rsidRPr="0066454A">
        <w:rPr>
          <w:rFonts w:eastAsia="Times New Roman"/>
        </w:rPr>
        <w:t>This number is supported by the data from ADECA’s 2023 scientific phone survey, in which</w:t>
      </w:r>
      <w:r w:rsidR="00F213C7">
        <w:rPr>
          <w:rFonts w:eastAsia="Times New Roman"/>
        </w:rPr>
        <w:t>, as shown in the chart below,</w:t>
      </w:r>
      <w:r w:rsidRPr="0066454A">
        <w:rPr>
          <w:rFonts w:eastAsia="Times New Roman"/>
        </w:rPr>
        <w:t xml:space="preserve"> </w:t>
      </w:r>
      <w:r w:rsidR="00EB46BC">
        <w:rPr>
          <w:rFonts w:eastAsia="Times New Roman"/>
        </w:rPr>
        <w:t>75</w:t>
      </w:r>
      <w:r w:rsidRPr="0066454A">
        <w:rPr>
          <w:rFonts w:eastAsia="Times New Roman"/>
        </w:rPr>
        <w:t xml:space="preserve"> percent of respondents at 150 percent of federal poverty </w:t>
      </w:r>
      <w:r w:rsidR="00F17FAA">
        <w:rPr>
          <w:rFonts w:eastAsia="Times New Roman"/>
        </w:rPr>
        <w:t xml:space="preserve">level </w:t>
      </w:r>
      <w:r w:rsidRPr="0066454A">
        <w:rPr>
          <w:rFonts w:eastAsia="Times New Roman"/>
        </w:rPr>
        <w:t xml:space="preserve">signaled willingness to purchase internet service priced at </w:t>
      </w:r>
      <w:r w:rsidR="0042269F">
        <w:rPr>
          <w:rFonts w:eastAsia="Times New Roman"/>
        </w:rPr>
        <w:t xml:space="preserve">less than </w:t>
      </w:r>
      <w:r w:rsidRPr="0066454A">
        <w:rPr>
          <w:rFonts w:eastAsia="Times New Roman"/>
        </w:rPr>
        <w:t>$</w:t>
      </w:r>
      <w:r w:rsidR="0022422E">
        <w:rPr>
          <w:rFonts w:eastAsia="Times New Roman"/>
        </w:rPr>
        <w:t>4</w:t>
      </w:r>
      <w:r w:rsidRPr="0066454A">
        <w:rPr>
          <w:rFonts w:eastAsia="Times New Roman"/>
        </w:rPr>
        <w:t>0</w:t>
      </w:r>
      <w:r w:rsidR="00CD7C15">
        <w:rPr>
          <w:rFonts w:eastAsia="Times New Roman"/>
        </w:rPr>
        <w:t>—</w:t>
      </w:r>
      <w:r w:rsidR="00803C01">
        <w:rPr>
          <w:rFonts w:eastAsia="Times New Roman"/>
        </w:rPr>
        <w:t xml:space="preserve">i.e., </w:t>
      </w:r>
      <w:r w:rsidR="00C37B47">
        <w:rPr>
          <w:rFonts w:eastAsia="Times New Roman"/>
        </w:rPr>
        <w:t>$70 before a $30 per month ACP subsidy</w:t>
      </w:r>
      <w:r w:rsidR="00CD7C15">
        <w:rPr>
          <w:rFonts w:eastAsia="Times New Roman"/>
        </w:rPr>
        <w:t>—</w:t>
      </w:r>
      <w:r w:rsidRPr="0066454A">
        <w:rPr>
          <w:rFonts w:eastAsia="Times New Roman"/>
        </w:rPr>
        <w:t xml:space="preserve">suggesting that the number </w:t>
      </w:r>
      <w:r w:rsidR="00CD7C15">
        <w:rPr>
          <w:rFonts w:eastAsia="Times New Roman"/>
        </w:rPr>
        <w:t xml:space="preserve">willing to purchase internet at $70 per month </w:t>
      </w:r>
      <w:r w:rsidRPr="0066454A">
        <w:rPr>
          <w:rFonts w:eastAsia="Times New Roman"/>
        </w:rPr>
        <w:t>would be even higher for households at 200 percent of federal poverty</w:t>
      </w:r>
      <w:r w:rsidR="009503D8">
        <w:rPr>
          <w:rFonts w:eastAsia="Times New Roman"/>
        </w:rPr>
        <w:t>.</w:t>
      </w:r>
    </w:p>
    <w:p w:rsidR="00F213C7" w:rsidP="003263C0" w:rsidRDefault="0018175C" w14:paraId="54A0617A" w14:textId="64F8A794">
      <w:pPr>
        <w:pStyle w:val="Caption"/>
      </w:pPr>
      <w:bookmarkStart w:name="_Toc150852773" w:id="307"/>
      <w:r>
        <w:t xml:space="preserve">Figure </w:t>
      </w:r>
      <w:r>
        <w:fldChar w:fldCharType="begin"/>
      </w:r>
      <w:r>
        <w:instrText xml:space="preserve"> SEQ Figure \* ARABIC </w:instrText>
      </w:r>
      <w:r>
        <w:fldChar w:fldCharType="separate"/>
      </w:r>
      <w:r>
        <w:rPr>
          <w:noProof/>
        </w:rPr>
        <w:t>19</w:t>
      </w:r>
      <w:r>
        <w:fldChar w:fldCharType="end"/>
      </w:r>
      <w:r>
        <w:t xml:space="preserve">: </w:t>
      </w:r>
      <w:r w:rsidR="006A6106">
        <w:t>Share of low-income households in Alabama willing to pay for internet service at different price points</w:t>
      </w:r>
      <w:r w:rsidR="00081B93">
        <w:rPr>
          <w:rStyle w:val="FootnoteReference"/>
        </w:rPr>
        <w:footnoteReference w:id="150"/>
      </w:r>
      <w:bookmarkEnd w:id="307"/>
    </w:p>
    <w:p w:rsidRPr="001A4956" w:rsidR="00A17F28" w:rsidP="003263C0" w:rsidRDefault="006A6106" w14:paraId="03AA34D9" w14:textId="0C6036F4">
      <w:pPr>
        <w:jc w:val="center"/>
      </w:pPr>
      <w:r>
        <w:rPr>
          <w:noProof/>
        </w:rPr>
        <w:drawing>
          <wp:inline distT="0" distB="0" distL="0" distR="0" wp14:anchorId="61177F59" wp14:editId="4CC3D83C">
            <wp:extent cx="4038600" cy="3060700"/>
            <wp:effectExtent l="0" t="0" r="0" b="6350"/>
            <wp:docPr id="288739775" name="Picture 288739775" descr="A graph of low-income household pr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39775" name="Picture 1" descr="A graph of low-income household prices&#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38600" cy="3060700"/>
                    </a:xfrm>
                    <a:prstGeom prst="rect">
                      <a:avLst/>
                    </a:prstGeom>
                    <a:noFill/>
                    <a:ln>
                      <a:noFill/>
                    </a:ln>
                  </pic:spPr>
                </pic:pic>
              </a:graphicData>
            </a:graphic>
          </wp:inline>
        </w:drawing>
      </w:r>
    </w:p>
    <w:p w:rsidR="003F47AD" w:rsidP="003F47AD" w:rsidRDefault="003F47AD" w14:paraId="7D5401E6" w14:textId="1F6C4008">
      <w:r>
        <w:t xml:space="preserve">ADECA thus proposes to require all </w:t>
      </w:r>
      <w:r w:rsidR="00907261">
        <w:t xml:space="preserve">BEAD </w:t>
      </w:r>
      <w:r>
        <w:t xml:space="preserve">subgrantees to offer a </w:t>
      </w:r>
      <w:r w:rsidR="00722AA5">
        <w:t xml:space="preserve">broadband </w:t>
      </w:r>
      <w:r>
        <w:t xml:space="preserve">service option that meets, at a minimum, the following criteria: </w:t>
      </w:r>
    </w:p>
    <w:p w:rsidR="003F47AD" w:rsidP="001B4244" w:rsidRDefault="0082628F" w14:paraId="1AD9BF7B" w14:textId="477233A8">
      <w:pPr>
        <w:pStyle w:val="ListParagraph"/>
        <w:numPr>
          <w:ilvl w:val="0"/>
          <w:numId w:val="11"/>
        </w:numPr>
        <w:spacing w:after="200"/>
        <w:ind w:left="720"/>
        <w:jc w:val="left"/>
      </w:pPr>
      <w:r>
        <w:t>A</w:t>
      </w:r>
      <w:r w:rsidR="004B4655">
        <w:t xml:space="preserve">vailable </w:t>
      </w:r>
      <w:r w:rsidR="00DC1D1B">
        <w:t>to all households that meet the eligibility requirements of the ACP (</w:t>
      </w:r>
      <w:r w:rsidR="00330B90">
        <w:t xml:space="preserve">e.g., </w:t>
      </w:r>
      <w:r w:rsidR="00DC1D1B">
        <w:t xml:space="preserve">available to households with </w:t>
      </w:r>
      <w:r w:rsidR="00914103">
        <w:t xml:space="preserve">an </w:t>
      </w:r>
      <w:r w:rsidR="00DC1D1B">
        <w:t>income equal to or below 200 percent of the federal poverty line)</w:t>
      </w:r>
      <w:r w:rsidDel="00931135" w:rsidR="00931135">
        <w:rPr>
          <w:rStyle w:val="FootnoteReference"/>
        </w:rPr>
        <w:t xml:space="preserve"> </w:t>
      </w:r>
    </w:p>
    <w:p w:rsidR="003F47AD" w:rsidP="001B4244" w:rsidRDefault="003F47AD" w14:paraId="2E938CF4" w14:textId="0FFBD580">
      <w:pPr>
        <w:pStyle w:val="ListParagraph"/>
        <w:numPr>
          <w:ilvl w:val="0"/>
          <w:numId w:val="11"/>
        </w:numPr>
        <w:spacing w:after="200"/>
        <w:ind w:left="720"/>
        <w:jc w:val="left"/>
        <w:rPr>
          <w:rFonts w:ascii="Arial" w:hAnsi="Arial" w:cs="Arial"/>
        </w:rPr>
      </w:pPr>
      <w:r>
        <w:t>Cost of $</w:t>
      </w:r>
      <w:r w:rsidRPr="00405B76" w:rsidR="00AD0F67">
        <w:t>7</w:t>
      </w:r>
      <w:r w:rsidRPr="00DD615E" w:rsidR="009955D3">
        <w:t>0</w:t>
      </w:r>
      <w:r w:rsidR="00AD0F67">
        <w:t xml:space="preserve"> </w:t>
      </w:r>
      <w:r>
        <w:t>per month or less,</w:t>
      </w:r>
      <w:r w:rsidDel="006778D4">
        <w:t xml:space="preserve"> </w:t>
      </w:r>
      <w:r w:rsidR="7233E50A">
        <w:t>inclusive</w:t>
      </w:r>
      <w:r>
        <w:t xml:space="preserve"> of all taxes and fees, with </w:t>
      </w:r>
      <w:r w:rsidR="000E2B54">
        <w:t>no additional non-recurring costs or fees</w:t>
      </w:r>
      <w:r>
        <w:t xml:space="preserve"> </w:t>
      </w:r>
      <w:r w:rsidR="00135DAA">
        <w:t>(</w:t>
      </w:r>
      <w:r>
        <w:t>with application of an annual inflation factor based on the Producer Price Index for</w:t>
      </w:r>
      <w:r w:rsidR="00A6724B">
        <w:t xml:space="preserve"> the State of Alabama</w:t>
      </w:r>
      <w:r w:rsidR="00135DAA">
        <w:t>)</w:t>
      </w:r>
      <w:r w:rsidR="00675615">
        <w:rPr>
          <w:rFonts w:ascii="Arial" w:hAnsi="Arial" w:cs="Arial"/>
        </w:rPr>
        <w:t xml:space="preserve"> </w:t>
      </w:r>
    </w:p>
    <w:p w:rsidR="003F47AD" w:rsidP="001B4244" w:rsidRDefault="003F47AD" w14:paraId="442963B2" w14:textId="1921DD74">
      <w:pPr>
        <w:pStyle w:val="ListParagraph"/>
        <w:numPr>
          <w:ilvl w:val="0"/>
          <w:numId w:val="11"/>
        </w:numPr>
        <w:spacing w:after="200"/>
        <w:ind w:left="720"/>
        <w:jc w:val="left"/>
      </w:pPr>
      <w:r>
        <w:t xml:space="preserve">Allows </w:t>
      </w:r>
      <w:r w:rsidR="00491696">
        <w:t>an</w:t>
      </w:r>
      <w:r>
        <w:t xml:space="preserve"> </w:t>
      </w:r>
      <w:r w:rsidR="00EB0264">
        <w:t>eligible subscriber</w:t>
      </w:r>
      <w:r>
        <w:t xml:space="preserve"> to apply the ACP subsidy </w:t>
      </w:r>
      <w:r w:rsidR="009B2E45">
        <w:t>toward</w:t>
      </w:r>
      <w:r>
        <w:t xml:space="preserve"> the </w:t>
      </w:r>
      <w:r w:rsidR="002D2BBD">
        <w:t>low-cost broadband service option</w:t>
      </w:r>
      <w:r w:rsidR="009B2E45">
        <w:t>’s</w:t>
      </w:r>
      <w:r w:rsidR="002D2BBD">
        <w:t xml:space="preserve"> </w:t>
      </w:r>
      <w:r w:rsidR="00683673">
        <w:t>price</w:t>
      </w:r>
      <w:r w:rsidR="009B2E45">
        <w:t xml:space="preserve"> </w:t>
      </w:r>
      <w:r>
        <w:t xml:space="preserve">and encourages ISPs to ensure that </w:t>
      </w:r>
      <w:r w:rsidR="00EB0264">
        <w:t>eligible subscribers</w:t>
      </w:r>
      <w:r>
        <w:t xml:space="preserve"> are aware of their participation in the ACP </w:t>
      </w:r>
    </w:p>
    <w:p w:rsidR="003F47AD" w:rsidP="001B4244" w:rsidRDefault="003F47AD" w14:paraId="02E27291" w14:textId="6D72B169">
      <w:pPr>
        <w:pStyle w:val="ListParagraph"/>
        <w:numPr>
          <w:ilvl w:val="0"/>
          <w:numId w:val="11"/>
        </w:numPr>
        <w:spacing w:after="200"/>
        <w:ind w:left="720"/>
        <w:jc w:val="left"/>
      </w:pPr>
      <w:r>
        <w:t xml:space="preserve">Meets performance requirements as established by the BEAD </w:t>
      </w:r>
      <w:r w:rsidR="00EB0264">
        <w:t>P</w:t>
      </w:r>
      <w:r>
        <w:t>rogram, with download speeds of at least 100 Mbps and upload speeds of at least 20 Mbps</w:t>
      </w:r>
    </w:p>
    <w:p w:rsidR="003F47AD" w:rsidP="001B4244" w:rsidRDefault="003F47AD" w14:paraId="4451E26B" w14:textId="77777777">
      <w:pPr>
        <w:pStyle w:val="ListParagraph"/>
        <w:numPr>
          <w:ilvl w:val="0"/>
          <w:numId w:val="11"/>
        </w:numPr>
        <w:spacing w:after="200"/>
        <w:ind w:left="720"/>
        <w:jc w:val="left"/>
      </w:pPr>
      <w:r>
        <w:t>Delivers typical latency of no more than 100 milliseconds</w:t>
      </w:r>
    </w:p>
    <w:p w:rsidR="003F47AD" w:rsidP="001B4244" w:rsidRDefault="003F47AD" w14:paraId="1467F021" w14:textId="77777777">
      <w:pPr>
        <w:pStyle w:val="ListParagraph"/>
        <w:numPr>
          <w:ilvl w:val="0"/>
          <w:numId w:val="11"/>
        </w:numPr>
        <w:spacing w:after="200"/>
        <w:ind w:left="720"/>
        <w:jc w:val="left"/>
      </w:pPr>
      <w:r>
        <w:t>Is not subject to data caps, surcharges, or usage-based throttling, and is subject only to the same acceptable use policies to which subscribers to all other broadband internet access service plans offered to home subscribers by the participating subgrantee must adhere</w:t>
      </w:r>
    </w:p>
    <w:p w:rsidR="00C67AAD" w:rsidP="001B4244" w:rsidRDefault="003F47AD" w14:paraId="79B40F3B" w14:textId="130373B2">
      <w:pPr>
        <w:pStyle w:val="ListParagraph"/>
        <w:numPr>
          <w:ilvl w:val="0"/>
          <w:numId w:val="11"/>
        </w:numPr>
        <w:spacing w:after="200"/>
        <w:ind w:left="720"/>
        <w:jc w:val="left"/>
      </w:pPr>
      <w:r>
        <w:t xml:space="preserve">Allows </w:t>
      </w:r>
      <w:r w:rsidR="00584443">
        <w:t>eligible</w:t>
      </w:r>
      <w:r>
        <w:t xml:space="preserve"> subscribers to upgrade at no cost in the event the </w:t>
      </w:r>
      <w:r w:rsidR="00AC5ED5">
        <w:t>ISP</w:t>
      </w:r>
      <w:r>
        <w:t xml:space="preserve"> later offers a low-cost plan with higher speeds (downstream </w:t>
      </w:r>
      <w:r w:rsidR="005409AA">
        <w:t>and/</w:t>
      </w:r>
      <w:r>
        <w:t>or upstream)</w:t>
      </w:r>
    </w:p>
    <w:p w:rsidR="006B4478" w:rsidP="00DD615E" w:rsidRDefault="006B4478" w14:paraId="1664F4FB" w14:textId="08725EDB">
      <w:pPr>
        <w:jc w:val="left"/>
      </w:pPr>
      <w:r>
        <w:t xml:space="preserve">The requirement to </w:t>
      </w:r>
      <w:r w:rsidR="00285EED">
        <w:t>offer</w:t>
      </w:r>
      <w:r>
        <w:t xml:space="preserve"> the low-cost broadband service option will be included as a condition of the BEAD subgran</w:t>
      </w:r>
      <w:r w:rsidR="00285EED">
        <w:t>t agreement that ADECA executes with successful applicants.</w:t>
      </w:r>
    </w:p>
    <w:p w:rsidR="00B569DD" w:rsidP="00B569DD" w:rsidRDefault="000D334E" w14:paraId="61D2BB92" w14:textId="2EC90A5A">
      <w:pPr>
        <w:pStyle w:val="Heading2"/>
        <w:numPr>
          <w:ilvl w:val="1"/>
          <w:numId w:val="22"/>
        </w:numPr>
      </w:pPr>
      <w:bookmarkStart w:name="_Toc150852728" w:id="308"/>
      <w:r>
        <w:t>Incentivizing l</w:t>
      </w:r>
      <w:r w:rsidR="00B569DD">
        <w:t>ower-cost offering</w:t>
      </w:r>
      <w:r>
        <w:t>s</w:t>
      </w:r>
      <w:bookmarkEnd w:id="308"/>
    </w:p>
    <w:p w:rsidRPr="003D6D78" w:rsidR="0084023D" w:rsidP="00B569DD" w:rsidRDefault="00D42016" w14:paraId="52032E4D" w14:textId="304EEE90">
      <w:r>
        <w:t>While not requiring such service offering</w:t>
      </w:r>
      <w:r w:rsidR="00775435">
        <w:t>s</w:t>
      </w:r>
      <w:r>
        <w:t xml:space="preserve"> as part of the low-cost broadband service option, </w:t>
      </w:r>
      <w:r w:rsidR="000D334E">
        <w:t>ADECA</w:t>
      </w:r>
      <w:r w:rsidR="00B569DD">
        <w:t xml:space="preserve"> intends to incentivize </w:t>
      </w:r>
      <w:r w:rsidR="00D3198F">
        <w:t>ISPs</w:t>
      </w:r>
      <w:r w:rsidR="00B569DD">
        <w:t xml:space="preserve"> to offer a lower-cost</w:t>
      </w:r>
      <w:r w:rsidR="00D3198F">
        <w:t>,</w:t>
      </w:r>
      <w:r w:rsidR="00B569DD">
        <w:t xml:space="preserve"> $30 per month offering, where economically feasible, to households with </w:t>
      </w:r>
      <w:r w:rsidR="000D334E">
        <w:t xml:space="preserve">an </w:t>
      </w:r>
      <w:r w:rsidR="00B569DD">
        <w:t>income equal to or below 200 percent of the federal poverty line, as described above in the scoring methodology</w:t>
      </w:r>
      <w:r w:rsidR="00D3198F">
        <w:t xml:space="preserve"> proposed in Section 5.3</w:t>
      </w:r>
      <w:r w:rsidR="00B569DD">
        <w:t xml:space="preserve">. </w:t>
      </w:r>
      <w:r w:rsidR="00F01A8D">
        <w:t xml:space="preserve">Specifically, </w:t>
      </w:r>
      <w:r w:rsidR="00B569DD">
        <w:t>A</w:t>
      </w:r>
      <w:r w:rsidR="009D7C73">
        <w:t>DECA</w:t>
      </w:r>
      <w:r w:rsidR="00B569DD">
        <w:t xml:space="preserve"> will award </w:t>
      </w:r>
      <w:r w:rsidRPr="00B759EA" w:rsidR="00757CD7">
        <w:t>4</w:t>
      </w:r>
      <w:r w:rsidR="00B569DD">
        <w:t xml:space="preserve"> points </w:t>
      </w:r>
      <w:r w:rsidR="00F01A8D">
        <w:t>to</w:t>
      </w:r>
      <w:r w:rsidR="00B569DD">
        <w:t xml:space="preserve"> </w:t>
      </w:r>
      <w:r w:rsidR="00F01A8D">
        <w:t>applicants</w:t>
      </w:r>
      <w:r w:rsidR="00B569DD">
        <w:t xml:space="preserve"> committing to offer this service for </w:t>
      </w:r>
      <w:r w:rsidRPr="00B759EA" w:rsidR="00F87B49">
        <w:t>5</w:t>
      </w:r>
      <w:r w:rsidR="00B569DD">
        <w:t xml:space="preserve"> years, </w:t>
      </w:r>
      <w:r w:rsidR="00195929">
        <w:t>in</w:t>
      </w:r>
      <w:r w:rsidRPr="00CD0C09" w:rsidR="00B569DD">
        <w:t>clusive of all</w:t>
      </w:r>
      <w:r w:rsidRPr="00CD0C09" w:rsidDel="00D3198F" w:rsidR="00B569DD">
        <w:t xml:space="preserve"> </w:t>
      </w:r>
      <w:r w:rsidRPr="00CD0C09" w:rsidR="00B569DD">
        <w:t>taxes and fees, with application of an annual inflation factor based on the Producer Price Index for the State of Alabama</w:t>
      </w:r>
      <w:r w:rsidR="00B569DD">
        <w:t>.</w:t>
      </w:r>
    </w:p>
    <w:p w:rsidR="001472E0" w:rsidP="00B759EA" w:rsidRDefault="0084023D" w14:paraId="674D84E5" w14:textId="1A27D5A0">
      <w:pPr>
        <w:pStyle w:val="Heading2"/>
        <w:numPr>
          <w:ilvl w:val="1"/>
          <w:numId w:val="22"/>
        </w:numPr>
      </w:pPr>
      <w:bookmarkStart w:name="_Toc150852729" w:id="309"/>
      <w:r>
        <w:t>Certification</w:t>
      </w:r>
      <w:bookmarkEnd w:id="309"/>
    </w:p>
    <w:p w:rsidR="0084023D" w:rsidP="0084023D" w:rsidRDefault="0084023D" w14:paraId="710E84A4" w14:textId="77777777">
      <w:r>
        <w:t>ADECA hereby certifies that:</w:t>
      </w:r>
    </w:p>
    <w:p w:rsidR="0084023D" w:rsidP="0084023D" w:rsidRDefault="00F91B20" w14:paraId="55038CCD" w14:textId="51891F9E">
      <w:pPr>
        <w:ind w:left="720" w:hanging="720"/>
      </w:pPr>
      <w:sdt>
        <w:sdtPr>
          <w:id w:val="-140203041"/>
          <w14:checkbox>
            <w14:checked w14:val="0"/>
            <w14:checkedState w14:val="2612" w14:font="MS Gothic"/>
            <w14:uncheckedState w14:val="2610" w14:font="MS Gothic"/>
          </w14:checkbox>
        </w:sdtPr>
        <w:sdtContent>
          <w:r w:rsidR="0084023D">
            <w:rPr>
              <w:rFonts w:ascii="Wingdings 2" w:hAnsi="Wingdings 2" w:eastAsia="Wingdings 2" w:cs="Wingdings 2"/>
            </w:rPr>
            <w:t>R</w:t>
          </w:r>
        </w:sdtContent>
      </w:sdt>
      <w:r w:rsidR="0084023D">
        <w:tab/>
      </w:r>
      <w:r w:rsidR="007255CF">
        <w:t xml:space="preserve">All subgrantees will be required to participate </w:t>
      </w:r>
      <w:r w:rsidR="00775435">
        <w:t>in the ACP or any successor progra</w:t>
      </w:r>
      <w:r w:rsidR="00C5650C">
        <w:t>m</w:t>
      </w:r>
    </w:p>
    <w:p w:rsidRPr="003F44DA" w:rsidR="000207A3" w:rsidP="003F44DA" w:rsidRDefault="000207A3" w14:paraId="03B0B27D" w14:textId="4CAE59C8">
      <w:r>
        <w:br w:type="page"/>
      </w:r>
    </w:p>
    <w:p w:rsidRPr="00231897" w:rsidR="00571998" w:rsidP="00571998" w:rsidRDefault="00571998" w14:paraId="060C55DA" w14:textId="41825CB4">
      <w:pPr>
        <w:pStyle w:val="Heading1"/>
      </w:pPr>
      <w:bookmarkStart w:name="_Toc150852730" w:id="310"/>
      <w:r w:rsidRPr="00231897">
        <w:t>Middle-class affordability plan</w:t>
      </w:r>
      <w:bookmarkEnd w:id="310"/>
    </w:p>
    <w:p w:rsidR="00163459" w:rsidP="00571998" w:rsidRDefault="00571998" w14:paraId="03E79CC8" w14:textId="40260E75">
      <w:r>
        <w:t>This section describes ADECA’s middle-class affordability plan</w:t>
      </w:r>
      <w:r w:rsidR="00A80AAC">
        <w:t>, which is</w:t>
      </w:r>
      <w:r>
        <w:t xml:space="preserve"> designed to ensure that </w:t>
      </w:r>
      <w:r w:rsidR="007779BF">
        <w:t>high-</w:t>
      </w:r>
      <w:r w:rsidR="00962E6C">
        <w:t>quality broadband services will be made available to all middle-class families in the BEAD-funded network’s service area at reasonable prices.</w:t>
      </w:r>
      <w:r w:rsidR="008C2306">
        <w:t xml:space="preserve"> </w:t>
      </w:r>
    </w:p>
    <w:p w:rsidRPr="008656DB" w:rsidR="00571998" w:rsidP="00571998" w:rsidRDefault="00571998" w14:paraId="7A2E105D" w14:textId="3E7EC10D">
      <w:r>
        <w:t>ADECA</w:t>
      </w:r>
      <w:r w:rsidRPr="008656DB">
        <w:t xml:space="preserve"> will continue to</w:t>
      </w:r>
      <w:r w:rsidR="002E0F53">
        <w:t xml:space="preserve"> review</w:t>
      </w:r>
      <w:r w:rsidRPr="008656DB" w:rsidDel="002E0F53">
        <w:t xml:space="preserve"> </w:t>
      </w:r>
      <w:r w:rsidRPr="008656DB">
        <w:t xml:space="preserve">the affordability of available service options within the </w:t>
      </w:r>
      <w:r>
        <w:t>s</w:t>
      </w:r>
      <w:r w:rsidRPr="008656DB">
        <w:t>tate and encourage providers to offer a range of options t</w:t>
      </w:r>
      <w:r>
        <w:t>hat</w:t>
      </w:r>
      <w:r w:rsidRPr="008656DB">
        <w:t xml:space="preserve"> support broadband adoption.</w:t>
      </w:r>
      <w:r w:rsidR="002E0F53">
        <w:t xml:space="preserve"> As part of that process, ADECA anticipates establishing a </w:t>
      </w:r>
      <w:r w:rsidR="003C2FBD">
        <w:t>process</w:t>
      </w:r>
      <w:r w:rsidR="002E0F53">
        <w:t xml:space="preserve"> of </w:t>
      </w:r>
      <w:r w:rsidR="003C2FBD">
        <w:t>periodic</w:t>
      </w:r>
      <w:r w:rsidR="002E0F53">
        <w:t xml:space="preserve"> monitoring and public reporting to ensure that high-speed internet connections are affordable for middle-class households </w:t>
      </w:r>
      <w:r w:rsidR="0031256F">
        <w:t>in Alabama</w:t>
      </w:r>
      <w:r w:rsidR="002E0F53">
        <w:t>.</w:t>
      </w:r>
    </w:p>
    <w:p w:rsidRPr="008656DB" w:rsidR="00571998" w:rsidP="00571998" w:rsidRDefault="00571998" w14:paraId="512B78C8" w14:textId="62DAAEE0">
      <w:r w:rsidRPr="008656DB">
        <w:t xml:space="preserve">This definition has precedent in established thresholds for the affordability of other essential utilities, which have traditionally been set as a percentage of household income based on measures of housing affordability by the </w:t>
      </w:r>
      <w:r w:rsidR="00F44A9D">
        <w:t xml:space="preserve">U.S. </w:t>
      </w:r>
      <w:r w:rsidRPr="008656DB">
        <w:t>Department of Housing and Urban Development (HUD). HUD includes essential utilities (defined as electricity, gas, heating fuel, water, and sewerage services) within its definition of housing cost. Since 1981, public policy has conventionally set the threshold for an affordable housing cost at 30 percent of a household’s income;</w:t>
      </w:r>
      <w:r w:rsidRPr="008656DB">
        <w:rPr>
          <w:vertAlign w:val="superscript"/>
        </w:rPr>
        <w:footnoteReference w:id="151"/>
      </w:r>
      <w:r w:rsidRPr="008656DB">
        <w:t xml:space="preserve"> the affordability of individual utility bills is then understood as a subset of that cost. </w:t>
      </w:r>
    </w:p>
    <w:p w:rsidRPr="008656DB" w:rsidR="00571998" w:rsidP="00571998" w:rsidRDefault="00571998" w14:paraId="0BC5657B" w14:textId="3123B5AC">
      <w:r w:rsidRPr="008656DB">
        <w:t>As noted by the National Academy of Public Administration</w:t>
      </w:r>
      <w:r w:rsidR="006269C3">
        <w:t xml:space="preserve"> (NAPA)</w:t>
      </w:r>
      <w:r w:rsidRPr="008656DB">
        <w:t>,</w:t>
      </w:r>
      <w:r w:rsidRPr="008656DB">
        <w:rPr>
          <w:vertAlign w:val="superscript"/>
        </w:rPr>
        <w:footnoteReference w:id="152"/>
      </w:r>
      <w:r w:rsidRPr="008656DB">
        <w:t xml:space="preserve"> the United States Conference of Mayors,</w:t>
      </w:r>
      <w:r w:rsidRPr="008656DB">
        <w:rPr>
          <w:vertAlign w:val="superscript"/>
        </w:rPr>
        <w:footnoteReference w:id="153"/>
      </w:r>
      <w:r w:rsidRPr="008656DB">
        <w:t xml:space="preserve"> and the American Water Works Association,</w:t>
      </w:r>
      <w:r w:rsidRPr="008656DB">
        <w:rPr>
          <w:vertAlign w:val="superscript"/>
        </w:rPr>
        <w:footnoteReference w:id="154"/>
      </w:r>
      <w:r w:rsidRPr="008656DB">
        <w:t xml:space="preserve"> however, considering affordability as a simple percentage of income can disregard differential burdens placed on </w:t>
      </w:r>
      <w:r w:rsidR="002C4F8B">
        <w:t xml:space="preserve">certain </w:t>
      </w:r>
      <w:r w:rsidRPr="008656DB">
        <w:t xml:space="preserve">households. In measuring affordability, </w:t>
      </w:r>
      <w:r>
        <w:t>ADECA</w:t>
      </w:r>
      <w:r w:rsidRPr="008656DB">
        <w:t xml:space="preserve"> will work to monitor the impact of broadband costs on communities at the highest risk of disconnection</w:t>
      </w:r>
      <w:r>
        <w:t xml:space="preserve">, </w:t>
      </w:r>
      <w:r w:rsidRPr="4DAB7B41">
        <w:t xml:space="preserve">especially given that covered </w:t>
      </w:r>
      <w:r w:rsidR="002F5BE2">
        <w:t>populations</w:t>
      </w:r>
      <w:r w:rsidRPr="4DAB7B41">
        <w:t xml:space="preserve"> in the </w:t>
      </w:r>
      <w:r>
        <w:t>s</w:t>
      </w:r>
      <w:r w:rsidRPr="4DAB7B41">
        <w:t>tate are 10.1</w:t>
      </w:r>
      <w:r w:rsidR="00162A21">
        <w:t xml:space="preserve"> </w:t>
      </w:r>
      <w:r w:rsidRPr="00162A21" w:rsidR="00162A21">
        <w:t xml:space="preserve">percentage points less likely than non-covered </w:t>
      </w:r>
      <w:r w:rsidR="002F5BE2">
        <w:t>populations</w:t>
      </w:r>
      <w:r w:rsidRPr="00162A21" w:rsidR="00162A21">
        <w:t xml:space="preserve"> to subscribe to internet service (of any kind)</w:t>
      </w:r>
      <w:r w:rsidR="003904F4">
        <w:t>.</w:t>
      </w:r>
      <w:r w:rsidRPr="4DAB7B41">
        <w:rPr>
          <w:vertAlign w:val="superscript"/>
        </w:rPr>
        <w:footnoteReference w:id="155"/>
      </w:r>
    </w:p>
    <w:p w:rsidR="00571998" w:rsidP="00571998" w:rsidRDefault="00571998" w14:paraId="66C836EA" w14:textId="28E7142B">
      <w:r w:rsidRPr="008656DB">
        <w:t>Addressing middle-class affordability also requires a definition of middle</w:t>
      </w:r>
      <w:r w:rsidR="00C11AC4">
        <w:t>-</w:t>
      </w:r>
      <w:r w:rsidRPr="008656DB">
        <w:t>class. Multiple frameworks exist within established research</w:t>
      </w:r>
      <w:r w:rsidRPr="008656DB">
        <w:rPr>
          <w:vertAlign w:val="superscript"/>
        </w:rPr>
        <w:footnoteReference w:id="156"/>
      </w:r>
      <w:r w:rsidRPr="008656DB">
        <w:t xml:space="preserve"> to accommodate the complexity of the concept, which contains the overlap of factors including income, education, occupation, and geographic location. </w:t>
      </w:r>
      <w:r>
        <w:t>Alabama</w:t>
      </w:r>
      <w:r w:rsidRPr="008656DB">
        <w:t xml:space="preserve"> does not have an official definition of middle</w:t>
      </w:r>
      <w:r w:rsidR="00C11AC4">
        <w:t>-</w:t>
      </w:r>
      <w:r w:rsidRPr="008656DB">
        <w:t xml:space="preserve">class. Median household income can serve as a useful benchmark for the </w:t>
      </w:r>
      <w:r>
        <w:t>s</w:t>
      </w:r>
      <w:r w:rsidRPr="008656DB">
        <w:t xml:space="preserve">tate </w:t>
      </w:r>
      <w:r w:rsidR="001C48A6">
        <w:t xml:space="preserve">when </w:t>
      </w:r>
      <w:r w:rsidR="007B37CD">
        <w:t xml:space="preserve">it comes to </w:t>
      </w:r>
      <w:r w:rsidR="00F026A3">
        <w:t>determining</w:t>
      </w:r>
      <w:r w:rsidR="007B37CD">
        <w:t xml:space="preserve"> middle-class affordability</w:t>
      </w:r>
      <w:r w:rsidRPr="008656DB">
        <w:t xml:space="preserve">: according to data from the U.S. Census Bureau, the median household income in </w:t>
      </w:r>
      <w:r>
        <w:t>Alabama</w:t>
      </w:r>
      <w:r w:rsidRPr="006A5844">
        <w:t xml:space="preserve"> was </w:t>
      </w:r>
      <w:r w:rsidRPr="00647DA2">
        <w:t>$54,943</w:t>
      </w:r>
      <w:r>
        <w:t xml:space="preserve"> </w:t>
      </w:r>
      <w:r w:rsidRPr="006A5844">
        <w:t>in 2021</w:t>
      </w:r>
      <w:r w:rsidRPr="008656DB">
        <w:t>.</w:t>
      </w:r>
      <w:r w:rsidRPr="008656DB">
        <w:rPr>
          <w:vertAlign w:val="superscript"/>
        </w:rPr>
        <w:footnoteReference w:id="157"/>
      </w:r>
    </w:p>
    <w:p w:rsidR="00571998" w:rsidP="00571998" w:rsidRDefault="00571998" w14:paraId="65A0FBA8" w14:textId="105B5006">
      <w:r w:rsidRPr="008656DB">
        <w:t xml:space="preserve">A statistically valid survey of residents conducted for the </w:t>
      </w:r>
      <w:r w:rsidR="00863371">
        <w:t xml:space="preserve">Alabama Statewide Digital Opportunity </w:t>
      </w:r>
      <w:r w:rsidRPr="008656DB" w:rsidDel="00863371">
        <w:t>Plan</w:t>
      </w:r>
      <w:r w:rsidRPr="008656DB">
        <w:t xml:space="preserve"> shows the range of prices subscribers in </w:t>
      </w:r>
      <w:r>
        <w:t>Alabama</w:t>
      </w:r>
      <w:r w:rsidRPr="008656DB">
        <w:t xml:space="preserve"> at various income levels currently pay for their internet plan (</w:t>
      </w:r>
      <w:r w:rsidR="00D673FA">
        <w:rPr>
          <w:b/>
          <w:bCs/>
        </w:rPr>
        <w:fldChar w:fldCharType="begin"/>
      </w:r>
      <w:r w:rsidR="00D673FA">
        <w:instrText xml:space="preserve"> REF _Ref150258414 \h </w:instrText>
      </w:r>
      <w:r w:rsidR="00D673FA">
        <w:rPr>
          <w:b/>
          <w:bCs/>
        </w:rPr>
      </w:r>
      <w:r w:rsidR="00D673FA">
        <w:rPr>
          <w:b/>
          <w:bCs/>
        </w:rPr>
        <w:fldChar w:fldCharType="separate"/>
      </w:r>
      <w:r w:rsidR="00D673FA">
        <w:t xml:space="preserve">Figure </w:t>
      </w:r>
      <w:r w:rsidR="00D673FA">
        <w:rPr>
          <w:noProof/>
        </w:rPr>
        <w:t>19</w:t>
      </w:r>
      <w:r w:rsidR="00D673FA">
        <w:rPr>
          <w:b/>
          <w:bCs/>
        </w:rPr>
        <w:fldChar w:fldCharType="end"/>
      </w:r>
      <w:r w:rsidRPr="008656DB">
        <w:t>) and the amount they are willing to pay for high-speed, reliable service (</w:t>
      </w:r>
      <w:r w:rsidR="00D673FA">
        <w:rPr>
          <w:b/>
          <w:bCs/>
        </w:rPr>
        <w:fldChar w:fldCharType="begin"/>
      </w:r>
      <w:r w:rsidR="00D673FA">
        <w:instrText xml:space="preserve"> REF _Ref150258445 \h </w:instrText>
      </w:r>
      <w:r w:rsidR="00D673FA">
        <w:rPr>
          <w:b/>
          <w:bCs/>
        </w:rPr>
      </w:r>
      <w:r w:rsidR="00D673FA">
        <w:rPr>
          <w:b/>
          <w:bCs/>
        </w:rPr>
        <w:fldChar w:fldCharType="separate"/>
      </w:r>
      <w:r w:rsidR="00D673FA">
        <w:t xml:space="preserve">Figure </w:t>
      </w:r>
      <w:r w:rsidR="00D673FA">
        <w:rPr>
          <w:noProof/>
        </w:rPr>
        <w:t>20</w:t>
      </w:r>
      <w:r w:rsidR="00D673FA">
        <w:rPr>
          <w:b/>
          <w:bCs/>
        </w:rPr>
        <w:fldChar w:fldCharType="end"/>
      </w:r>
      <w:r w:rsidRPr="008656DB">
        <w:t>).</w:t>
      </w:r>
    </w:p>
    <w:p w:rsidR="00571998" w:rsidP="00571998" w:rsidRDefault="00571998" w14:paraId="6BE34DD8" w14:textId="6CC464C5">
      <w:pPr>
        <w:pStyle w:val="Caption"/>
      </w:pPr>
      <w:bookmarkStart w:name="_Ref150258414" w:id="319"/>
      <w:bookmarkStart w:name="_Toc150852774" w:id="320"/>
      <w:r>
        <w:t xml:space="preserve">Figure </w:t>
      </w:r>
      <w:r w:rsidR="00597437">
        <w:fldChar w:fldCharType="begin"/>
      </w:r>
      <w:r w:rsidR="00597437">
        <w:instrText xml:space="preserve"> SEQ Figure \* ARABIC </w:instrText>
      </w:r>
      <w:r w:rsidR="00597437">
        <w:fldChar w:fldCharType="separate"/>
      </w:r>
      <w:r w:rsidR="007A1F8B">
        <w:rPr>
          <w:noProof/>
        </w:rPr>
        <w:t>20</w:t>
      </w:r>
      <w:r w:rsidR="00597437">
        <w:rPr>
          <w:noProof/>
        </w:rPr>
        <w:fldChar w:fldCharType="end"/>
      </w:r>
      <w:bookmarkEnd w:id="319"/>
      <w:r>
        <w:t xml:space="preserve">: </w:t>
      </w:r>
      <w:r w:rsidRPr="009F5031">
        <w:t xml:space="preserve">Monthly cost of home internet service by </w:t>
      </w:r>
      <w:r>
        <w:t>household income</w:t>
      </w:r>
      <w:bookmarkEnd w:id="320"/>
    </w:p>
    <w:p w:rsidRPr="005463F3" w:rsidR="00571998" w:rsidP="00571998" w:rsidRDefault="00571998" w14:paraId="0A2E544E" w14:textId="77777777">
      <w:pPr>
        <w:pStyle w:val="Caption"/>
        <w:keepNext w:val="0"/>
        <w:widowControl w:val="0"/>
      </w:pPr>
      <w:r>
        <w:rPr>
          <w:noProof/>
        </w:rPr>
        <w:drawing>
          <wp:inline distT="0" distB="0" distL="0" distR="0" wp14:anchorId="4CA0A52A" wp14:editId="04ED2351">
            <wp:extent cx="5943600" cy="3200400"/>
            <wp:effectExtent l="0" t="0" r="0" b="0"/>
            <wp:docPr id="1117444009" name="Chart 1117444009" descr="A graph of the monthly cost of home internet service by household income.">
              <a:extLst xmlns:a="http://schemas.openxmlformats.org/drawingml/2006/main">
                <a:ext uri="{FF2B5EF4-FFF2-40B4-BE49-F238E27FC236}">
                  <a16:creationId xmlns:a16="http://schemas.microsoft.com/office/drawing/2014/main" id="{46FCDC96-E446-421F-9CBB-B95EDD6FE9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71998" w:rsidP="00571998" w:rsidRDefault="00571998" w14:paraId="2E64D921" w14:textId="77777777">
      <w:pPr>
        <w:pStyle w:val="Caption"/>
        <w:keepNext w:val="0"/>
        <w:widowControl w:val="0"/>
      </w:pPr>
    </w:p>
    <w:p w:rsidR="00571998" w:rsidP="00571998" w:rsidRDefault="00571998" w14:paraId="6DEA8194" w14:textId="3F499F1F">
      <w:pPr>
        <w:pStyle w:val="Caption"/>
      </w:pPr>
      <w:bookmarkStart w:name="_Ref150258445" w:id="321"/>
      <w:bookmarkStart w:name="_Toc150852775" w:id="322"/>
      <w:r>
        <w:t xml:space="preserve">Figure </w:t>
      </w:r>
      <w:r w:rsidR="00597437">
        <w:fldChar w:fldCharType="begin"/>
      </w:r>
      <w:r w:rsidR="00597437">
        <w:instrText xml:space="preserve"> SEQ Figure \* ARABIC </w:instrText>
      </w:r>
      <w:r w:rsidR="00597437">
        <w:fldChar w:fldCharType="separate"/>
      </w:r>
      <w:r w:rsidR="0018175C">
        <w:rPr>
          <w:noProof/>
        </w:rPr>
        <w:t>21</w:t>
      </w:r>
      <w:r w:rsidR="00597437">
        <w:rPr>
          <w:noProof/>
        </w:rPr>
        <w:fldChar w:fldCharType="end"/>
      </w:r>
      <w:bookmarkEnd w:id="321"/>
      <w:r>
        <w:t xml:space="preserve">: </w:t>
      </w:r>
      <w:r w:rsidRPr="009E42DB">
        <w:t xml:space="preserve">Amount willing to pay for high-speed, reliable home internet service </w:t>
      </w:r>
      <w:r w:rsidRPr="009F5031">
        <w:t xml:space="preserve">by </w:t>
      </w:r>
      <w:r>
        <w:t>household income</w:t>
      </w:r>
      <w:bookmarkEnd w:id="322"/>
    </w:p>
    <w:p w:rsidR="00571998" w:rsidP="00571998" w:rsidRDefault="00571998" w14:paraId="587A0C9D" w14:textId="77777777">
      <w:pPr>
        <w:pStyle w:val="Caption"/>
        <w:keepNext w:val="0"/>
        <w:widowControl w:val="0"/>
      </w:pPr>
      <w:r>
        <w:rPr>
          <w:noProof/>
        </w:rPr>
        <w:drawing>
          <wp:inline distT="0" distB="0" distL="0" distR="0" wp14:anchorId="2A04F145" wp14:editId="18708690">
            <wp:extent cx="5943600" cy="3200400"/>
            <wp:effectExtent l="0" t="0" r="0" b="0"/>
            <wp:docPr id="792694289" name="Chart 792694289" descr="A graph showing how much Alabama residents are willing to pay for high-speed, reliable home internet service by household income">
              <a:extLst xmlns:a="http://schemas.openxmlformats.org/drawingml/2006/main">
                <a:ext uri="{FF2B5EF4-FFF2-40B4-BE49-F238E27FC236}">
                  <a16:creationId xmlns:a16="http://schemas.microsoft.com/office/drawing/2014/main" id="{71332D8E-09EB-4F5C-927B-38DF30F506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Pr="008656DB" w:rsidR="00571998" w:rsidP="00571998" w:rsidRDefault="00571998" w14:paraId="68D83B0E" w14:textId="4E6D9176">
      <w:r>
        <w:t>ADECA</w:t>
      </w:r>
      <w:r w:rsidRPr="008656DB">
        <w:t xml:space="preserve"> will encourage providers to offer price points that accommodate subscribers’ ability and desire to pay for reliable, high-speed service through a range of solutions</w:t>
      </w:r>
      <w:r w:rsidR="00614CB2">
        <w:t>.</w:t>
      </w:r>
      <w:r w:rsidRPr="008656DB">
        <w:t xml:space="preserve"> </w:t>
      </w:r>
      <w:r w:rsidR="00991E1B">
        <w:t xml:space="preserve">For example, as discussed above, ADECA plans to </w:t>
      </w:r>
      <w:r w:rsidR="001F70DE">
        <w:t xml:space="preserve">award significant points in </w:t>
      </w:r>
      <w:r w:rsidR="00B275A1">
        <w:t xml:space="preserve">the BEAD application process </w:t>
      </w:r>
      <w:r w:rsidR="00490B4F">
        <w:t xml:space="preserve">to applicants that propose affordable service options, with additional weight given to applicants proposing to offer lower-cost residential service plans. ADECA also will consider other solutions, </w:t>
      </w:r>
      <w:r w:rsidRPr="008656DB">
        <w:t>including but not limited to establishing, making publicly available to consumers, and monitoring benchmarks for affordability</w:t>
      </w:r>
      <w:r w:rsidR="00CE014E">
        <w:t>.</w:t>
      </w:r>
    </w:p>
    <w:p w:rsidRPr="008656DB" w:rsidR="00571998" w:rsidP="00571998" w:rsidRDefault="00571998" w14:paraId="4A5E80CC" w14:textId="458117AF">
      <w:r w:rsidRPr="008656DB">
        <w:t xml:space="preserve">To support increased adoption of broadband, the </w:t>
      </w:r>
      <w:r>
        <w:t>s</w:t>
      </w:r>
      <w:r w:rsidRPr="008656DB">
        <w:t xml:space="preserve">tate must ensure residents have access to reliable service. To that end, </w:t>
      </w:r>
      <w:r>
        <w:t>ADECA</w:t>
      </w:r>
      <w:r w:rsidRPr="008656DB">
        <w:t xml:space="preserve"> seeks to effectively address affordability for middle-class subscribers without restricting providers’ participation in BEAD—which could lead to higher-cost awards and fewer residents that are served Priority Broadband</w:t>
      </w:r>
      <w:r w:rsidR="00B75737">
        <w:t xml:space="preserve"> Projects</w:t>
      </w:r>
      <w:r w:rsidRPr="008656DB">
        <w:t xml:space="preserve"> (i.e., fiber). </w:t>
      </w:r>
    </w:p>
    <w:p w:rsidRPr="008656DB" w:rsidR="00571998" w:rsidP="00571998" w:rsidRDefault="00571998" w14:paraId="267FDD7D" w14:textId="795A6997">
      <w:r w:rsidRPr="008656DB">
        <w:t xml:space="preserve">Accordingly, </w:t>
      </w:r>
      <w:r>
        <w:t>ADECA</w:t>
      </w:r>
      <w:r w:rsidRPr="008656DB">
        <w:t xml:space="preserve"> plans to </w:t>
      </w:r>
      <w:r w:rsidR="23B57FD2">
        <w:t>support</w:t>
      </w:r>
      <w:r w:rsidRPr="008656DB">
        <w:t xml:space="preserve"> middle-class affordability within the context of the BEAD </w:t>
      </w:r>
      <w:r w:rsidR="00B75737">
        <w:t>P</w:t>
      </w:r>
      <w:r w:rsidRPr="008656DB">
        <w:t>rogram by addressing the following areas of risk:</w:t>
      </w:r>
    </w:p>
    <w:p w:rsidRPr="008656DB" w:rsidR="00571998" w:rsidP="00571998" w:rsidRDefault="00571998" w14:paraId="1260D3EA" w14:textId="54C27FEE">
      <w:pPr>
        <w:numPr>
          <w:ilvl w:val="0"/>
          <w:numId w:val="19"/>
        </w:numPr>
      </w:pPr>
      <w:r w:rsidRPr="008656DB">
        <w:rPr>
          <w:b/>
          <w:bCs/>
        </w:rPr>
        <w:t>Small, local providers propose low requested BEAD support</w:t>
      </w:r>
      <w:r w:rsidR="00657C3C">
        <w:rPr>
          <w:b/>
          <w:bCs/>
        </w:rPr>
        <w:t>,</w:t>
      </w:r>
      <w:r w:rsidRPr="008656DB">
        <w:rPr>
          <w:b/>
          <w:bCs/>
        </w:rPr>
        <w:t xml:space="preserve"> but set high subscription costs:</w:t>
      </w:r>
      <w:r w:rsidRPr="008656DB">
        <w:t xml:space="preserve"> </w:t>
      </w:r>
      <w:r>
        <w:t>ADECA</w:t>
      </w:r>
      <w:r w:rsidRPr="008656DB">
        <w:t xml:space="preserve"> will encourage ISPs participating in the BEAD grant program to offer areas they serve with grant funding their best price for analogous products they offer in other areas, in alignment with the gigabit best</w:t>
      </w:r>
      <w:r w:rsidR="00657C3C">
        <w:t>-</w:t>
      </w:r>
      <w:r w:rsidRPr="008656DB">
        <w:t xml:space="preserve">offered pricing requirement in the BEAD </w:t>
      </w:r>
      <w:r w:rsidR="00456967">
        <w:t>P</w:t>
      </w:r>
      <w:r w:rsidRPr="008656DB">
        <w:t xml:space="preserve">rogram rules. </w:t>
      </w:r>
      <w:r>
        <w:t>(</w:t>
      </w:r>
      <w:r w:rsidRPr="008656DB">
        <w:t xml:space="preserve">ISPs </w:t>
      </w:r>
      <w:r w:rsidR="00EA0781">
        <w:t xml:space="preserve">will disclose </w:t>
      </w:r>
      <w:r w:rsidRPr="008656DB" w:rsidDel="00EA0781">
        <w:t>current</w:t>
      </w:r>
      <w:r w:rsidRPr="008656DB">
        <w:t xml:space="preserve"> pricing </w:t>
      </w:r>
      <w:r w:rsidR="00EA0781">
        <w:t>during</w:t>
      </w:r>
      <w:r w:rsidRPr="008656DB">
        <w:t xml:space="preserve"> the </w:t>
      </w:r>
      <w:r w:rsidR="004D7333">
        <w:t>Prequalification Phase</w:t>
      </w:r>
      <w:r w:rsidRPr="008656DB" w:rsidDel="00EC2617">
        <w:t xml:space="preserve"> </w:t>
      </w:r>
      <w:r w:rsidRPr="008656DB">
        <w:t>and a rigorous financial proficiency test will be built into the letter of credit</w:t>
      </w:r>
      <w:r w:rsidR="007F5AAD">
        <w:t>/performance bond</w:t>
      </w:r>
      <w:r w:rsidRPr="008656DB">
        <w:t xml:space="preserve"> and </w:t>
      </w:r>
      <w:r w:rsidR="00EA0781">
        <w:t>other elements of the application process</w:t>
      </w:r>
      <w:r w:rsidR="000B291D">
        <w:t>.</w:t>
      </w:r>
      <w:r>
        <w:t>)</w:t>
      </w:r>
      <w:r w:rsidRPr="008656DB">
        <w:t xml:space="preserve"> </w:t>
      </w:r>
    </w:p>
    <w:p w:rsidRPr="008656DB" w:rsidR="00571998" w:rsidP="00571998" w:rsidRDefault="00571998" w14:paraId="27AE60C5" w14:textId="3A273B8A">
      <w:pPr>
        <w:numPr>
          <w:ilvl w:val="0"/>
          <w:numId w:val="19"/>
        </w:numPr>
      </w:pPr>
      <w:r w:rsidRPr="008656DB">
        <w:rPr>
          <w:b/>
          <w:bCs/>
        </w:rPr>
        <w:t xml:space="preserve">Providers </w:t>
      </w:r>
      <w:proofErr w:type="gramStart"/>
      <w:r w:rsidRPr="008656DB">
        <w:rPr>
          <w:b/>
          <w:bCs/>
        </w:rPr>
        <w:t>shift</w:t>
      </w:r>
      <w:proofErr w:type="gramEnd"/>
      <w:r w:rsidRPr="008656DB">
        <w:rPr>
          <w:b/>
          <w:bCs/>
        </w:rPr>
        <w:t xml:space="preserve"> drop and installation costs to the consumer to recover capital costs: </w:t>
      </w:r>
      <w:r w:rsidRPr="008656DB">
        <w:t xml:space="preserve">Grant participation rules will make clear that drops and network equipment are eligible BEAD costs and should be built into grant proposals to avoid inflated subscriber prices. </w:t>
      </w:r>
      <w:r>
        <w:t>ADECA</w:t>
      </w:r>
      <w:r w:rsidRPr="008656DB">
        <w:t xml:space="preserve"> expects this risk to be somewhat mitigated by expanding competition in rural areas from 5G home internet and </w:t>
      </w:r>
      <w:r w:rsidR="00F92FAF">
        <w:t>low</w:t>
      </w:r>
      <w:r w:rsidR="00B42533">
        <w:t xml:space="preserve"> </w:t>
      </w:r>
      <w:r w:rsidR="00F92FAF">
        <w:t>earth orbit</w:t>
      </w:r>
      <w:r w:rsidRPr="008656DB">
        <w:t xml:space="preserve"> satellite options.</w:t>
      </w:r>
    </w:p>
    <w:p w:rsidRPr="0027107D" w:rsidR="00B1288A" w:rsidP="0027107D" w:rsidRDefault="00571998" w14:paraId="788E069A" w14:textId="1A209E8E">
      <w:pPr>
        <w:numPr>
          <w:ilvl w:val="0"/>
          <w:numId w:val="19"/>
        </w:numPr>
        <w:rPr>
          <w:b/>
        </w:rPr>
      </w:pPr>
      <w:r w:rsidRPr="008656DB">
        <w:rPr>
          <w:b/>
          <w:bCs/>
        </w:rPr>
        <w:t xml:space="preserve">Providers refuse to provide service to expensive locations: </w:t>
      </w:r>
      <w:r>
        <w:t>ADECA</w:t>
      </w:r>
      <w:r w:rsidRPr="008656DB">
        <w:t xml:space="preserve"> will monitor and ensure that awardees make good on their BEAD service commitments, including not assessing additional fees beyond standard installation fees.</w:t>
      </w:r>
      <w:r w:rsidR="00B1288A">
        <w:t xml:space="preserve"> In addition, ADECA will incorporate</w:t>
      </w:r>
      <w:r w:rsidR="00B1288A">
        <w:rPr>
          <w:b/>
          <w:bCs/>
        </w:rPr>
        <w:t xml:space="preserve"> </w:t>
      </w:r>
      <w:r w:rsidR="00B1288A">
        <w:t xml:space="preserve">monitoring and public reporting </w:t>
      </w:r>
      <w:r w:rsidR="00636D0E">
        <w:t>requirements regarding affordability into its BEAD subgrant agreements with awardees.</w:t>
      </w:r>
    </w:p>
    <w:p w:rsidRPr="00A77027" w:rsidR="00571998" w:rsidP="00571998" w:rsidRDefault="00571998" w14:paraId="475056DE" w14:textId="7CF96D83">
      <w:pPr>
        <w:numPr>
          <w:ilvl w:val="0"/>
          <w:numId w:val="19"/>
        </w:numPr>
        <w:rPr>
          <w:b/>
        </w:rPr>
      </w:pPr>
      <w:r w:rsidRPr="008656DB">
        <w:rPr>
          <w:b/>
          <w:bCs/>
        </w:rPr>
        <w:t xml:space="preserve">Differential pricing between urban and new project areas: </w:t>
      </w:r>
      <w:r w:rsidRPr="008656DB">
        <w:t>The gigabit best</w:t>
      </w:r>
      <w:r w:rsidR="003E1EB5">
        <w:t xml:space="preserve"> </w:t>
      </w:r>
      <w:r w:rsidRPr="008656DB">
        <w:t xml:space="preserve">pricing policy mandated in the BEAD </w:t>
      </w:r>
      <w:r w:rsidR="003E1EB5">
        <w:t>P</w:t>
      </w:r>
      <w:r w:rsidRPr="008656DB">
        <w:t>rogram</w:t>
      </w:r>
      <w:r w:rsidRPr="008656DB" w:rsidDel="003E1EB5">
        <w:t xml:space="preserve"> </w:t>
      </w:r>
      <w:r w:rsidRPr="008656DB">
        <w:t>sets requirements around geographic non-discrimination.</w:t>
      </w:r>
    </w:p>
    <w:p w:rsidR="00571998" w:rsidP="00571998" w:rsidRDefault="00722695" w14:paraId="70216806" w14:textId="3308E231">
      <w:pPr>
        <w:rPr>
          <w:rFonts w:ascii="Georgia" w:hAnsi="Georgia" w:eastAsiaTheme="majorEastAsia" w:cstheme="majorBidi"/>
          <w:b/>
          <w:bCs/>
          <w:color w:val="242451"/>
          <w:sz w:val="28"/>
          <w:szCs w:val="28"/>
        </w:rPr>
      </w:pPr>
      <w:r>
        <w:rPr>
          <w:bCs/>
        </w:rPr>
        <w:t>AD</w:t>
      </w:r>
      <w:r w:rsidR="00AE0D54">
        <w:rPr>
          <w:bCs/>
        </w:rPr>
        <w:t>ECA</w:t>
      </w:r>
      <w:r w:rsidRPr="002B7300" w:rsidR="00571998">
        <w:rPr>
          <w:bCs/>
        </w:rPr>
        <w:t xml:space="preserve"> is committed to establishing policies that would ultimately lead to more widespread affordability among middle-</w:t>
      </w:r>
      <w:r w:rsidR="00AE0D54">
        <w:rPr>
          <w:bCs/>
        </w:rPr>
        <w:t>class</w:t>
      </w:r>
      <w:r w:rsidRPr="002B7300" w:rsidR="00571998">
        <w:rPr>
          <w:bCs/>
        </w:rPr>
        <w:t xml:space="preserve"> </w:t>
      </w:r>
      <w:r w:rsidR="00AE0D54">
        <w:rPr>
          <w:bCs/>
        </w:rPr>
        <w:t>households</w:t>
      </w:r>
      <w:r w:rsidRPr="002B7300" w:rsidR="00571998">
        <w:rPr>
          <w:bCs/>
        </w:rPr>
        <w:t xml:space="preserve">. This holistic commitment to expanding the adoption of broadband throughout </w:t>
      </w:r>
      <w:r w:rsidR="00571998">
        <w:rPr>
          <w:bCs/>
        </w:rPr>
        <w:t>Alabama</w:t>
      </w:r>
      <w:r w:rsidRPr="002B7300" w:rsidR="00571998">
        <w:rPr>
          <w:bCs/>
        </w:rPr>
        <w:t xml:space="preserve"> necessitates the accommodation and partnership of subgrantees.</w:t>
      </w:r>
      <w:r w:rsidR="00571998">
        <w:rPr>
          <w:bCs/>
        </w:rPr>
        <w:t xml:space="preserve"> In doing so, </w:t>
      </w:r>
      <w:r w:rsidRPr="0030018C" w:rsidR="00571998">
        <w:rPr>
          <w:bCs/>
        </w:rPr>
        <w:t xml:space="preserve">the </w:t>
      </w:r>
      <w:r w:rsidR="00571998">
        <w:rPr>
          <w:bCs/>
        </w:rPr>
        <w:t>s</w:t>
      </w:r>
      <w:r w:rsidRPr="0030018C" w:rsidR="00571998">
        <w:rPr>
          <w:bCs/>
        </w:rPr>
        <w:t>tate increases the likelihood of ISP participation and, in effect, will provide middle-</w:t>
      </w:r>
      <w:r w:rsidR="00964D61">
        <w:rPr>
          <w:bCs/>
        </w:rPr>
        <w:t>class</w:t>
      </w:r>
      <w:r w:rsidRPr="0030018C" w:rsidR="00571998">
        <w:rPr>
          <w:bCs/>
        </w:rPr>
        <w:t xml:space="preserve"> </w:t>
      </w:r>
      <w:r w:rsidR="00571998">
        <w:rPr>
          <w:bCs/>
        </w:rPr>
        <w:t xml:space="preserve">Alabama </w:t>
      </w:r>
      <w:r w:rsidR="00184503">
        <w:rPr>
          <w:bCs/>
        </w:rPr>
        <w:t>households</w:t>
      </w:r>
      <w:r w:rsidRPr="0030018C" w:rsidR="00571998">
        <w:rPr>
          <w:bCs/>
        </w:rPr>
        <w:t xml:space="preserve"> a genuine opportunity to be fully engaged in the digital world.</w:t>
      </w:r>
      <w:r w:rsidR="00571998">
        <w:br w:type="page"/>
      </w:r>
    </w:p>
    <w:p w:rsidR="00A10AD6" w:rsidP="006F78D2" w:rsidRDefault="00A10AD6" w14:paraId="4F46ED9A" w14:textId="6F4D4DDB">
      <w:pPr>
        <w:pStyle w:val="Heading1"/>
      </w:pPr>
      <w:bookmarkStart w:name="_Toc150852731" w:id="323"/>
      <w:r>
        <w:t>Use of 20 percent of funding (Requirement 17)</w:t>
      </w:r>
      <w:bookmarkEnd w:id="323"/>
    </w:p>
    <w:p w:rsidR="00B55FB9" w:rsidP="006F78D2" w:rsidRDefault="00B55FB9" w14:paraId="586B2636" w14:textId="3AC7B86D">
      <w:pPr>
        <w:pStyle w:val="Heading2"/>
        <w:numPr>
          <w:ilvl w:val="1"/>
          <w:numId w:val="23"/>
        </w:numPr>
      </w:pPr>
      <w:bookmarkStart w:name="_Toc146119558" w:id="324"/>
      <w:bookmarkStart w:name="_Toc150852732" w:id="325"/>
      <w:r>
        <w:t>Planned use of funds requested</w:t>
      </w:r>
      <w:bookmarkEnd w:id="324"/>
      <w:bookmarkEnd w:id="325"/>
    </w:p>
    <w:p w:rsidR="00C4502E" w:rsidP="00D74122" w:rsidRDefault="07FD6989" w14:paraId="696A661B" w14:textId="1A7400DB">
      <w:r>
        <w:t xml:space="preserve">Consistent with NTIA guidance, </w:t>
      </w:r>
      <w:r w:rsidR="0018482C">
        <w:t xml:space="preserve">ADECA </w:t>
      </w:r>
      <w:r w:rsidR="00D74122">
        <w:t>requests that NTIA obligate 100</w:t>
      </w:r>
      <w:r w:rsidR="00CC1466">
        <w:t xml:space="preserve"> percent</w:t>
      </w:r>
      <w:r w:rsidR="00D74122">
        <w:t xml:space="preserve"> of the </w:t>
      </w:r>
      <w:r w:rsidR="004E24C6">
        <w:t xml:space="preserve">remaining </w:t>
      </w:r>
      <w:r w:rsidR="00D74122">
        <w:t>funds of its BEAD allocation</w:t>
      </w:r>
      <w:r w:rsidR="00A83859">
        <w:t>,</w:t>
      </w:r>
      <w:r w:rsidR="00D74122">
        <w:t xml:space="preserve"> making </w:t>
      </w:r>
      <w:r w:rsidR="002208EF">
        <w:t>2</w:t>
      </w:r>
      <w:r w:rsidR="00CC1466">
        <w:t xml:space="preserve"> percent</w:t>
      </w:r>
      <w:r w:rsidR="00D74122">
        <w:t xml:space="preserve"> </w:t>
      </w:r>
      <w:r w:rsidR="00CE4489">
        <w:t xml:space="preserve">of those funds </w:t>
      </w:r>
      <w:r w:rsidR="00D74122">
        <w:t>available immediate</w:t>
      </w:r>
      <w:r w:rsidR="004B4B8C">
        <w:t>ly</w:t>
      </w:r>
      <w:r w:rsidR="00D74122">
        <w:t xml:space="preserve"> for programmatic</w:t>
      </w:r>
      <w:r w:rsidR="00B02AEE">
        <w:t xml:space="preserve"> </w:t>
      </w:r>
      <w:r w:rsidR="005F4761">
        <w:t xml:space="preserve">expenses and an additional </w:t>
      </w:r>
      <w:r w:rsidR="002208EF">
        <w:t>2</w:t>
      </w:r>
      <w:r w:rsidR="005F4761">
        <w:t xml:space="preserve"> percent of those funds available </w:t>
      </w:r>
      <w:r w:rsidR="00F17807">
        <w:t xml:space="preserve">immediately </w:t>
      </w:r>
      <w:r w:rsidR="005F4761">
        <w:t>for administrative expenses</w:t>
      </w:r>
      <w:r w:rsidR="00B02AEE">
        <w:t>.</w:t>
      </w:r>
    </w:p>
    <w:p w:rsidR="00D74122" w:rsidP="00D74122" w:rsidRDefault="008045E0" w14:paraId="0F6D6F49" w14:textId="787CE788">
      <w:r>
        <w:t xml:space="preserve">Full obligation of Alabama’s BEAD allocation </w:t>
      </w:r>
      <w:r w:rsidR="00546017">
        <w:t xml:space="preserve">will achieve the BEAD statutory objective of serving </w:t>
      </w:r>
      <w:r w:rsidR="00C810EE">
        <w:t xml:space="preserve">all unserved and underserved locations, while providing </w:t>
      </w:r>
      <w:r w:rsidR="00371CB9">
        <w:t xml:space="preserve">potential applicants, </w:t>
      </w:r>
      <w:r w:rsidR="00F22DE6">
        <w:t xml:space="preserve">local governments, </w:t>
      </w:r>
      <w:r w:rsidR="00BA3DB1">
        <w:t xml:space="preserve">community organizations, and other partners </w:t>
      </w:r>
      <w:r w:rsidR="00555ED7">
        <w:t xml:space="preserve">with the assurances they </w:t>
      </w:r>
      <w:r w:rsidR="00D74122">
        <w:t xml:space="preserve">need to invest appropriate time and resources to participate fully in the </w:t>
      </w:r>
      <w:r w:rsidR="008D138F">
        <w:t>s</w:t>
      </w:r>
      <w:r w:rsidR="00D74122">
        <w:t>tate’s grant processes. These assurances will allow</w:t>
      </w:r>
      <w:r w:rsidR="00086C84">
        <w:t xml:space="preserve"> ADECA</w:t>
      </w:r>
      <w:r w:rsidR="00D74122">
        <w:t xml:space="preserve"> and its partners to move to broadband deployment more efficiently</w:t>
      </w:r>
      <w:r w:rsidR="00B5285F">
        <w:t xml:space="preserve"> by </w:t>
      </w:r>
      <w:r w:rsidR="001B1E29">
        <w:t xml:space="preserve">facilitating the </w:t>
      </w:r>
      <w:r w:rsidR="00097EC0">
        <w:t xml:space="preserve">timely </w:t>
      </w:r>
      <w:r w:rsidR="00874142">
        <w:t xml:space="preserve">launch of the state’s challenge </w:t>
      </w:r>
      <w:r w:rsidR="002B1CB9">
        <w:t>and subgrantee selection process</w:t>
      </w:r>
      <w:r w:rsidR="00430C48">
        <w:t>es</w:t>
      </w:r>
      <w:r w:rsidR="001434C8">
        <w:t>.</w:t>
      </w:r>
      <w:r w:rsidR="00666B8A">
        <w:t xml:space="preserve"> </w:t>
      </w:r>
      <w:r w:rsidR="00751399">
        <w:t xml:space="preserve">In addition, full obligation of </w:t>
      </w:r>
      <w:r w:rsidR="006702A5">
        <w:t xml:space="preserve">Alabama’s </w:t>
      </w:r>
      <w:r w:rsidR="00751399">
        <w:t xml:space="preserve">BEAD allocation </w:t>
      </w:r>
      <w:r w:rsidR="00EC5610">
        <w:t xml:space="preserve">would </w:t>
      </w:r>
      <w:r w:rsidR="008D4296">
        <w:t xml:space="preserve">avoid potential </w:t>
      </w:r>
      <w:r w:rsidR="006803D7">
        <w:t>legal risks</w:t>
      </w:r>
      <w:r w:rsidR="006702A5">
        <w:t xml:space="preserve"> under state law</w:t>
      </w:r>
      <w:r w:rsidR="006803D7">
        <w:t xml:space="preserve"> associated with </w:t>
      </w:r>
      <w:r w:rsidR="00E144B8">
        <w:t>conditionally awarding BEAD grants</w:t>
      </w:r>
      <w:r w:rsidR="006702A5">
        <w:t xml:space="preserve"> before NTIA </w:t>
      </w:r>
      <w:r w:rsidR="00666B8A">
        <w:t>provides final approval of</w:t>
      </w:r>
      <w:r w:rsidR="006702A5">
        <w:t xml:space="preserve"> </w:t>
      </w:r>
      <w:r w:rsidR="0006106B">
        <w:t>underlying</w:t>
      </w:r>
      <w:r w:rsidR="006702A5">
        <w:t xml:space="preserve"> </w:t>
      </w:r>
      <w:r w:rsidR="001B0E43">
        <w:t>funding</w:t>
      </w:r>
      <w:r w:rsidR="006702A5">
        <w:t>.</w:t>
      </w:r>
      <w:r w:rsidR="001B0E43">
        <w:t xml:space="preserve"> Under Alabama law, ADECA </w:t>
      </w:r>
      <w:r w:rsidR="0024481F">
        <w:t xml:space="preserve">generally </w:t>
      </w:r>
      <w:r w:rsidR="001B0E43">
        <w:t xml:space="preserve">is prohibited </w:t>
      </w:r>
      <w:r w:rsidR="00011FDD">
        <w:t>from “</w:t>
      </w:r>
      <w:r w:rsidRPr="00011FDD" w:rsidR="00011FDD">
        <w:t>creating or incurring</w:t>
      </w:r>
      <w:r w:rsidR="00011FDD">
        <w:t>”</w:t>
      </w:r>
      <w:r w:rsidR="00B7531F">
        <w:t xml:space="preserve"> any debts against the state</w:t>
      </w:r>
      <w:r w:rsidR="00C71F5C">
        <w:t xml:space="preserve"> through </w:t>
      </w:r>
      <w:r w:rsidR="00666B8A">
        <w:t>payment commitments or other obligations.</w:t>
      </w:r>
      <w:r w:rsidR="001F63D3">
        <w:rPr>
          <w:rStyle w:val="FootnoteReference"/>
        </w:rPr>
        <w:footnoteReference w:id="158"/>
      </w:r>
      <w:r w:rsidR="00FE4FA3">
        <w:t xml:space="preserve"> Consequently, full obligation of Alabama’s BEAD allocation will </w:t>
      </w:r>
      <w:r w:rsidR="00494058">
        <w:t xml:space="preserve">help </w:t>
      </w:r>
      <w:r w:rsidR="00FE4FA3">
        <w:t xml:space="preserve">ensure that ADECA does not </w:t>
      </w:r>
      <w:r w:rsidR="00494058">
        <w:t>create or incur any prohibited indebtedness or other deficiency under state law.</w:t>
      </w:r>
      <w:r w:rsidR="00AC2AF5">
        <w:t xml:space="preserve"> </w:t>
      </w:r>
    </w:p>
    <w:p w:rsidR="00D74122" w:rsidP="00D74122" w:rsidRDefault="00D74122" w14:paraId="2C4238AD" w14:textId="20724456">
      <w:r>
        <w:t xml:space="preserve">NTIA provides that the </w:t>
      </w:r>
      <w:r w:rsidR="008D138F">
        <w:t>s</w:t>
      </w:r>
      <w:r>
        <w:t>tate may budget its BEAD allocation in four expense categories: Deployment, Non-Deployment, Administrative</w:t>
      </w:r>
      <w:r w:rsidR="00075F9D">
        <w:t>,</w:t>
      </w:r>
      <w:r>
        <w:t xml:space="preserve"> and Programmatic. Accordingly, </w:t>
      </w:r>
      <w:r w:rsidR="00075F9D">
        <w:t>ADECA</w:t>
      </w:r>
      <w:r>
        <w:t xml:space="preserve"> requests 100</w:t>
      </w:r>
      <w:r w:rsidR="00CC1466">
        <w:t xml:space="preserve"> percent</w:t>
      </w:r>
      <w:r>
        <w:t xml:space="preserve"> of its</w:t>
      </w:r>
      <w:r w:rsidR="008A55F1">
        <w:t xml:space="preserve"> remaining</w:t>
      </w:r>
      <w:r>
        <w:t xml:space="preserve"> BEAD allocation as follows</w:t>
      </w:r>
      <w:r w:rsidR="00107FB9">
        <w:t>:</w:t>
      </w:r>
      <w:r w:rsidR="00AD4170">
        <w:rPr>
          <w:rStyle w:val="FootnoteReference"/>
        </w:rPr>
        <w:footnoteReference w:id="159"/>
      </w:r>
    </w:p>
    <w:p w:rsidR="009F2F23" w:rsidP="0042348B" w:rsidRDefault="00E6774A" w14:paraId="4AC99531" w14:textId="3985E8D6">
      <w:pPr>
        <w:pStyle w:val="Caption"/>
      </w:pPr>
      <w:bookmarkStart w:name="_Toc150852795" w:id="326"/>
      <w:r>
        <w:t xml:space="preserve">Table </w:t>
      </w:r>
      <w:r>
        <w:fldChar w:fldCharType="begin"/>
      </w:r>
      <w:r>
        <w:instrText xml:space="preserve"> SEQ Table \* ARABIC </w:instrText>
      </w:r>
      <w:r>
        <w:fldChar w:fldCharType="separate"/>
      </w:r>
      <w:r w:rsidR="00444AF1">
        <w:rPr>
          <w:noProof/>
        </w:rPr>
        <w:t>20</w:t>
      </w:r>
      <w:r>
        <w:fldChar w:fldCharType="end"/>
      </w:r>
      <w:r>
        <w:t>: Planned use of funds requested</w:t>
      </w:r>
      <w:bookmarkEnd w:id="326"/>
    </w:p>
    <w:tbl>
      <w:tblPr>
        <w:tblStyle w:val="TableGrid"/>
        <w:tblW w:w="0" w:type="auto"/>
        <w:tblLook w:val="04A0" w:firstRow="1" w:lastRow="0" w:firstColumn="1" w:lastColumn="0" w:noHBand="0" w:noVBand="1"/>
      </w:tblPr>
      <w:tblGrid>
        <w:gridCol w:w="1646"/>
        <w:gridCol w:w="4470"/>
        <w:gridCol w:w="990"/>
        <w:gridCol w:w="2244"/>
      </w:tblGrid>
      <w:tr w:rsidRPr="00D74122" w:rsidR="00D74122" w:rsidTr="0042348B" w14:paraId="61DDE1D5" w14:textId="4FB2FBA5">
        <w:trPr>
          <w:tblHeader/>
        </w:trPr>
        <w:tc>
          <w:tcPr>
            <w:tcW w:w="1632" w:type="dxa"/>
            <w:shd w:val="clear" w:color="auto" w:fill="002060"/>
          </w:tcPr>
          <w:p w:rsidRPr="00D74122" w:rsidR="00D74122" w:rsidRDefault="00D74122" w14:paraId="3E5903C3" w14:textId="77777777">
            <w:r w:rsidRPr="00D74122">
              <w:t>Category</w:t>
            </w:r>
          </w:p>
        </w:tc>
        <w:tc>
          <w:tcPr>
            <w:tcW w:w="4483" w:type="dxa"/>
            <w:shd w:val="clear" w:color="auto" w:fill="002060"/>
          </w:tcPr>
          <w:p w:rsidRPr="00D74122" w:rsidR="00D74122" w:rsidRDefault="00D74122" w14:paraId="77F23690" w14:textId="77777777">
            <w:r w:rsidRPr="00D74122">
              <w:t>Details</w:t>
            </w:r>
          </w:p>
        </w:tc>
        <w:tc>
          <w:tcPr>
            <w:tcW w:w="990" w:type="dxa"/>
            <w:shd w:val="clear" w:color="auto" w:fill="002060"/>
          </w:tcPr>
          <w:p w:rsidRPr="00D74122" w:rsidR="00D74122" w:rsidRDefault="00D74122" w14:paraId="222433A4" w14:textId="5B6F7CC1">
            <w:r w:rsidRPr="00D74122">
              <w:t xml:space="preserve">Budget </w:t>
            </w:r>
            <w:r w:rsidR="00E311F0">
              <w:t>p</w:t>
            </w:r>
            <w:r w:rsidRPr="00D74122">
              <w:t>ercent</w:t>
            </w:r>
          </w:p>
        </w:tc>
        <w:tc>
          <w:tcPr>
            <w:tcW w:w="2245" w:type="dxa"/>
            <w:shd w:val="clear" w:color="auto" w:fill="002060"/>
          </w:tcPr>
          <w:p w:rsidR="00FB37A4" w:rsidRDefault="00FB37A4" w14:paraId="253B73D5" w14:textId="61366082">
            <w:r>
              <w:t>Amount</w:t>
            </w:r>
          </w:p>
        </w:tc>
      </w:tr>
      <w:tr w:rsidRPr="00D74122" w:rsidR="008D11EF" w:rsidTr="0042348B" w14:paraId="32EF438B" w14:textId="40DF2707">
        <w:tc>
          <w:tcPr>
            <w:tcW w:w="1632" w:type="dxa"/>
          </w:tcPr>
          <w:p w:rsidRPr="00D74122" w:rsidR="008D11EF" w:rsidP="008D11EF" w:rsidRDefault="008D11EF" w14:paraId="182D9E9E" w14:textId="07745FE9">
            <w:r w:rsidRPr="00D74122">
              <w:t>Deployment Costs</w:t>
            </w:r>
          </w:p>
        </w:tc>
        <w:tc>
          <w:tcPr>
            <w:tcW w:w="4483" w:type="dxa"/>
          </w:tcPr>
          <w:p w:rsidRPr="00D74122" w:rsidR="008D11EF" w:rsidP="00A87969" w:rsidRDefault="008D11EF" w14:paraId="292ADF01" w14:textId="6EE4756C">
            <w:pPr>
              <w:jc w:val="left"/>
            </w:pPr>
            <w:r>
              <w:rPr>
                <w:rFonts w:eastAsia="Times New Roman"/>
              </w:rPr>
              <w:t>Subgrantee deployment costs (e.g., purchase of inventory including electronics and customer premises equipment, construction) and planning (e.g., environmental permitting, rights</w:t>
            </w:r>
            <w:r w:rsidR="00E90E47">
              <w:rPr>
                <w:rFonts w:eastAsia="Times New Roman"/>
              </w:rPr>
              <w:t>-</w:t>
            </w:r>
            <w:r>
              <w:rPr>
                <w:rFonts w:eastAsia="Times New Roman"/>
              </w:rPr>
              <w:t>of</w:t>
            </w:r>
            <w:r w:rsidR="00F97170">
              <w:rPr>
                <w:rFonts w:eastAsia="Times New Roman"/>
              </w:rPr>
              <w:t>-</w:t>
            </w:r>
            <w:r>
              <w:rPr>
                <w:rFonts w:eastAsia="Times New Roman"/>
              </w:rPr>
              <w:t>way analysis, network design)</w:t>
            </w:r>
          </w:p>
        </w:tc>
        <w:tc>
          <w:tcPr>
            <w:tcW w:w="990" w:type="dxa"/>
          </w:tcPr>
          <w:p w:rsidRPr="00D74122" w:rsidR="008D11EF" w:rsidP="008D11EF" w:rsidRDefault="73243E51" w14:paraId="6CB9E767" w14:textId="1D305D4D">
            <w:r>
              <w:t>96</w:t>
            </w:r>
            <w:r w:rsidRPr="00D74122" w:rsidR="008D11EF">
              <w:t>%</w:t>
            </w:r>
          </w:p>
        </w:tc>
        <w:tc>
          <w:tcPr>
            <w:tcW w:w="2245" w:type="dxa"/>
          </w:tcPr>
          <w:p w:rsidR="00FB37A4" w:rsidP="008D11EF" w:rsidRDefault="00F229D1" w14:paraId="464A8320" w14:textId="223AD03F">
            <w:r>
              <w:t>$1,345,173,025</w:t>
            </w:r>
            <w:r w:rsidR="001859E9">
              <w:t>.7</w:t>
            </w:r>
            <w:r w:rsidR="001A5FC4">
              <w:t>1</w:t>
            </w:r>
          </w:p>
        </w:tc>
      </w:tr>
      <w:tr w:rsidRPr="00D74122" w:rsidR="008D11EF" w:rsidTr="0042348B" w14:paraId="185C7610" w14:textId="5D9A4B07">
        <w:tc>
          <w:tcPr>
            <w:tcW w:w="1632" w:type="dxa"/>
          </w:tcPr>
          <w:p w:rsidRPr="00D74122" w:rsidR="008D11EF" w:rsidP="008D11EF" w:rsidRDefault="008D11EF" w14:paraId="1FFEFF58" w14:textId="1157875B">
            <w:r w:rsidRPr="00D74122">
              <w:t>Programmatic Expenses</w:t>
            </w:r>
            <w:r w:rsidR="008928EC">
              <w:rPr>
                <w:rStyle w:val="FootnoteReference"/>
              </w:rPr>
              <w:footnoteReference w:id="160"/>
            </w:r>
          </w:p>
        </w:tc>
        <w:tc>
          <w:tcPr>
            <w:tcW w:w="4483" w:type="dxa"/>
          </w:tcPr>
          <w:p w:rsidRPr="00D74122" w:rsidR="008D11EF" w:rsidP="00A87969" w:rsidRDefault="008810CA" w14:paraId="14969043" w14:textId="4F067128">
            <w:pPr>
              <w:jc w:val="left"/>
            </w:pPr>
            <w:r>
              <w:rPr>
                <w:rFonts w:eastAsia="Times New Roman"/>
              </w:rPr>
              <w:t xml:space="preserve">BEAD </w:t>
            </w:r>
            <w:r w:rsidR="00E84803">
              <w:rPr>
                <w:rFonts w:eastAsia="Times New Roman"/>
              </w:rPr>
              <w:t>p</w:t>
            </w:r>
            <w:r w:rsidR="00FB37A4">
              <w:rPr>
                <w:rFonts w:eastAsia="Times New Roman"/>
              </w:rPr>
              <w:t xml:space="preserve">lanning, </w:t>
            </w:r>
            <w:r w:rsidR="00E84803">
              <w:rPr>
                <w:rFonts w:eastAsia="Times New Roman"/>
              </w:rPr>
              <w:t>c</w:t>
            </w:r>
            <w:r w:rsidR="00FB37A4">
              <w:rPr>
                <w:rFonts w:eastAsia="Times New Roman"/>
              </w:rPr>
              <w:t xml:space="preserve">hallenge </w:t>
            </w:r>
            <w:r w:rsidR="00E84803">
              <w:rPr>
                <w:rFonts w:eastAsia="Times New Roman"/>
              </w:rPr>
              <w:t>p</w:t>
            </w:r>
            <w:r>
              <w:rPr>
                <w:rFonts w:eastAsia="Times New Roman"/>
              </w:rPr>
              <w:t xml:space="preserve">rocess, IT </w:t>
            </w:r>
            <w:r w:rsidR="00E84803">
              <w:rPr>
                <w:rFonts w:eastAsia="Times New Roman"/>
              </w:rPr>
              <w:t>s</w:t>
            </w:r>
            <w:r>
              <w:rPr>
                <w:rFonts w:eastAsia="Times New Roman"/>
              </w:rPr>
              <w:t xml:space="preserve">ystems to run </w:t>
            </w:r>
            <w:r w:rsidR="00E84803">
              <w:rPr>
                <w:rFonts w:eastAsia="Times New Roman"/>
              </w:rPr>
              <w:t>c</w:t>
            </w:r>
            <w:r>
              <w:rPr>
                <w:rFonts w:eastAsia="Times New Roman"/>
              </w:rPr>
              <w:t xml:space="preserve">hallenge and </w:t>
            </w:r>
            <w:r w:rsidR="00E84803">
              <w:rPr>
                <w:rFonts w:eastAsia="Times New Roman"/>
              </w:rPr>
              <w:t>g</w:t>
            </w:r>
            <w:r w:rsidR="00FB37A4">
              <w:rPr>
                <w:rFonts w:eastAsia="Times New Roman"/>
              </w:rPr>
              <w:t xml:space="preserve">rant </w:t>
            </w:r>
            <w:r w:rsidR="00E84803">
              <w:rPr>
                <w:rFonts w:eastAsia="Times New Roman"/>
              </w:rPr>
              <w:t>a</w:t>
            </w:r>
            <w:r w:rsidR="00FB37A4">
              <w:rPr>
                <w:rFonts w:eastAsia="Times New Roman"/>
              </w:rPr>
              <w:t xml:space="preserve">pplications, </w:t>
            </w:r>
            <w:r w:rsidR="00E84803">
              <w:rPr>
                <w:rFonts w:eastAsia="Times New Roman"/>
              </w:rPr>
              <w:t>s</w:t>
            </w:r>
            <w:r w:rsidR="00FB37A4">
              <w:rPr>
                <w:rFonts w:eastAsia="Times New Roman"/>
              </w:rPr>
              <w:t xml:space="preserve">ubgrantee </w:t>
            </w:r>
            <w:r w:rsidR="00E84803">
              <w:rPr>
                <w:rFonts w:eastAsia="Times New Roman"/>
              </w:rPr>
              <w:t>s</w:t>
            </w:r>
            <w:r w:rsidR="00FB37A4">
              <w:rPr>
                <w:rFonts w:eastAsia="Times New Roman"/>
              </w:rPr>
              <w:t xml:space="preserve">election </w:t>
            </w:r>
            <w:r w:rsidR="00E84803">
              <w:rPr>
                <w:rFonts w:eastAsia="Times New Roman"/>
              </w:rPr>
              <w:t>p</w:t>
            </w:r>
            <w:r w:rsidR="00FB37A4">
              <w:rPr>
                <w:rFonts w:eastAsia="Times New Roman"/>
              </w:rPr>
              <w:t xml:space="preserve">rocess </w:t>
            </w:r>
            <w:r w:rsidR="00E84803">
              <w:rPr>
                <w:rFonts w:eastAsia="Times New Roman"/>
              </w:rPr>
              <w:t>d</w:t>
            </w:r>
            <w:r>
              <w:rPr>
                <w:rFonts w:eastAsia="Times New Roman"/>
              </w:rPr>
              <w:t xml:space="preserve">evelopment and </w:t>
            </w:r>
            <w:r w:rsidR="00E84803">
              <w:rPr>
                <w:rFonts w:eastAsia="Times New Roman"/>
              </w:rPr>
              <w:t>m</w:t>
            </w:r>
            <w:r>
              <w:rPr>
                <w:rFonts w:eastAsia="Times New Roman"/>
              </w:rPr>
              <w:t>anagement</w:t>
            </w:r>
          </w:p>
        </w:tc>
        <w:tc>
          <w:tcPr>
            <w:tcW w:w="990" w:type="dxa"/>
          </w:tcPr>
          <w:p w:rsidRPr="00D74122" w:rsidR="008D11EF" w:rsidP="008D11EF" w:rsidRDefault="008D11EF" w14:paraId="6F292424" w14:textId="6C49A0D7">
            <w:r w:rsidRPr="00D74122">
              <w:t>2%</w:t>
            </w:r>
          </w:p>
        </w:tc>
        <w:tc>
          <w:tcPr>
            <w:tcW w:w="2245" w:type="dxa"/>
          </w:tcPr>
          <w:p w:rsidRPr="00D74122" w:rsidR="00FB37A4" w:rsidP="008D11EF" w:rsidRDefault="00EE145E" w14:paraId="4C0CE873" w14:textId="3C40D1F0">
            <w:r>
              <w:t>$28,024,438</w:t>
            </w:r>
            <w:r w:rsidR="00B85987">
              <w:t>.03</w:t>
            </w:r>
          </w:p>
        </w:tc>
      </w:tr>
      <w:tr w:rsidRPr="00D74122" w:rsidR="008D11EF" w:rsidTr="0042348B" w14:paraId="10F53167" w14:textId="3A96EEA0">
        <w:tc>
          <w:tcPr>
            <w:tcW w:w="1632" w:type="dxa"/>
          </w:tcPr>
          <w:p w:rsidRPr="00D74122" w:rsidR="008D11EF" w:rsidP="008D11EF" w:rsidRDefault="008D11EF" w14:paraId="61CBDFAF" w14:textId="059CA314">
            <w:r w:rsidRPr="00D74122">
              <w:t>Administrative Expenses</w:t>
            </w:r>
            <w:r w:rsidR="002A321E">
              <w:rPr>
                <w:rStyle w:val="FootnoteReference"/>
              </w:rPr>
              <w:footnoteReference w:id="161"/>
            </w:r>
          </w:p>
        </w:tc>
        <w:tc>
          <w:tcPr>
            <w:tcW w:w="4483" w:type="dxa"/>
          </w:tcPr>
          <w:p w:rsidRPr="00D74122" w:rsidR="008D11EF" w:rsidP="00A87969" w:rsidRDefault="008D11EF" w14:paraId="655119A2" w14:textId="09843621">
            <w:pPr>
              <w:jc w:val="left"/>
            </w:pPr>
            <w:r w:rsidRPr="00D74122">
              <w:t xml:space="preserve">Staffing, travel, day-to-day </w:t>
            </w:r>
            <w:proofErr w:type="gramStart"/>
            <w:r w:rsidRPr="00D74122">
              <w:t>monitoring</w:t>
            </w:r>
            <w:proofErr w:type="gramEnd"/>
            <w:r w:rsidRPr="00D74122">
              <w:t xml:space="preserve"> and oversight of subgrantees, training staff, subgrantees</w:t>
            </w:r>
            <w:r w:rsidR="00715683">
              <w:t>,</w:t>
            </w:r>
            <w:r w:rsidRPr="00D74122">
              <w:t xml:space="preserve"> and public, ongoing </w:t>
            </w:r>
            <w:r w:rsidR="00FF7AEE">
              <w:t>partner</w:t>
            </w:r>
            <w:r w:rsidRPr="00D74122">
              <w:t xml:space="preserve"> communications</w:t>
            </w:r>
          </w:p>
        </w:tc>
        <w:tc>
          <w:tcPr>
            <w:tcW w:w="990" w:type="dxa"/>
          </w:tcPr>
          <w:p w:rsidRPr="00D74122" w:rsidR="008D11EF" w:rsidP="008D11EF" w:rsidRDefault="008D11EF" w14:paraId="73514C9E" w14:textId="77777777">
            <w:r w:rsidRPr="00D74122">
              <w:t>2%</w:t>
            </w:r>
          </w:p>
        </w:tc>
        <w:tc>
          <w:tcPr>
            <w:tcW w:w="2245" w:type="dxa"/>
          </w:tcPr>
          <w:p w:rsidRPr="00D74122" w:rsidR="00FB37A4" w:rsidP="008D11EF" w:rsidRDefault="00B85987" w14:paraId="1B952295" w14:textId="6E7E7A6D">
            <w:r>
              <w:t>$28,024,438.03</w:t>
            </w:r>
          </w:p>
        </w:tc>
      </w:tr>
      <w:tr w:rsidR="008D11EF" w:rsidTr="0042348B" w14:paraId="3C829F3D" w14:textId="1ADDF3F8">
        <w:tc>
          <w:tcPr>
            <w:tcW w:w="1632" w:type="dxa"/>
          </w:tcPr>
          <w:p w:rsidRPr="00D74122" w:rsidR="008D11EF" w:rsidP="008D11EF" w:rsidRDefault="008D11EF" w14:paraId="2974F464" w14:textId="77777777">
            <w:r w:rsidRPr="00D74122">
              <w:t>Non-Deployment Expenses</w:t>
            </w:r>
          </w:p>
        </w:tc>
        <w:tc>
          <w:tcPr>
            <w:tcW w:w="4483" w:type="dxa"/>
          </w:tcPr>
          <w:p w:rsidRPr="00D74122" w:rsidR="008D11EF" w:rsidP="00A87969" w:rsidRDefault="008D11EF" w14:paraId="06D06E1C" w14:textId="12A8DD74">
            <w:pPr>
              <w:jc w:val="left"/>
            </w:pPr>
            <w:r w:rsidRPr="00D74122">
              <w:t>Workforce program, digital opportunity program supplementation, training</w:t>
            </w:r>
            <w:r w:rsidR="00206BAE">
              <w:t>,</w:t>
            </w:r>
            <w:r w:rsidRPr="00D74122">
              <w:t xml:space="preserve"> and capacity building</w:t>
            </w:r>
          </w:p>
        </w:tc>
        <w:tc>
          <w:tcPr>
            <w:tcW w:w="990" w:type="dxa"/>
          </w:tcPr>
          <w:p w:rsidR="008D11EF" w:rsidP="008D11EF" w:rsidRDefault="008D11EF" w14:paraId="051CCA1E" w14:textId="77777777">
            <w:r w:rsidRPr="00D74122">
              <w:t>0%</w:t>
            </w:r>
          </w:p>
        </w:tc>
        <w:tc>
          <w:tcPr>
            <w:tcW w:w="2245" w:type="dxa"/>
          </w:tcPr>
          <w:p w:rsidRPr="00D74122" w:rsidR="00FB37A4" w:rsidP="008D11EF" w:rsidRDefault="00B05813" w14:paraId="749C7944" w14:textId="54F14806">
            <w:r>
              <w:t>$0.00</w:t>
            </w:r>
          </w:p>
        </w:tc>
      </w:tr>
    </w:tbl>
    <w:p w:rsidR="00206BAE" w:rsidP="00D74122" w:rsidRDefault="00206BAE" w14:paraId="554DDEE5" w14:textId="77777777"/>
    <w:p w:rsidR="00B55FB9" w:rsidP="000D3581" w:rsidRDefault="006B7DEC" w14:paraId="21A5D184" w14:textId="59E07E67">
      <w:pPr>
        <w:spacing w:before="200"/>
      </w:pPr>
      <w:r>
        <w:t>As explained above in Sections 5.5 and 6</w:t>
      </w:r>
      <w:r w:rsidR="006E0F9D">
        <w:t>, ADECA does not anticipate having non-deployment expenses based on its internal modeling</w:t>
      </w:r>
      <w:r w:rsidR="004965E8">
        <w:t xml:space="preserve"> and therefore </w:t>
      </w:r>
      <w:r w:rsidR="00CA4F38">
        <w:t>will not initially request funds for non-deployment activities</w:t>
      </w:r>
      <w:r w:rsidR="006E0F9D">
        <w:t>. If, however, ADECA has additional BEAD funds available after provisionally awarding grants for broadband deployment to all unserved/underserved locations and eligible CAIs,</w:t>
      </w:r>
      <w:r w:rsidR="00CA4F38">
        <w:t xml:space="preserve"> </w:t>
      </w:r>
      <w:r w:rsidR="00D74122">
        <w:t xml:space="preserve">it will amend its budget as part of its </w:t>
      </w:r>
      <w:r w:rsidR="00CA4F38">
        <w:t>Final Proposal</w:t>
      </w:r>
      <w:r w:rsidR="00D74122">
        <w:t>.</w:t>
      </w:r>
      <w:r w:rsidR="00F12E30">
        <w:t xml:space="preserve"> </w:t>
      </w:r>
    </w:p>
    <w:p w:rsidR="00B55FB9" w:rsidP="006F78D2" w:rsidRDefault="00B55FB9" w14:paraId="71637E01" w14:textId="2ABA858D">
      <w:pPr>
        <w:pStyle w:val="Heading2"/>
        <w:numPr>
          <w:ilvl w:val="1"/>
          <w:numId w:val="23"/>
        </w:numPr>
      </w:pPr>
      <w:bookmarkStart w:name="_Toc146119559" w:id="327"/>
      <w:bookmarkStart w:name="_Toc150852733" w:id="328"/>
      <w:r>
        <w:t xml:space="preserve">Amount of Initial Proposal </w:t>
      </w:r>
      <w:bookmarkEnd w:id="327"/>
      <w:r w:rsidR="008A4406">
        <w:t>F</w:t>
      </w:r>
      <w:r>
        <w:t xml:space="preserve">unding </w:t>
      </w:r>
      <w:r w:rsidR="008A4406">
        <w:t>R</w:t>
      </w:r>
      <w:r>
        <w:t>equest</w:t>
      </w:r>
      <w:bookmarkEnd w:id="328"/>
    </w:p>
    <w:p w:rsidR="00B55FB9" w:rsidP="00B55FB9" w:rsidRDefault="0005333B" w14:paraId="10E5F064" w14:textId="297F67D5">
      <w:r>
        <w:t xml:space="preserve">ADECA requests </w:t>
      </w:r>
      <w:r w:rsidRPr="00CD3D71" w:rsidR="004941CC">
        <w:t>$1,401,221,901.77</w:t>
      </w:r>
      <w:r w:rsidR="004941CC">
        <w:t xml:space="preserve">, representing </w:t>
      </w:r>
      <w:r>
        <w:t>100</w:t>
      </w:r>
      <w:r w:rsidR="00CC1466">
        <w:t xml:space="preserve"> percent</w:t>
      </w:r>
      <w:r>
        <w:t xml:space="preserve"> of the </w:t>
      </w:r>
      <w:r w:rsidR="00F51133">
        <w:t xml:space="preserve">remaining </w:t>
      </w:r>
      <w:r>
        <w:t xml:space="preserve">funds </w:t>
      </w:r>
      <w:r w:rsidR="00D260CA">
        <w:t xml:space="preserve">of </w:t>
      </w:r>
      <w:r>
        <w:t>its BEAD allocatio</w:t>
      </w:r>
      <w:r w:rsidR="004941CC">
        <w:t>n</w:t>
      </w:r>
      <w:r w:rsidR="00CD3D71">
        <w:t>.</w:t>
      </w:r>
    </w:p>
    <w:p w:rsidR="00B55FB9" w:rsidP="006F78D2" w:rsidRDefault="00B55FB9" w14:paraId="6043E1E6" w14:textId="77777777">
      <w:pPr>
        <w:pStyle w:val="Heading2"/>
        <w:numPr>
          <w:ilvl w:val="1"/>
          <w:numId w:val="23"/>
        </w:numPr>
      </w:pPr>
      <w:bookmarkStart w:name="_Toc146119560" w:id="329"/>
      <w:bookmarkStart w:name="_Toc150852734" w:id="330"/>
      <w:r>
        <w:t>Certification</w:t>
      </w:r>
      <w:bookmarkEnd w:id="329"/>
      <w:bookmarkEnd w:id="330"/>
    </w:p>
    <w:p w:rsidR="00B55FB9" w:rsidP="00B55FB9" w:rsidRDefault="00B55FB9" w14:paraId="273E2FE3" w14:textId="5613567D">
      <w:r>
        <w:t>ADECA hereby certifies that:</w:t>
      </w:r>
    </w:p>
    <w:p w:rsidR="00B55FB9" w:rsidP="00B55FB9" w:rsidRDefault="00F91B20" w14:paraId="17BFF08F" w14:textId="03963569">
      <w:pPr>
        <w:ind w:left="720" w:hanging="720"/>
      </w:pPr>
      <w:sdt>
        <w:sdtPr>
          <w:id w:val="-1994168717"/>
          <w14:checkbox>
            <w14:checked w14:val="0"/>
            <w14:checkedState w14:val="2612" w14:font="MS Gothic"/>
            <w14:uncheckedState w14:val="2610" w14:font="MS Gothic"/>
          </w14:checkbox>
        </w:sdtPr>
        <w:sdtContent>
          <w:r w:rsidR="00B55FB9">
            <w:rPr>
              <w:rFonts w:ascii="Wingdings 2" w:hAnsi="Wingdings 2" w:eastAsia="Wingdings 2" w:cs="Wingdings 2"/>
            </w:rPr>
            <w:t>R</w:t>
          </w:r>
        </w:sdtContent>
      </w:sdt>
      <w:r w:rsidR="00B55FB9">
        <w:tab/>
      </w:r>
      <w:r w:rsidR="00B55FB9">
        <w:t xml:space="preserve">ADECA will </w:t>
      </w:r>
      <w:r w:rsidRPr="006E4892" w:rsidR="00B55FB9">
        <w:t>adhere to BEAD Program requirements regarding Initial Proposal funds usage</w:t>
      </w:r>
    </w:p>
    <w:p w:rsidR="000207A3" w:rsidRDefault="000207A3" w14:paraId="46B79246" w14:textId="77777777">
      <w:pPr>
        <w:jc w:val="left"/>
        <w:rPr>
          <w:rFonts w:ascii="Georgia" w:hAnsi="Georgia" w:eastAsiaTheme="majorEastAsia" w:cstheme="majorBidi"/>
          <w:b/>
          <w:bCs/>
          <w:color w:val="242451"/>
          <w:sz w:val="28"/>
          <w:szCs w:val="28"/>
        </w:rPr>
      </w:pPr>
      <w:r>
        <w:br w:type="page"/>
      </w:r>
    </w:p>
    <w:p w:rsidR="005F616E" w:rsidP="006F78D2" w:rsidRDefault="005F616E" w14:paraId="24EC3E50" w14:textId="746223CA">
      <w:pPr>
        <w:pStyle w:val="Heading1"/>
      </w:pPr>
      <w:bookmarkStart w:name="_Toc150852735" w:id="331"/>
      <w:r>
        <w:t xml:space="preserve">Eligible Entity </w:t>
      </w:r>
      <w:r w:rsidR="00B02BC2">
        <w:t>r</w:t>
      </w:r>
      <w:r>
        <w:t xml:space="preserve">egulatory </w:t>
      </w:r>
      <w:r w:rsidR="00B02BC2">
        <w:t>a</w:t>
      </w:r>
      <w:r>
        <w:t>pproach (Requirement 18)</w:t>
      </w:r>
      <w:bookmarkEnd w:id="331"/>
    </w:p>
    <w:p w:rsidR="00DC57BD" w:rsidP="003C6F51" w:rsidRDefault="4CAE0FBA" w14:paraId="29228A79" w14:textId="25A95F2D">
      <w:r>
        <w:t>A</w:t>
      </w:r>
      <w:r w:rsidR="49F7DA1D">
        <w:t>labama</w:t>
      </w:r>
      <w:r w:rsidR="000202B0">
        <w:t xml:space="preserve"> law</w:t>
      </w:r>
      <w:r w:rsidR="62059D47">
        <w:t xml:space="preserve"> support</w:t>
      </w:r>
      <w:r w:rsidR="000202B0">
        <w:t>s</w:t>
      </w:r>
      <w:r w:rsidR="62059D47">
        <w:t xml:space="preserve"> public sector </w:t>
      </w:r>
      <w:r w:rsidR="004C1BA4">
        <w:t xml:space="preserve">provider </w:t>
      </w:r>
      <w:r w:rsidR="62059D47">
        <w:t xml:space="preserve">participation in the BEAD </w:t>
      </w:r>
      <w:r w:rsidR="00456967">
        <w:t>P</w:t>
      </w:r>
      <w:r w:rsidR="62059D47">
        <w:t>rogram</w:t>
      </w:r>
      <w:r w:rsidR="54341353">
        <w:t xml:space="preserve">. </w:t>
      </w:r>
      <w:r w:rsidR="009E6503">
        <w:t xml:space="preserve">In accordance with the BEAD NOFO, ADECA will allow </w:t>
      </w:r>
      <w:r w:rsidR="0034404D">
        <w:t xml:space="preserve">public sector providers </w:t>
      </w:r>
      <w:r w:rsidR="0014555B">
        <w:t xml:space="preserve">such as </w:t>
      </w:r>
      <w:r w:rsidR="003C6F51">
        <w:t>cooperatives, nonprofit organizations, public-private partnerships, public</w:t>
      </w:r>
      <w:r w:rsidR="008D58C1">
        <w:t xml:space="preserve"> </w:t>
      </w:r>
      <w:r w:rsidR="003C6F51">
        <w:t>utilities, public utility districts, local governments</w:t>
      </w:r>
      <w:r w:rsidR="008D58C1">
        <w:t>, and other non-traditional broadband providers</w:t>
      </w:r>
      <w:r w:rsidR="003C6F51">
        <w:t xml:space="preserve"> to apply for </w:t>
      </w:r>
      <w:r w:rsidR="00DD42EC">
        <w:t xml:space="preserve">the </w:t>
      </w:r>
      <w:r w:rsidR="003C6F51">
        <w:t xml:space="preserve">BEAD </w:t>
      </w:r>
      <w:r w:rsidR="00DD42EC">
        <w:t>Program in addition to privately-owned ISPs.</w:t>
      </w:r>
      <w:r w:rsidR="008D58C1">
        <w:rPr>
          <w:rStyle w:val="FootnoteReference"/>
        </w:rPr>
        <w:footnoteReference w:id="162"/>
      </w:r>
      <w:r w:rsidR="00600AE4">
        <w:t xml:space="preserve"> </w:t>
      </w:r>
      <w:r w:rsidR="00670CE8">
        <w:t>As explained below, Alabama law</w:t>
      </w:r>
      <w:r w:rsidR="00832A34">
        <w:t>s</w:t>
      </w:r>
      <w:r w:rsidR="00670CE8">
        <w:t xml:space="preserve"> do not preclude public sector providers from </w:t>
      </w:r>
      <w:r w:rsidR="00961131">
        <w:t xml:space="preserve">participation in the BEAD subgrant competition. </w:t>
      </w:r>
      <w:r w:rsidR="00F67BCF">
        <w:t>To the extent Alabama law</w:t>
      </w:r>
      <w:r w:rsidR="00E55D82">
        <w:t>s</w:t>
      </w:r>
      <w:r w:rsidR="00F67BCF">
        <w:t xml:space="preserve"> impose specific requirements </w:t>
      </w:r>
      <w:r w:rsidR="0030539C">
        <w:t xml:space="preserve">on certain public sector providers, such laws predate </w:t>
      </w:r>
      <w:r w:rsidR="00C01FA8">
        <w:t xml:space="preserve">the </w:t>
      </w:r>
      <w:r w:rsidR="000B4185">
        <w:t xml:space="preserve">enactment of the IIJA </w:t>
      </w:r>
      <w:r w:rsidR="00946F8A">
        <w:t xml:space="preserve">and will not prevent such providers from </w:t>
      </w:r>
      <w:r w:rsidR="00C01FA8">
        <w:t>competing</w:t>
      </w:r>
      <w:r w:rsidR="00946F8A">
        <w:t xml:space="preserve"> for BEAD grants.</w:t>
      </w:r>
    </w:p>
    <w:p w:rsidR="4CAE0FBA" w:rsidP="7EEAD058" w:rsidRDefault="00946F8A" w14:paraId="117451F5" w14:textId="52152D16">
      <w:r>
        <w:t xml:space="preserve">ADECA does not have the authority to waive </w:t>
      </w:r>
      <w:r w:rsidR="00126D0E">
        <w:t xml:space="preserve">state statutes. Instead, state statutes may be </w:t>
      </w:r>
      <w:r w:rsidR="00673ECF">
        <w:t>amended</w:t>
      </w:r>
      <w:r w:rsidR="00D91F4B">
        <w:t xml:space="preserve"> or</w:t>
      </w:r>
      <w:r w:rsidR="00673ECF">
        <w:t xml:space="preserve"> rescinded</w:t>
      </w:r>
      <w:r w:rsidR="00D91F4B">
        <w:t xml:space="preserve"> </w:t>
      </w:r>
      <w:r w:rsidR="003E19BA">
        <w:t>by the Alabama Legislature. The Alabama Legislature currently is not in session</w:t>
      </w:r>
      <w:r w:rsidR="004B10C2">
        <w:t>.</w:t>
      </w:r>
      <w:r w:rsidR="00673ECF">
        <w:t xml:space="preserve"> The Alabama Legislature </w:t>
      </w:r>
      <w:r w:rsidR="003A618E">
        <w:t xml:space="preserve">is expected to reconvene </w:t>
      </w:r>
      <w:r w:rsidR="009B5682">
        <w:t xml:space="preserve">on </w:t>
      </w:r>
      <w:r w:rsidR="00D36013">
        <w:t>February</w:t>
      </w:r>
      <w:r w:rsidR="00C863B9">
        <w:t xml:space="preserve"> 6,</w:t>
      </w:r>
      <w:r w:rsidR="00D36013">
        <w:t xml:space="preserve"> 2024</w:t>
      </w:r>
      <w:r w:rsidR="0098289B">
        <w:t>.</w:t>
      </w:r>
      <w:r w:rsidR="00AD4D73">
        <w:rPr>
          <w:rStyle w:val="FootnoteReference"/>
        </w:rPr>
        <w:footnoteReference w:id="163"/>
      </w:r>
      <w:r w:rsidR="0098289B">
        <w:t xml:space="preserve"> </w:t>
      </w:r>
      <w:r w:rsidR="004E3D01">
        <w:t xml:space="preserve">With some limited exceptions, the length of the legislative session is limited to 30 meeting days </w:t>
      </w:r>
      <w:r w:rsidRPr="00572908" w:rsidR="00572908">
        <w:t>within a period of 105 calendar days</w:t>
      </w:r>
      <w:r w:rsidR="004E3D01">
        <w:t>.</w:t>
      </w:r>
      <w:r w:rsidR="000A4E2E">
        <w:rPr>
          <w:rStyle w:val="FootnoteReference"/>
        </w:rPr>
        <w:footnoteReference w:id="164"/>
      </w:r>
    </w:p>
    <w:p w:rsidR="00E278D8" w:rsidP="0042348B" w:rsidRDefault="000130B6" w14:paraId="1501D4F1" w14:textId="4245153F">
      <w:pPr>
        <w:keepNext/>
      </w:pPr>
      <w:r w:rsidRPr="009E5B94">
        <w:rPr>
          <w:b/>
          <w:bCs/>
        </w:rPr>
        <w:t>Alabama law</w:t>
      </w:r>
      <w:r w:rsidR="000A4E2E">
        <w:rPr>
          <w:b/>
          <w:bCs/>
        </w:rPr>
        <w:t>s</w:t>
      </w:r>
      <w:r w:rsidRPr="009E5B94">
        <w:rPr>
          <w:b/>
          <w:bCs/>
        </w:rPr>
        <w:t xml:space="preserve"> do</w:t>
      </w:r>
      <w:r w:rsidR="00CE0F09">
        <w:rPr>
          <w:b/>
          <w:bCs/>
        </w:rPr>
        <w:t xml:space="preserve"> </w:t>
      </w:r>
      <w:r w:rsidRPr="009E5B94">
        <w:rPr>
          <w:b/>
          <w:bCs/>
        </w:rPr>
        <w:t>not preclude public sector providers from particip</w:t>
      </w:r>
      <w:r w:rsidR="00661C92">
        <w:rPr>
          <w:b/>
          <w:bCs/>
        </w:rPr>
        <w:t xml:space="preserve">ation in </w:t>
      </w:r>
      <w:r w:rsidR="000A4E2E">
        <w:rPr>
          <w:b/>
          <w:bCs/>
        </w:rPr>
        <w:t xml:space="preserve">the </w:t>
      </w:r>
      <w:r w:rsidR="00661C92">
        <w:rPr>
          <w:b/>
          <w:bCs/>
        </w:rPr>
        <w:t xml:space="preserve">BEAD subgrant </w:t>
      </w:r>
      <w:r w:rsidRPr="009E5B94">
        <w:rPr>
          <w:b/>
          <w:bCs/>
        </w:rPr>
        <w:t>competition.</w:t>
      </w:r>
      <w:r>
        <w:t xml:space="preserve"> </w:t>
      </w:r>
    </w:p>
    <w:p w:rsidR="000130B6" w:rsidP="7EEAD058" w:rsidRDefault="009E5B94" w14:paraId="6B526B29" w14:textId="4E067EF9">
      <w:r w:rsidRPr="009E5B94">
        <w:t>Under the Alabama Broadband Accessibility Act</w:t>
      </w:r>
      <w:r w:rsidR="00A76FBA">
        <w:t>,</w:t>
      </w:r>
      <w:r w:rsidR="00A76FBA">
        <w:rPr>
          <w:rStyle w:val="FootnoteReference"/>
        </w:rPr>
        <w:footnoteReference w:id="165"/>
      </w:r>
      <w:r w:rsidR="00A76FBA">
        <w:t xml:space="preserve"> </w:t>
      </w:r>
      <w:r w:rsidRPr="009E5B94">
        <w:t>ADECA may award broadband grants to “entities that are cooperatives, corporations, limited liability companies, partnerships, other private business entities, or units of government, which provide broadband services.”</w:t>
      </w:r>
      <w:r w:rsidR="00A76FBA">
        <w:rPr>
          <w:rStyle w:val="FootnoteReference"/>
        </w:rPr>
        <w:footnoteReference w:id="166"/>
      </w:r>
      <w:r w:rsidR="00F12E30">
        <w:t xml:space="preserve"> </w:t>
      </w:r>
      <w:r>
        <w:t xml:space="preserve">While the Alabama Broadband Accessibility Act applies to the state-supported Alabama Broadband Accessibility Fund, </w:t>
      </w:r>
      <w:r w:rsidR="00C0770D">
        <w:t xml:space="preserve">ADECA also allows </w:t>
      </w:r>
      <w:r>
        <w:t xml:space="preserve">public sector providers </w:t>
      </w:r>
      <w:r w:rsidR="00C0770D">
        <w:t>to</w:t>
      </w:r>
      <w:r>
        <w:t xml:space="preserve"> apply for federal-supported broadband grant programs.</w:t>
      </w:r>
      <w:r w:rsidR="00F12E30">
        <w:t xml:space="preserve"> </w:t>
      </w:r>
      <w:r>
        <w:t>In particular,</w:t>
      </w:r>
      <w:r w:rsidR="6E383D25">
        <w:t xml:space="preserve"> </w:t>
      </w:r>
      <w:r w:rsidR="007E0BCB">
        <w:t xml:space="preserve">ADECA allows public sector providers to apply for </w:t>
      </w:r>
      <w:r w:rsidR="00E8577F">
        <w:t xml:space="preserve">broadband grants through the Alabama Capital Projects Fund </w:t>
      </w:r>
      <w:r w:rsidR="00A51186">
        <w:t>as well as the AIMM Program</w:t>
      </w:r>
      <w:r w:rsidR="00CE1CD7">
        <w:t xml:space="preserve">, both of which </w:t>
      </w:r>
      <w:r w:rsidR="00AA64D8">
        <w:t xml:space="preserve">are supported by </w:t>
      </w:r>
      <w:r w:rsidR="00EF7CBA">
        <w:t>federal American Rescue Plan Act funds</w:t>
      </w:r>
      <w:r w:rsidR="75ADB85A">
        <w:t>.</w:t>
      </w:r>
      <w:r w:rsidRPr="7EEAD058" w:rsidR="007E38A5">
        <w:rPr>
          <w:rStyle w:val="FootnoteReference"/>
        </w:rPr>
        <w:footnoteReference w:id="167"/>
      </w:r>
      <w:r w:rsidR="770CFE8C">
        <w:t xml:space="preserve"> </w:t>
      </w:r>
      <w:r>
        <w:t>In addition, Alabama counties</w:t>
      </w:r>
      <w:r w:rsidR="00B335A6">
        <w:t xml:space="preserve"> and </w:t>
      </w:r>
      <w:r>
        <w:t>municipalities can award broadband grants to public or private entities for the purpose of providing or expanding broadband infrastructure using federal award funds or any other source of funding designated for broadband infrastructure.</w:t>
      </w:r>
      <w:r w:rsidR="00A76FBA">
        <w:rPr>
          <w:rStyle w:val="FootnoteReference"/>
        </w:rPr>
        <w:footnoteReference w:id="168"/>
      </w:r>
      <w:r w:rsidR="1A207E4D">
        <w:t xml:space="preserve"> </w:t>
      </w:r>
      <w:r w:rsidR="00D42C2D">
        <w:t xml:space="preserve">In order </w:t>
      </w:r>
      <w:r w:rsidR="00A76FBA">
        <w:t>to ensure community input on such projects, these</w:t>
      </w:r>
      <w:r w:rsidR="1A207E4D">
        <w:t xml:space="preserve"> grants must be approved at a public meeting held by the county/municipality.</w:t>
      </w:r>
      <w:r w:rsidR="00A76FBA">
        <w:rPr>
          <w:rStyle w:val="FootnoteReference"/>
        </w:rPr>
        <w:footnoteReference w:id="169"/>
      </w:r>
    </w:p>
    <w:p w:rsidR="001106C8" w:rsidP="7EEAD058" w:rsidRDefault="007E38A5" w14:paraId="1EA3EDD3" w14:textId="4A853CEE">
      <w:r w:rsidRPr="00423CE5">
        <w:rPr>
          <w:b/>
          <w:bCs/>
        </w:rPr>
        <w:t xml:space="preserve">Alabama laws </w:t>
      </w:r>
      <w:r w:rsidR="00570C17">
        <w:rPr>
          <w:b/>
          <w:bCs/>
        </w:rPr>
        <w:t xml:space="preserve">that </w:t>
      </w:r>
      <w:r w:rsidRPr="00423CE5">
        <w:rPr>
          <w:b/>
          <w:bCs/>
        </w:rPr>
        <w:t>impose specific requirements on certain public sector providers</w:t>
      </w:r>
      <w:r w:rsidR="00AA34EF">
        <w:rPr>
          <w:b/>
          <w:bCs/>
        </w:rPr>
        <w:t xml:space="preserve"> predate </w:t>
      </w:r>
      <w:r w:rsidR="007839D6">
        <w:rPr>
          <w:b/>
          <w:bCs/>
        </w:rPr>
        <w:t xml:space="preserve">the </w:t>
      </w:r>
      <w:r w:rsidR="00CA7E12">
        <w:rPr>
          <w:b/>
          <w:bCs/>
        </w:rPr>
        <w:t xml:space="preserve">enactment of the </w:t>
      </w:r>
      <w:r w:rsidR="007839D6">
        <w:rPr>
          <w:b/>
          <w:bCs/>
        </w:rPr>
        <w:t>IIJA</w:t>
      </w:r>
      <w:r w:rsidRPr="00423CE5">
        <w:rPr>
          <w:b/>
          <w:bCs/>
        </w:rPr>
        <w:t>.</w:t>
      </w:r>
      <w:r w:rsidR="00423CE5">
        <w:t xml:space="preserve"> </w:t>
      </w:r>
    </w:p>
    <w:p w:rsidR="007B232E" w:rsidP="7EEAD058" w:rsidRDefault="00423CE5" w14:paraId="5C957B68" w14:textId="17D07DB3">
      <w:r w:rsidRPr="00423CE5">
        <w:rPr>
          <w:u w:val="single"/>
        </w:rPr>
        <w:t>Municipal providers:</w:t>
      </w:r>
      <w:r>
        <w:t xml:space="preserve"> </w:t>
      </w:r>
      <w:r w:rsidRPr="002052DF" w:rsidR="002052DF">
        <w:t>Under Ala. Act No. 2000-614, municipalities can “acquire, establish, purchase, construct, maintain, enlarge, extend, lease, improve, and operate” broadband networks and provide broadband services</w:t>
      </w:r>
      <w:r w:rsidRPr="003D051B" w:rsidR="003D051B">
        <w:t>, subject to certain r</w:t>
      </w:r>
      <w:r w:rsidR="00247FA5">
        <w:t>equirements</w:t>
      </w:r>
      <w:r w:rsidRPr="003D051B" w:rsidR="003D051B">
        <w:t>.</w:t>
      </w:r>
      <w:r w:rsidR="003D051B">
        <w:rPr>
          <w:rStyle w:val="FootnoteReference"/>
        </w:rPr>
        <w:footnoteReference w:id="170"/>
      </w:r>
      <w:r w:rsidRPr="003D051B" w:rsidR="003D051B">
        <w:t xml:space="preserve"> Such re</w:t>
      </w:r>
      <w:r w:rsidR="00247FA5">
        <w:t>quirements</w:t>
      </w:r>
      <w:r w:rsidRPr="003D051B" w:rsidR="003D051B">
        <w:t xml:space="preserve"> include: (a) prohibiting municipal providers from delivering services to customers outside their jurisdictions; (b) imposing certain nondiscriminatory access/unbundling requirements on municipal broadband services; (c) mandating equal application of certain broadband service rules, cost allocations, and other obligations to municipal and private providers; (d) barring municipal providers from using state/local taxes or appropriations to cover the capital costs/operating expenses of their broadband services; (e) imposing certain public hearing, petition, and local election requirements on municipal providers before broadband services can be offered; and (f) placing limits on municipal provider indebtedness/funding instruments and eminent domain powers to support broadband services.</w:t>
      </w:r>
      <w:r w:rsidR="00E20FF1">
        <w:rPr>
          <w:rStyle w:val="FootnoteReference"/>
        </w:rPr>
        <w:footnoteReference w:id="171"/>
      </w:r>
      <w:r w:rsidRPr="003D051B" w:rsidR="003D051B">
        <w:t xml:space="preserve"> </w:t>
      </w:r>
    </w:p>
    <w:p w:rsidR="00FF3987" w:rsidP="00E50688" w:rsidRDefault="00DC59F5" w14:paraId="15FF0F24" w14:textId="3CA17839">
      <w:r w:rsidRPr="00DC59F5">
        <w:rPr>
          <w:u w:val="single"/>
        </w:rPr>
        <w:t>Electric cooperatives:</w:t>
      </w:r>
      <w:r>
        <w:t xml:space="preserve"> </w:t>
      </w:r>
      <w:r w:rsidRPr="00DC59F5">
        <w:t>Under Ala. Act No. 2019-326, electric cooperatives and other electric providers can “own, operate, maintain, construct, install, and replace” broadband networks and provide broadband services over their electric easements and allow other entities to own and operate broadband networks and provide broadband services over electric easements.</w:t>
      </w:r>
      <w:r w:rsidR="00976A04">
        <w:rPr>
          <w:rStyle w:val="FootnoteReference"/>
        </w:rPr>
        <w:footnoteReference w:id="172"/>
      </w:r>
      <w:r w:rsidRPr="00DC59F5">
        <w:t xml:space="preserve"> Such broadband services are subject to </w:t>
      </w:r>
      <w:r w:rsidR="000F6C65">
        <w:t>cer</w:t>
      </w:r>
      <w:r w:rsidR="00247FA5">
        <w:t>tain requirements</w:t>
      </w:r>
      <w:r w:rsidRPr="00DC59F5">
        <w:t xml:space="preserve">, including </w:t>
      </w:r>
      <w:r w:rsidR="00247FA5">
        <w:t>obligations</w:t>
      </w:r>
      <w:r w:rsidRPr="00DC59F5" w:rsidDel="00247FA5">
        <w:t xml:space="preserve"> </w:t>
      </w:r>
      <w:r w:rsidRPr="00DC59F5">
        <w:t xml:space="preserve">to ensure nondiscriminatory rates, terms, and conditions </w:t>
      </w:r>
      <w:r w:rsidR="00875184">
        <w:t xml:space="preserve">(including rules regarding </w:t>
      </w:r>
      <w:r w:rsidR="00577CA5">
        <w:t xml:space="preserve">pole </w:t>
      </w:r>
      <w:r w:rsidR="00875184">
        <w:t xml:space="preserve">access) </w:t>
      </w:r>
      <w:r w:rsidRPr="00DC59F5">
        <w:t>as well as to avoid prohibited cross-subsidies from electric service revenues.</w:t>
      </w:r>
      <w:r w:rsidR="005F28B5">
        <w:rPr>
          <w:rStyle w:val="FootnoteReference"/>
        </w:rPr>
        <w:footnoteReference w:id="173"/>
      </w:r>
      <w:r w:rsidRPr="00DC59F5">
        <w:t xml:space="preserve"> </w:t>
      </w:r>
    </w:p>
    <w:p w:rsidR="00E50688" w:rsidP="003029ED" w:rsidRDefault="00906E21" w14:paraId="32DA441F" w14:textId="7F75C97B">
      <w:pPr>
        <w:pStyle w:val="Heading2"/>
        <w:numPr>
          <w:ilvl w:val="1"/>
          <w:numId w:val="23"/>
        </w:numPr>
        <w:spacing w:after="200"/>
      </w:pPr>
      <w:bookmarkStart w:name="_Toc150852736" w:id="332"/>
      <w:r>
        <w:t>Alabama laws imposing requirements on certain public sector providers</w:t>
      </w:r>
      <w:bookmarkEnd w:id="332"/>
    </w:p>
    <w:p w:rsidRPr="00D61E6E" w:rsidR="00D61E6E" w:rsidP="001F2DE3" w:rsidRDefault="00444AF1" w14:paraId="463F59DC" w14:textId="216FA00B">
      <w:pPr>
        <w:pStyle w:val="Caption"/>
      </w:pPr>
      <w:bookmarkStart w:name="_Toc150852796" w:id="333"/>
      <w:r>
        <w:t xml:space="preserve">Table </w:t>
      </w:r>
      <w:r>
        <w:fldChar w:fldCharType="begin"/>
      </w:r>
      <w:r>
        <w:instrText xml:space="preserve"> SEQ Table \* ARABIC </w:instrText>
      </w:r>
      <w:r>
        <w:fldChar w:fldCharType="separate"/>
      </w:r>
      <w:r>
        <w:rPr>
          <w:noProof/>
        </w:rPr>
        <w:t>21</w:t>
      </w:r>
      <w:r>
        <w:fldChar w:fldCharType="end"/>
      </w:r>
      <w:r>
        <w:t xml:space="preserve">: </w:t>
      </w:r>
      <w:r w:rsidRPr="00F61960">
        <w:t>Alabama laws imposing requirements on certain public sector providers</w:t>
      </w:r>
      <w:bookmarkEnd w:id="333"/>
    </w:p>
    <w:tbl>
      <w:tblPr>
        <w:tblStyle w:val="TableGrid"/>
        <w:tblW w:w="10529" w:type="dxa"/>
        <w:jc w:val="center"/>
        <w:tblLayout w:type="fixed"/>
        <w:tblLook w:val="04A0" w:firstRow="1" w:lastRow="0" w:firstColumn="1" w:lastColumn="0" w:noHBand="0" w:noVBand="1"/>
      </w:tblPr>
      <w:tblGrid>
        <w:gridCol w:w="1530"/>
        <w:gridCol w:w="1795"/>
        <w:gridCol w:w="2859"/>
        <w:gridCol w:w="1286"/>
        <w:gridCol w:w="3059"/>
      </w:tblGrid>
      <w:tr w:rsidRPr="007E13AC" w:rsidR="007E13AC" w:rsidTr="00630804" w14:paraId="45B9A069" w14:textId="77777777">
        <w:trPr>
          <w:trHeight w:val="635"/>
          <w:tblHeader/>
          <w:jc w:val="center"/>
        </w:trPr>
        <w:tc>
          <w:tcPr>
            <w:tcW w:w="1530" w:type="dxa"/>
            <w:shd w:val="clear" w:color="auto" w:fill="0A2458"/>
            <w:hideMark/>
          </w:tcPr>
          <w:p w:rsidRPr="00E311F0" w:rsidR="007E13AC" w:rsidP="00E311F0" w:rsidRDefault="007E13AC" w14:paraId="07F32590" w14:textId="308F7AE7">
            <w:pPr>
              <w:jc w:val="left"/>
              <w:rPr>
                <w:rFonts w:eastAsia="Times New Roman" w:cs="Calibri"/>
                <w:color w:val="FFFFFF" w:themeColor="background1"/>
              </w:rPr>
            </w:pPr>
            <w:r w:rsidRPr="00E311F0">
              <w:rPr>
                <w:rFonts w:eastAsia="Times New Roman" w:cs="Calibri"/>
                <w:color w:val="FFFFFF" w:themeColor="background1"/>
              </w:rPr>
              <w:t xml:space="preserve">Law </w:t>
            </w:r>
            <w:r w:rsidR="00E311F0">
              <w:rPr>
                <w:rFonts w:eastAsia="Times New Roman" w:cs="Calibri"/>
                <w:bCs/>
                <w:color w:val="FFFFFF" w:themeColor="background1"/>
              </w:rPr>
              <w:t>t</w:t>
            </w:r>
            <w:r w:rsidRPr="00E311F0">
              <w:rPr>
                <w:rFonts w:eastAsia="Times New Roman" w:cs="Calibri"/>
                <w:bCs/>
                <w:color w:val="FFFFFF" w:themeColor="background1"/>
              </w:rPr>
              <w:t>itle</w:t>
            </w:r>
          </w:p>
        </w:tc>
        <w:tc>
          <w:tcPr>
            <w:tcW w:w="1795" w:type="dxa"/>
            <w:shd w:val="clear" w:color="auto" w:fill="0A2458"/>
            <w:hideMark/>
          </w:tcPr>
          <w:p w:rsidRPr="00E311F0" w:rsidR="007E13AC" w:rsidP="00E311F0" w:rsidRDefault="007E13AC" w14:paraId="15F4BCFD" w14:textId="0CDFE814">
            <w:pPr>
              <w:jc w:val="left"/>
              <w:rPr>
                <w:rFonts w:eastAsia="Times New Roman" w:cs="Calibri"/>
                <w:color w:val="FFFFFF" w:themeColor="background1"/>
              </w:rPr>
            </w:pPr>
            <w:r w:rsidRPr="00E311F0">
              <w:rPr>
                <w:rFonts w:eastAsia="Times New Roman" w:cs="Calibri"/>
                <w:color w:val="FFFFFF" w:themeColor="background1"/>
              </w:rPr>
              <w:t xml:space="preserve">Publicly </w:t>
            </w:r>
            <w:r w:rsidR="00E311F0">
              <w:rPr>
                <w:rFonts w:eastAsia="Times New Roman" w:cs="Calibri"/>
                <w:bCs/>
                <w:color w:val="FFFFFF" w:themeColor="background1"/>
              </w:rPr>
              <w:t>a</w:t>
            </w:r>
            <w:r w:rsidRPr="00E311F0">
              <w:rPr>
                <w:rFonts w:eastAsia="Times New Roman" w:cs="Calibri"/>
                <w:bCs/>
                <w:color w:val="FFFFFF" w:themeColor="background1"/>
              </w:rPr>
              <w:t xml:space="preserve">ccessible </w:t>
            </w:r>
            <w:r w:rsidR="00E311F0">
              <w:rPr>
                <w:rFonts w:eastAsia="Times New Roman" w:cs="Calibri"/>
                <w:bCs/>
                <w:color w:val="FFFFFF" w:themeColor="background1"/>
              </w:rPr>
              <w:t>l</w:t>
            </w:r>
            <w:r w:rsidRPr="00E311F0">
              <w:rPr>
                <w:rFonts w:eastAsia="Times New Roman" w:cs="Calibri"/>
                <w:bCs/>
                <w:color w:val="FFFFFF" w:themeColor="background1"/>
              </w:rPr>
              <w:t>ink</w:t>
            </w:r>
          </w:p>
        </w:tc>
        <w:tc>
          <w:tcPr>
            <w:tcW w:w="2859" w:type="dxa"/>
            <w:shd w:val="clear" w:color="auto" w:fill="0A2458"/>
            <w:hideMark/>
          </w:tcPr>
          <w:p w:rsidRPr="00E311F0" w:rsidR="007E13AC" w:rsidP="00E311F0" w:rsidRDefault="007E13AC" w14:paraId="6902E7CF" w14:textId="77777777">
            <w:pPr>
              <w:jc w:val="left"/>
              <w:rPr>
                <w:rFonts w:eastAsia="Times New Roman" w:cs="Calibri"/>
                <w:color w:val="FFFFFF" w:themeColor="background1"/>
              </w:rPr>
            </w:pPr>
            <w:r w:rsidRPr="00E311F0">
              <w:rPr>
                <w:rFonts w:eastAsia="Times New Roman" w:cs="Calibri"/>
                <w:color w:val="FFFFFF" w:themeColor="background1"/>
              </w:rPr>
              <w:t>Description</w:t>
            </w:r>
          </w:p>
        </w:tc>
        <w:tc>
          <w:tcPr>
            <w:tcW w:w="1286" w:type="dxa"/>
            <w:shd w:val="clear" w:color="auto" w:fill="0A2458"/>
            <w:hideMark/>
          </w:tcPr>
          <w:p w:rsidRPr="00E311F0" w:rsidR="007E13AC" w:rsidP="00E311F0" w:rsidRDefault="007E13AC" w14:paraId="2F83EF5B" w14:textId="482FC7BF">
            <w:pPr>
              <w:jc w:val="left"/>
              <w:rPr>
                <w:rFonts w:eastAsia="Times New Roman" w:cs="Calibri"/>
                <w:color w:val="FFFFFF" w:themeColor="background1"/>
              </w:rPr>
            </w:pPr>
            <w:r w:rsidRPr="00E311F0">
              <w:rPr>
                <w:rFonts w:eastAsia="Times New Roman" w:cs="Calibri"/>
                <w:color w:val="FFFFFF" w:themeColor="background1"/>
              </w:rPr>
              <w:t xml:space="preserve">Date </w:t>
            </w:r>
            <w:r w:rsidR="00E311F0">
              <w:rPr>
                <w:rFonts w:eastAsia="Times New Roman" w:cs="Calibri"/>
                <w:bCs/>
                <w:color w:val="FFFFFF" w:themeColor="background1"/>
              </w:rPr>
              <w:t>e</w:t>
            </w:r>
            <w:r w:rsidRPr="00E311F0">
              <w:rPr>
                <w:rFonts w:eastAsia="Times New Roman" w:cs="Calibri"/>
                <w:bCs/>
                <w:color w:val="FFFFFF" w:themeColor="background1"/>
              </w:rPr>
              <w:t>nacted</w:t>
            </w:r>
          </w:p>
        </w:tc>
        <w:tc>
          <w:tcPr>
            <w:tcW w:w="3059" w:type="dxa"/>
            <w:shd w:val="clear" w:color="auto" w:fill="0A2458"/>
            <w:hideMark/>
          </w:tcPr>
          <w:p w:rsidRPr="00E311F0" w:rsidR="007E13AC" w:rsidP="00E311F0" w:rsidRDefault="007E13AC" w14:paraId="738232E6" w14:textId="77777777">
            <w:pPr>
              <w:jc w:val="left"/>
              <w:rPr>
                <w:rFonts w:eastAsia="Times New Roman" w:cs="Calibri"/>
                <w:color w:val="FFFFFF" w:themeColor="background1"/>
              </w:rPr>
            </w:pPr>
            <w:r w:rsidRPr="00E311F0">
              <w:rPr>
                <w:rFonts w:eastAsia="Times New Roman" w:cs="Calibri"/>
                <w:color w:val="FFFFFF" w:themeColor="background1"/>
              </w:rPr>
              <w:t>How will the law be applied in connection to competition for the subgrants?</w:t>
            </w:r>
          </w:p>
        </w:tc>
      </w:tr>
      <w:tr w:rsidRPr="007E13AC" w:rsidR="00223B53" w:rsidTr="00B1682D" w14:paraId="2DCF9596" w14:textId="77777777">
        <w:trPr>
          <w:trHeight w:val="1431"/>
          <w:jc w:val="center"/>
        </w:trPr>
        <w:tc>
          <w:tcPr>
            <w:tcW w:w="1530" w:type="dxa"/>
          </w:tcPr>
          <w:p w:rsidRPr="00EB1D10" w:rsidR="00223B53" w:rsidP="00E311F0" w:rsidRDefault="00223B53" w14:paraId="46439C6D" w14:textId="511C207D">
            <w:pPr>
              <w:jc w:val="left"/>
              <w:rPr>
                <w:rFonts w:eastAsia="Times New Roman" w:cs="Calibri"/>
                <w:color w:val="A6A6A6"/>
                <w:lang w:val="es-ES"/>
              </w:rPr>
            </w:pPr>
            <w:r w:rsidRPr="00EB1D10">
              <w:rPr>
                <w:lang w:val="es-ES"/>
              </w:rPr>
              <w:t>Ala</w:t>
            </w:r>
            <w:r w:rsidRPr="00EB1D10" w:rsidR="00E5336F">
              <w:rPr>
                <w:lang w:val="es-ES"/>
              </w:rPr>
              <w:t>bama</w:t>
            </w:r>
            <w:r w:rsidRPr="00EB1D10">
              <w:rPr>
                <w:lang w:val="es-ES"/>
              </w:rPr>
              <w:t xml:space="preserve"> </w:t>
            </w:r>
            <w:proofErr w:type="spellStart"/>
            <w:r w:rsidRPr="00EB1D10">
              <w:rPr>
                <w:lang w:val="es-ES"/>
              </w:rPr>
              <w:t>Act</w:t>
            </w:r>
            <w:proofErr w:type="spellEnd"/>
            <w:r w:rsidRPr="00EB1D10">
              <w:rPr>
                <w:lang w:val="es-ES"/>
              </w:rPr>
              <w:t xml:space="preserve"> No. 2000-614</w:t>
            </w:r>
            <w:r w:rsidRPr="003E40BE" w:rsidR="005C2749">
              <w:rPr>
                <w:lang w:val="es-ES"/>
              </w:rPr>
              <w:t xml:space="preserve"> (Ala. </w:t>
            </w:r>
            <w:proofErr w:type="spellStart"/>
            <w:r w:rsidRPr="00EB1D10" w:rsidR="00DC7430">
              <w:rPr>
                <w:lang w:val="es-ES"/>
              </w:rPr>
              <w:t>Code</w:t>
            </w:r>
            <w:proofErr w:type="spellEnd"/>
            <w:r w:rsidRPr="00EB1D10" w:rsidR="007E2DAC">
              <w:rPr>
                <w:lang w:val="es-ES"/>
              </w:rPr>
              <w:t xml:space="preserve"> </w:t>
            </w:r>
            <w:r w:rsidRPr="00EB1D10" w:rsidR="00BB242B">
              <w:rPr>
                <w:lang w:val="es-ES"/>
              </w:rPr>
              <w:t>§§</w:t>
            </w:r>
            <w:r w:rsidRPr="003E40BE" w:rsidR="00471174">
              <w:rPr>
                <w:lang w:val="es-ES"/>
              </w:rPr>
              <w:t xml:space="preserve"> 11</w:t>
            </w:r>
            <w:r w:rsidRPr="003E40BE" w:rsidR="00E80209">
              <w:rPr>
                <w:lang w:val="es-ES"/>
              </w:rPr>
              <w:t xml:space="preserve">-50b-1, et </w:t>
            </w:r>
            <w:proofErr w:type="spellStart"/>
            <w:r w:rsidRPr="003E40BE" w:rsidR="00E80209">
              <w:rPr>
                <w:lang w:val="es-ES"/>
              </w:rPr>
              <w:t>seq</w:t>
            </w:r>
            <w:proofErr w:type="spellEnd"/>
            <w:r w:rsidRPr="003E40BE" w:rsidR="00E80209">
              <w:rPr>
                <w:lang w:val="es-ES"/>
              </w:rPr>
              <w:t>.</w:t>
            </w:r>
            <w:r w:rsidRPr="003E40BE" w:rsidR="00EE11C7">
              <w:rPr>
                <w:lang w:val="es-ES"/>
              </w:rPr>
              <w:t>)</w:t>
            </w:r>
          </w:p>
        </w:tc>
        <w:tc>
          <w:tcPr>
            <w:tcW w:w="1795" w:type="dxa"/>
          </w:tcPr>
          <w:p w:rsidRPr="003E40BE" w:rsidR="00EE11C7" w:rsidP="00E311F0" w:rsidRDefault="003917E1" w14:paraId="59753DCD" w14:textId="31379DED">
            <w:pPr>
              <w:jc w:val="left"/>
              <w:rPr>
                <w:lang w:val="es-ES"/>
              </w:rPr>
            </w:pPr>
            <w:r w:rsidRPr="003E40BE">
              <w:rPr>
                <w:lang w:val="es-ES"/>
              </w:rPr>
              <w:t xml:space="preserve">Alabama </w:t>
            </w:r>
            <w:proofErr w:type="spellStart"/>
            <w:r w:rsidRPr="003E40BE">
              <w:rPr>
                <w:lang w:val="es-ES"/>
              </w:rPr>
              <w:t>Act</w:t>
            </w:r>
            <w:proofErr w:type="spellEnd"/>
            <w:r w:rsidRPr="003E40BE" w:rsidR="00F73820">
              <w:rPr>
                <w:lang w:val="es-ES"/>
              </w:rPr>
              <w:t xml:space="preserve"> No. 2000-614 (</w:t>
            </w:r>
            <w:hyperlink w:history="1" r:id="rId42">
              <w:r w:rsidRPr="003E40BE" w:rsidR="00EE11C7">
                <w:rPr>
                  <w:rStyle w:val="Hyperlink"/>
                  <w:lang w:val="es-ES"/>
                </w:rPr>
                <w:t>https://arc-sos.state.al.us/ucp/B01151AA.AST.pdf</w:t>
              </w:r>
            </w:hyperlink>
            <w:r w:rsidRPr="003E40BE" w:rsidR="00EE11C7">
              <w:rPr>
                <w:lang w:val="es-ES"/>
              </w:rPr>
              <w:t>)</w:t>
            </w:r>
          </w:p>
          <w:p w:rsidRPr="003E40BE" w:rsidR="00EE11C7" w:rsidP="00E311F0" w:rsidRDefault="00EE11C7" w14:paraId="37B7CAC0" w14:textId="77777777">
            <w:pPr>
              <w:jc w:val="left"/>
              <w:rPr>
                <w:lang w:val="es-ES"/>
              </w:rPr>
            </w:pPr>
          </w:p>
          <w:p w:rsidRPr="003E40BE" w:rsidR="00223B53" w:rsidP="00E311F0" w:rsidRDefault="00EE11C7" w14:paraId="2AD4DF2F" w14:textId="553B1885">
            <w:pPr>
              <w:jc w:val="left"/>
              <w:rPr>
                <w:rFonts w:eastAsia="Times New Roman" w:cs="Calibri"/>
                <w:color w:val="A6A6A6"/>
                <w:lang w:val="fr-FR"/>
              </w:rPr>
            </w:pPr>
            <w:r w:rsidRPr="003E40BE">
              <w:rPr>
                <w:lang w:val="fr-FR"/>
              </w:rPr>
              <w:t xml:space="preserve">Ala. Code §§ 11-50b-1, et </w:t>
            </w:r>
            <w:proofErr w:type="spellStart"/>
            <w:r w:rsidRPr="003E40BE">
              <w:rPr>
                <w:lang w:val="fr-FR"/>
              </w:rPr>
              <w:t>seq</w:t>
            </w:r>
            <w:proofErr w:type="spellEnd"/>
            <w:r w:rsidRPr="003E40BE">
              <w:rPr>
                <w:lang w:val="fr-FR"/>
              </w:rPr>
              <w:t>. (</w:t>
            </w:r>
            <w:hyperlink w:history="1" r:id="rId43">
              <w:r w:rsidRPr="003E40BE" w:rsidR="005F62D1">
                <w:rPr>
                  <w:rStyle w:val="Hyperlink"/>
                  <w:lang w:val="fr-FR"/>
                </w:rPr>
                <w:t>https://alison.legislature.state.al.us/code-of-alabama</w:t>
              </w:r>
            </w:hyperlink>
            <w:r w:rsidRPr="003E40BE" w:rsidR="005F62D1">
              <w:rPr>
                <w:lang w:val="fr-FR"/>
              </w:rPr>
              <w:t xml:space="preserve">) </w:t>
            </w:r>
          </w:p>
        </w:tc>
        <w:tc>
          <w:tcPr>
            <w:tcW w:w="2859" w:type="dxa"/>
          </w:tcPr>
          <w:p w:rsidRPr="00936966" w:rsidR="00223B53" w:rsidP="00E311F0" w:rsidRDefault="007257D2" w14:paraId="4382E2E5" w14:textId="2D9C6DA1">
            <w:pPr>
              <w:jc w:val="left"/>
              <w:rPr>
                <w:rFonts w:eastAsia="Times New Roman" w:cs="Calibri"/>
              </w:rPr>
            </w:pPr>
            <w:r w:rsidRPr="00936966">
              <w:rPr>
                <w:rFonts w:eastAsia="Times New Roman" w:cs="Calibri"/>
              </w:rPr>
              <w:t>S</w:t>
            </w:r>
            <w:r w:rsidRPr="00936966" w:rsidR="00C114A6">
              <w:rPr>
                <w:rFonts w:eastAsia="Times New Roman" w:cs="Calibri"/>
              </w:rPr>
              <w:t xml:space="preserve">pecific requirements on municipal </w:t>
            </w:r>
            <w:r w:rsidRPr="00936966" w:rsidR="005F62D1">
              <w:rPr>
                <w:rFonts w:eastAsia="Times New Roman" w:cs="Calibri"/>
              </w:rPr>
              <w:t xml:space="preserve">broadband </w:t>
            </w:r>
            <w:r w:rsidRPr="00936966" w:rsidR="00C114A6">
              <w:rPr>
                <w:rFonts w:eastAsia="Times New Roman" w:cs="Calibri"/>
              </w:rPr>
              <w:t>providers</w:t>
            </w:r>
            <w:r w:rsidRPr="00936966">
              <w:rPr>
                <w:rFonts w:eastAsia="Times New Roman" w:cs="Calibri"/>
              </w:rPr>
              <w:t>,</w:t>
            </w:r>
            <w:r w:rsidRPr="00936966" w:rsidR="00C114A6">
              <w:rPr>
                <w:rFonts w:eastAsia="Times New Roman" w:cs="Calibri"/>
              </w:rPr>
              <w:t xml:space="preserve"> as described above. </w:t>
            </w:r>
          </w:p>
        </w:tc>
        <w:tc>
          <w:tcPr>
            <w:tcW w:w="1286" w:type="dxa"/>
          </w:tcPr>
          <w:p w:rsidRPr="00936966" w:rsidR="00223B53" w:rsidP="00E311F0" w:rsidRDefault="00223B53" w14:paraId="0F473659" w14:textId="2D667ACD">
            <w:pPr>
              <w:jc w:val="left"/>
              <w:rPr>
                <w:rFonts w:eastAsia="Times New Roman" w:cs="Calibri"/>
              </w:rPr>
            </w:pPr>
            <w:r w:rsidRPr="00936966">
              <w:rPr>
                <w:rFonts w:eastAsia="Times New Roman" w:cs="Calibri"/>
              </w:rPr>
              <w:t>2000</w:t>
            </w:r>
          </w:p>
        </w:tc>
        <w:tc>
          <w:tcPr>
            <w:tcW w:w="3059" w:type="dxa"/>
          </w:tcPr>
          <w:p w:rsidRPr="00936966" w:rsidR="00223B53" w:rsidP="00E311F0" w:rsidRDefault="00A1538F" w14:paraId="4EBFFCCA" w14:textId="739F3F72">
            <w:pPr>
              <w:jc w:val="left"/>
            </w:pPr>
            <w:r w:rsidRPr="00936966">
              <w:t>Municipalities can “acquire, establish, purchase, construct, maintain, enlarge, extend, lease, improve, and operate” broadband networks and provide broadband services, subject to certain requirements</w:t>
            </w:r>
            <w:r w:rsidRPr="00936966" w:rsidR="002669B3">
              <w:t>.</w:t>
            </w:r>
          </w:p>
          <w:p w:rsidRPr="00936966" w:rsidR="002669B3" w:rsidP="00E311F0" w:rsidRDefault="002669B3" w14:paraId="7522A6E3" w14:textId="77777777">
            <w:pPr>
              <w:jc w:val="left"/>
            </w:pPr>
          </w:p>
          <w:p w:rsidRPr="00936966" w:rsidR="00223B53" w:rsidP="00E311F0" w:rsidRDefault="00343943" w14:paraId="39FCAEED" w14:textId="5EFD2219">
            <w:pPr>
              <w:jc w:val="left"/>
              <w:rPr>
                <w:rFonts w:eastAsia="Times New Roman" w:cs="Calibri"/>
              </w:rPr>
            </w:pPr>
            <w:r w:rsidRPr="00936966">
              <w:t>Municipal broadband providers will be able to compete for BEAD subgrants.</w:t>
            </w:r>
          </w:p>
        </w:tc>
      </w:tr>
      <w:tr w:rsidRPr="007E13AC" w:rsidR="00F82830" w:rsidTr="00B1682D" w14:paraId="1A5DABBB" w14:textId="77777777">
        <w:trPr>
          <w:trHeight w:val="1431"/>
          <w:jc w:val="center"/>
        </w:trPr>
        <w:tc>
          <w:tcPr>
            <w:tcW w:w="1530" w:type="dxa"/>
          </w:tcPr>
          <w:p w:rsidRPr="00EB1D10" w:rsidR="00F82830" w:rsidP="00E311F0" w:rsidRDefault="00F82830" w14:paraId="2849138E" w14:textId="5386626A">
            <w:pPr>
              <w:jc w:val="left"/>
              <w:rPr>
                <w:lang w:val="es-ES"/>
              </w:rPr>
            </w:pPr>
            <w:r w:rsidRPr="00EB1D10">
              <w:rPr>
                <w:lang w:val="es-ES"/>
              </w:rPr>
              <w:t xml:space="preserve">Alabama </w:t>
            </w:r>
            <w:proofErr w:type="spellStart"/>
            <w:r w:rsidRPr="00EB1D10">
              <w:rPr>
                <w:lang w:val="es-ES"/>
              </w:rPr>
              <w:t>Act</w:t>
            </w:r>
            <w:proofErr w:type="spellEnd"/>
            <w:r w:rsidRPr="00EB1D10">
              <w:rPr>
                <w:lang w:val="es-ES"/>
              </w:rPr>
              <w:t xml:space="preserve"> </w:t>
            </w:r>
            <w:r w:rsidRPr="003E40BE" w:rsidR="00596BC3">
              <w:rPr>
                <w:lang w:val="es-ES"/>
              </w:rPr>
              <w:t>No.</w:t>
            </w:r>
            <w:r w:rsidRPr="00EB1D10">
              <w:rPr>
                <w:lang w:val="es-ES"/>
              </w:rPr>
              <w:t xml:space="preserve"> 2019-326</w:t>
            </w:r>
            <w:r w:rsidRPr="00EB1D10" w:rsidR="007F2567">
              <w:rPr>
                <w:lang w:val="es-ES"/>
              </w:rPr>
              <w:t xml:space="preserve"> </w:t>
            </w:r>
            <w:r w:rsidRPr="003E40BE" w:rsidR="001E6B6F">
              <w:rPr>
                <w:lang w:val="es-ES"/>
              </w:rPr>
              <w:t xml:space="preserve">(Ala. </w:t>
            </w:r>
            <w:proofErr w:type="spellStart"/>
            <w:r w:rsidRPr="003E40BE" w:rsidR="001E6B6F">
              <w:rPr>
                <w:lang w:val="es-ES"/>
              </w:rPr>
              <w:t>Code</w:t>
            </w:r>
            <w:proofErr w:type="spellEnd"/>
            <w:r w:rsidRPr="003E40BE" w:rsidR="001E6B6F">
              <w:rPr>
                <w:lang w:val="es-ES"/>
              </w:rPr>
              <w:t xml:space="preserve"> §§ 37-16-1, et </w:t>
            </w:r>
            <w:proofErr w:type="spellStart"/>
            <w:r w:rsidRPr="003E40BE" w:rsidR="001E6B6F">
              <w:rPr>
                <w:lang w:val="es-ES"/>
              </w:rPr>
              <w:t>seq</w:t>
            </w:r>
            <w:proofErr w:type="spellEnd"/>
            <w:r w:rsidRPr="00EB1D10" w:rsidR="00261127">
              <w:rPr>
                <w:lang w:val="es-ES"/>
              </w:rPr>
              <w:t>.</w:t>
            </w:r>
            <w:r w:rsidRPr="003E40BE" w:rsidR="001E6B6F">
              <w:rPr>
                <w:lang w:val="es-ES"/>
              </w:rPr>
              <w:t>)</w:t>
            </w:r>
          </w:p>
        </w:tc>
        <w:tc>
          <w:tcPr>
            <w:tcW w:w="1795" w:type="dxa"/>
          </w:tcPr>
          <w:p w:rsidRPr="003E40BE" w:rsidR="003C0A70" w:rsidP="00E311F0" w:rsidRDefault="003C0A70" w14:paraId="3B6B016E" w14:textId="3B77F581">
            <w:pPr>
              <w:jc w:val="left"/>
              <w:rPr>
                <w:lang w:val="es-ES"/>
              </w:rPr>
            </w:pPr>
            <w:r w:rsidRPr="003E40BE">
              <w:rPr>
                <w:lang w:val="es-ES"/>
              </w:rPr>
              <w:t xml:space="preserve">Alabama </w:t>
            </w:r>
            <w:proofErr w:type="spellStart"/>
            <w:r w:rsidRPr="003E40BE">
              <w:rPr>
                <w:lang w:val="es-ES"/>
              </w:rPr>
              <w:t>Act</w:t>
            </w:r>
            <w:proofErr w:type="spellEnd"/>
            <w:r w:rsidRPr="003E40BE">
              <w:rPr>
                <w:lang w:val="es-ES"/>
              </w:rPr>
              <w:t xml:space="preserve"> No. 2019-326 (</w:t>
            </w:r>
            <w:hyperlink w:history="1" r:id="rId44">
              <w:r w:rsidRPr="003E40BE" w:rsidR="00821C07">
                <w:rPr>
                  <w:rStyle w:val="Hyperlink"/>
                  <w:lang w:val="es-ES"/>
                </w:rPr>
                <w:t>https://arc-sos.state.al.us/ucp/B19151AA.ABJ.pdf</w:t>
              </w:r>
            </w:hyperlink>
            <w:r w:rsidRPr="003E40BE" w:rsidR="00821C07">
              <w:rPr>
                <w:lang w:val="es-ES"/>
              </w:rPr>
              <w:t>)</w:t>
            </w:r>
          </w:p>
          <w:p w:rsidRPr="00EB1D10" w:rsidR="00F82830" w:rsidP="00E311F0" w:rsidRDefault="00F82830" w14:paraId="40AECBFC" w14:textId="7D3FF735">
            <w:pPr>
              <w:jc w:val="left"/>
              <w:rPr>
                <w:lang w:val="es-ES"/>
              </w:rPr>
            </w:pPr>
          </w:p>
          <w:p w:rsidRPr="003E40BE" w:rsidR="00F82830" w:rsidP="00E311F0" w:rsidRDefault="00821C07" w14:paraId="167FEBCE" w14:textId="524F8488">
            <w:pPr>
              <w:jc w:val="left"/>
              <w:rPr>
                <w:lang w:val="fr-FR"/>
              </w:rPr>
            </w:pPr>
            <w:r w:rsidRPr="003E40BE">
              <w:rPr>
                <w:lang w:val="fr-FR"/>
              </w:rPr>
              <w:t xml:space="preserve">Ala. Code §§ 37-16-1, et </w:t>
            </w:r>
            <w:proofErr w:type="spellStart"/>
            <w:r w:rsidRPr="003E40BE">
              <w:rPr>
                <w:lang w:val="fr-FR"/>
              </w:rPr>
              <w:t>seq</w:t>
            </w:r>
            <w:proofErr w:type="spellEnd"/>
            <w:r w:rsidRPr="003E40BE">
              <w:rPr>
                <w:lang w:val="fr-FR"/>
              </w:rPr>
              <w:t>. (</w:t>
            </w:r>
            <w:hyperlink w:history="1" r:id="rId45">
              <w:r w:rsidRPr="003E40BE" w:rsidR="00D4381E">
                <w:rPr>
                  <w:rStyle w:val="Hyperlink"/>
                  <w:lang w:val="fr-FR"/>
                </w:rPr>
                <w:t>https://alison.legislature.state.al.us/code-of-alabama</w:t>
              </w:r>
            </w:hyperlink>
            <w:r w:rsidRPr="003E40BE" w:rsidR="00D4381E">
              <w:rPr>
                <w:lang w:val="fr-FR"/>
              </w:rPr>
              <w:t xml:space="preserve">) </w:t>
            </w:r>
          </w:p>
        </w:tc>
        <w:tc>
          <w:tcPr>
            <w:tcW w:w="2859" w:type="dxa"/>
          </w:tcPr>
          <w:p w:rsidRPr="00936966" w:rsidR="00F82830" w:rsidP="00E311F0" w:rsidRDefault="00F82830" w14:paraId="448600AC" w14:textId="5B868881">
            <w:pPr>
              <w:jc w:val="left"/>
              <w:rPr>
                <w:rFonts w:eastAsia="Times New Roman" w:cs="Calibri"/>
              </w:rPr>
            </w:pPr>
            <w:r w:rsidRPr="00936966">
              <w:rPr>
                <w:rFonts w:eastAsia="Times New Roman" w:cs="Calibri"/>
              </w:rPr>
              <w:t>Specific requirements on electric cooperative</w:t>
            </w:r>
            <w:r w:rsidRPr="00936966" w:rsidR="00E3390A">
              <w:rPr>
                <w:rFonts w:eastAsia="Times New Roman" w:cs="Calibri"/>
              </w:rPr>
              <w:t xml:space="preserve"> </w:t>
            </w:r>
            <w:r w:rsidRPr="00936966" w:rsidR="00D4381E">
              <w:rPr>
                <w:rFonts w:eastAsia="Times New Roman" w:cs="Calibri"/>
              </w:rPr>
              <w:t>broadband providers</w:t>
            </w:r>
            <w:r w:rsidRPr="00936966">
              <w:rPr>
                <w:rFonts w:eastAsia="Times New Roman" w:cs="Calibri"/>
              </w:rPr>
              <w:t>, as described above.</w:t>
            </w:r>
          </w:p>
        </w:tc>
        <w:tc>
          <w:tcPr>
            <w:tcW w:w="1286" w:type="dxa"/>
          </w:tcPr>
          <w:p w:rsidRPr="00936966" w:rsidR="00F82830" w:rsidP="00E311F0" w:rsidRDefault="00F82830" w14:paraId="63D4A138" w14:textId="2775B81D">
            <w:pPr>
              <w:jc w:val="left"/>
              <w:rPr>
                <w:rFonts w:eastAsia="Times New Roman" w:cs="Calibri"/>
              </w:rPr>
            </w:pPr>
            <w:r w:rsidRPr="00936966">
              <w:rPr>
                <w:rFonts w:eastAsia="Times New Roman" w:cs="Calibri"/>
              </w:rPr>
              <w:t>2019</w:t>
            </w:r>
          </w:p>
        </w:tc>
        <w:tc>
          <w:tcPr>
            <w:tcW w:w="3059" w:type="dxa"/>
          </w:tcPr>
          <w:p w:rsidRPr="00936966" w:rsidR="00F82830" w:rsidP="00E311F0" w:rsidRDefault="00901700" w14:paraId="4F493ACA" w14:textId="3FF845C7">
            <w:pPr>
              <w:jc w:val="left"/>
            </w:pPr>
            <w:r w:rsidRPr="00936966">
              <w:t>Electric cooperatives and other electric providers can “own, operate, maintain, construct, install, and replace” broadband networks and provide broadband services over their electric easements and allow other entities to own and operate broadband networks and provide broadband services over electric easements, subject to certain requirements</w:t>
            </w:r>
            <w:r w:rsidRPr="00936966" w:rsidR="00343943">
              <w:t>.</w:t>
            </w:r>
          </w:p>
          <w:p w:rsidRPr="00936966" w:rsidR="00343943" w:rsidP="00E311F0" w:rsidRDefault="00343943" w14:paraId="798A0845" w14:textId="77777777">
            <w:pPr>
              <w:jc w:val="left"/>
            </w:pPr>
          </w:p>
          <w:p w:rsidRPr="00936966" w:rsidR="00F82830" w:rsidP="00E311F0" w:rsidRDefault="00343943" w14:paraId="6F39E045" w14:textId="582F0323">
            <w:pPr>
              <w:jc w:val="left"/>
              <w:rPr>
                <w:rFonts w:eastAsia="Times New Roman" w:cs="Calibri"/>
              </w:rPr>
            </w:pPr>
            <w:r w:rsidRPr="00936966">
              <w:t>Electric cooperative broadband providers will be able to compete for BEAD subgrants.</w:t>
            </w:r>
          </w:p>
        </w:tc>
      </w:tr>
    </w:tbl>
    <w:p w:rsidR="00CF15D6" w:rsidP="00630804" w:rsidRDefault="00CF15D6" w14:paraId="2D60E3FA" w14:textId="318D2C03">
      <w:pPr>
        <w:pStyle w:val="Heading2"/>
        <w:numPr>
          <w:ilvl w:val="1"/>
          <w:numId w:val="23"/>
        </w:numPr>
        <w:spacing w:before="240" w:line="240" w:lineRule="auto"/>
      </w:pPr>
      <w:bookmarkStart w:name="_Toc150852737" w:id="334"/>
      <w:r>
        <w:t>Optional attachment</w:t>
      </w:r>
      <w:bookmarkEnd w:id="334"/>
    </w:p>
    <w:p w:rsidR="000207A3" w:rsidP="00142CDB" w:rsidRDefault="005B52A5" w14:paraId="66DA098B" w14:textId="65D1EC31">
      <w:pPr>
        <w:rPr>
          <w:rFonts w:ascii="Georgia" w:hAnsi="Georgia" w:eastAsiaTheme="majorEastAsia" w:cstheme="majorBidi"/>
          <w:b/>
          <w:bCs/>
          <w:color w:val="242451"/>
          <w:sz w:val="28"/>
          <w:szCs w:val="28"/>
        </w:rPr>
      </w:pPr>
      <w:r>
        <w:t xml:space="preserve">The optional attachment is provided as a </w:t>
      </w:r>
      <w:hyperlink w:history="1" r:id="rId46">
        <w:r w:rsidRPr="009E63D8">
          <w:rPr>
            <w:rStyle w:val="Hyperlink"/>
          </w:rPr>
          <w:t>separate file</w:t>
        </w:r>
      </w:hyperlink>
      <w:r w:rsidR="004861F6">
        <w:t>. I</w:t>
      </w:r>
      <w:r>
        <w:t xml:space="preserve">ts contents appear in </w:t>
      </w:r>
      <w:r w:rsidR="004861F6">
        <w:t xml:space="preserve">Section </w:t>
      </w:r>
      <w:r>
        <w:t>1</w:t>
      </w:r>
      <w:r w:rsidR="004C0FF2">
        <w:t>6</w:t>
      </w:r>
      <w:r>
        <w:t>.</w:t>
      </w:r>
      <w:r w:rsidR="004C0FF2">
        <w:t>1</w:t>
      </w:r>
      <w:r>
        <w:t xml:space="preserve">, above. </w:t>
      </w:r>
      <w:r w:rsidR="000207A3">
        <w:br w:type="page"/>
      </w:r>
    </w:p>
    <w:p w:rsidR="00FD64A4" w:rsidP="006F78D2" w:rsidRDefault="00FD64A4" w14:paraId="7D6C9905" w14:textId="0B73719B">
      <w:pPr>
        <w:pStyle w:val="Heading1"/>
      </w:pPr>
      <w:bookmarkStart w:name="_Toc150852738" w:id="335"/>
      <w:r>
        <w:t>Certification of compliance with BEAD requirements (Requirement 19)</w:t>
      </w:r>
      <w:bookmarkEnd w:id="335"/>
    </w:p>
    <w:p w:rsidR="00A34621" w:rsidP="006F78D2" w:rsidRDefault="00A34621" w14:paraId="29018F8B" w14:textId="6579D67A">
      <w:pPr>
        <w:pStyle w:val="Heading2"/>
        <w:numPr>
          <w:ilvl w:val="1"/>
          <w:numId w:val="23"/>
        </w:numPr>
      </w:pPr>
      <w:bookmarkStart w:name="_Toc146119563" w:id="336"/>
      <w:bookmarkStart w:name="_Toc150852739" w:id="337"/>
      <w:r>
        <w:t>Certification of compliance</w:t>
      </w:r>
      <w:bookmarkEnd w:id="336"/>
      <w:bookmarkEnd w:id="337"/>
    </w:p>
    <w:p w:rsidR="00A34621" w:rsidP="00A34621" w:rsidRDefault="00BE23D8" w14:paraId="3BECA096" w14:textId="150DC4EF">
      <w:r>
        <w:t>ADECA</w:t>
      </w:r>
      <w:r w:rsidR="00A34621">
        <w:t xml:space="preserve"> hereby certifies that it will:</w:t>
      </w:r>
    </w:p>
    <w:p w:rsidR="00A34621" w:rsidP="00A34621" w:rsidRDefault="00F91B20" w14:paraId="7FD97334" w14:textId="77777777">
      <w:pPr>
        <w:ind w:left="720" w:hanging="720"/>
      </w:pPr>
      <w:sdt>
        <w:sdtPr>
          <w:id w:val="-189298180"/>
          <w14:checkbox>
            <w14:checked w14:val="0"/>
            <w14:checkedState w14:val="2612" w14:font="MS Gothic"/>
            <w14:uncheckedState w14:val="2610" w14:font="MS Gothic"/>
          </w14:checkbox>
        </w:sdtPr>
        <w:sdtContent>
          <w:r w:rsidR="00A34621">
            <w:rPr>
              <w:rFonts w:ascii="Wingdings 2" w:hAnsi="Wingdings 2" w:eastAsia="Wingdings 2" w:cs="Wingdings 2"/>
            </w:rPr>
            <w:t>R</w:t>
          </w:r>
        </w:sdtContent>
      </w:sdt>
      <w:r w:rsidR="00A34621">
        <w:tab/>
      </w:r>
      <w:r w:rsidR="00A34621">
        <w:t>C</w:t>
      </w:r>
      <w:r w:rsidRPr="003217BF" w:rsidR="00A34621">
        <w:t>omply with all applicable requirements of the BEAD Program, including the reporting requirements</w:t>
      </w:r>
    </w:p>
    <w:p w:rsidR="00EA75F1" w:rsidP="00121C09" w:rsidRDefault="00EA75F1" w14:paraId="1440EFF1" w14:textId="504BB5E5">
      <w:r w:rsidRPr="00590FF9">
        <w:rPr>
          <w:rFonts w:eastAsia="Calibri" w:cs="Calibri"/>
        </w:rPr>
        <w:t xml:space="preserve">ADECA would like to avail subgrantees of the 2 C.F.R. Part 200 exceptions and adjustments NTIA applies in the BEAD </w:t>
      </w:r>
      <w:r w:rsidRPr="00590FF9" w:rsidR="00456967">
        <w:rPr>
          <w:rFonts w:eastAsia="Calibri" w:cs="Calibri"/>
        </w:rPr>
        <w:t>P</w:t>
      </w:r>
      <w:r w:rsidRPr="00590FF9">
        <w:rPr>
          <w:rFonts w:eastAsia="Calibri" w:cs="Calibri"/>
        </w:rPr>
        <w:t>rogram. Should any revisions to this Initial Proposal be needed to accomplish this, ADECA would like an opportunity to make those revisions.</w:t>
      </w:r>
      <w:r w:rsidRPr="00630804">
        <w:rPr>
          <w:rStyle w:val="CommentReference"/>
        </w:rPr>
      </w:r>
      <w:r w:rsidRPr="00E37343">
        <w:rPr>
          <w:rStyle w:val="CommentReference"/>
        </w:rPr>
        <w:t xml:space="preserve"> </w:t>
      </w:r>
    </w:p>
    <w:p w:rsidR="00A34621" w:rsidP="006F78D2" w:rsidRDefault="00A34621" w14:paraId="5425947D" w14:textId="090F5099">
      <w:pPr>
        <w:pStyle w:val="Heading2"/>
        <w:numPr>
          <w:ilvl w:val="1"/>
          <w:numId w:val="23"/>
        </w:numPr>
      </w:pPr>
      <w:bookmarkStart w:name="_Toc146119564" w:id="338"/>
      <w:bookmarkStart w:name="_Toc150852740" w:id="339"/>
      <w:r>
        <w:t>Subgrantee accountability procedures</w:t>
      </w:r>
      <w:bookmarkEnd w:id="338"/>
      <w:r w:rsidR="007E78EF">
        <w:t xml:space="preserve"> compliance</w:t>
      </w:r>
      <w:bookmarkEnd w:id="339"/>
    </w:p>
    <w:p w:rsidR="005D0385" w:rsidP="006F78D2" w:rsidRDefault="005D0385" w14:paraId="70B859F2" w14:textId="6E37EE9A">
      <w:pPr>
        <w:pStyle w:val="Heading3"/>
        <w:numPr>
          <w:ilvl w:val="2"/>
          <w:numId w:val="23"/>
        </w:numPr>
      </w:pPr>
      <w:bookmarkStart w:name="_Toc150852741" w:id="340"/>
      <w:r>
        <w:t>Overview</w:t>
      </w:r>
      <w:bookmarkEnd w:id="340"/>
    </w:p>
    <w:p w:rsidR="005D0385" w:rsidP="005D0385" w:rsidRDefault="005D0385" w14:paraId="6B5F9238" w14:textId="54DED4BD">
      <w:r>
        <w:t xml:space="preserve">In creating the BEAD </w:t>
      </w:r>
      <w:r w:rsidR="00456967">
        <w:t>P</w:t>
      </w:r>
      <w:r>
        <w:t xml:space="preserve">rogram through </w:t>
      </w:r>
      <w:r w:rsidR="00B20F2F">
        <w:t>t</w:t>
      </w:r>
      <w:r>
        <w:t>he IIJA, Congress made a once</w:t>
      </w:r>
      <w:r w:rsidR="00397F1A">
        <w:t>-</w:t>
      </w:r>
      <w:r>
        <w:t>in</w:t>
      </w:r>
      <w:r w:rsidR="00397F1A">
        <w:t>-</w:t>
      </w:r>
      <w:r>
        <w:t>a</w:t>
      </w:r>
      <w:r w:rsidR="00397F1A">
        <w:t>-</w:t>
      </w:r>
      <w:r>
        <w:t xml:space="preserve">lifetime investment in </w:t>
      </w:r>
      <w:r w:rsidR="00154D0D">
        <w:t xml:space="preserve">broadband </w:t>
      </w:r>
      <w:r>
        <w:t xml:space="preserve">connectivity and digital opportunity. </w:t>
      </w:r>
      <w:r w:rsidR="00154D0D">
        <w:t>ADECA</w:t>
      </w:r>
      <w:r>
        <w:t xml:space="preserve"> is committed to ensuring that everyone has access to broadband and the ability to use it meaningfully. </w:t>
      </w:r>
      <w:r w:rsidR="00D930EC">
        <w:t>ADECA</w:t>
      </w:r>
      <w:r>
        <w:t xml:space="preserve">, in executing the BEAD </w:t>
      </w:r>
      <w:r w:rsidR="00456967">
        <w:t>P</w:t>
      </w:r>
      <w:r>
        <w:t>rogram, will work diligently to ensure the success of all its recipients</w:t>
      </w:r>
      <w:r w:rsidR="008D059A">
        <w:t>’</w:t>
      </w:r>
      <w:r>
        <w:t xml:space="preserve"> projects. In achieving that goal, </w:t>
      </w:r>
      <w:r w:rsidR="00D930EC">
        <w:t>ADECA</w:t>
      </w:r>
      <w:r>
        <w:t xml:space="preserve"> also takes its role as a steward of federal funding seriously. </w:t>
      </w:r>
      <w:r w:rsidR="253F91D1">
        <w:t xml:space="preserve">With its oversight of multiple federal grant programs, </w:t>
      </w:r>
      <w:r w:rsidR="009234E9">
        <w:t xml:space="preserve">including those supporting broadband deployment under the American Rescue Plan Act, </w:t>
      </w:r>
      <w:r w:rsidR="00D930EC">
        <w:t>ADECA</w:t>
      </w:r>
      <w:r>
        <w:t xml:space="preserve"> is creating and implementing robust programmatic monitoring, including effective risk-based assessments and active interventions to make sure its subgrantees meet </w:t>
      </w:r>
      <w:r w:rsidR="00D11CD1">
        <w:t xml:space="preserve">both </w:t>
      </w:r>
      <w:r>
        <w:t xml:space="preserve">BEAD and the </w:t>
      </w:r>
      <w:r w:rsidR="008D138F">
        <w:t>s</w:t>
      </w:r>
      <w:r>
        <w:t xml:space="preserve">tate goals. </w:t>
      </w:r>
      <w:r w:rsidR="00D930EC">
        <w:t>ADECA</w:t>
      </w:r>
      <w:r>
        <w:t xml:space="preserve"> will actively protect this investment</w:t>
      </w:r>
      <w:r w:rsidR="00317709">
        <w:t xml:space="preserve"> through multiple accountability procedures, including but not limited </w:t>
      </w:r>
      <w:proofErr w:type="gramStart"/>
      <w:r w:rsidR="00317709">
        <w:t>to</w:t>
      </w:r>
      <w:r>
        <w:t>:</w:t>
      </w:r>
      <w:proofErr w:type="gramEnd"/>
      <w:r>
        <w:t xml:space="preserve"> risk-based oversight and engagement, distribution of funding on a reimbursement basis, appropriate provisions to clawback funds from sub</w:t>
      </w:r>
      <w:r w:rsidR="008647F5">
        <w:t>grantees</w:t>
      </w:r>
      <w:r>
        <w:t xml:space="preserve"> if needed, timely reporting requirements</w:t>
      </w:r>
      <w:r w:rsidR="00632968">
        <w:t>,</w:t>
      </w:r>
      <w:r>
        <w:t xml:space="preserve"> and robust sub</w:t>
      </w:r>
      <w:r w:rsidR="008647F5">
        <w:t>grantee</w:t>
      </w:r>
      <w:r>
        <w:t xml:space="preserve"> monitoring</w:t>
      </w:r>
      <w:r w:rsidR="1E0A7437">
        <w:t xml:space="preserve">, consistent with </w:t>
      </w:r>
      <w:r w:rsidR="00102E93">
        <w:t xml:space="preserve">requirements set forth in the IIJA, </w:t>
      </w:r>
      <w:r w:rsidR="1E0A7437">
        <w:t xml:space="preserve">2 C.F.R. </w:t>
      </w:r>
      <w:r w:rsidR="00102E93">
        <w:t>Part</w:t>
      </w:r>
      <w:r w:rsidR="1E0A7437">
        <w:t xml:space="preserve"> 200, BEAD NOFO</w:t>
      </w:r>
      <w:r w:rsidR="20C0DEE1">
        <w:t xml:space="preserve">, and the </w:t>
      </w:r>
      <w:r w:rsidR="00102E93">
        <w:t xml:space="preserve">U.S. </w:t>
      </w:r>
      <w:r w:rsidR="20C0DEE1">
        <w:t>Department of Commerce Grants and Cooperative Agreements Manual</w:t>
      </w:r>
      <w:r>
        <w:t>.</w:t>
      </w:r>
    </w:p>
    <w:p w:rsidR="005D0385" w:rsidP="006F78D2" w:rsidRDefault="005D0385" w14:paraId="4C79718B" w14:textId="177EAE5C">
      <w:pPr>
        <w:pStyle w:val="Heading3"/>
        <w:numPr>
          <w:ilvl w:val="2"/>
          <w:numId w:val="23"/>
        </w:numPr>
      </w:pPr>
      <w:bookmarkStart w:name="_Toc150852742" w:id="341"/>
      <w:r>
        <w:t>Risk-based monitoring</w:t>
      </w:r>
      <w:bookmarkEnd w:id="341"/>
    </w:p>
    <w:p w:rsidR="005D0385" w:rsidP="005D0385" w:rsidRDefault="0066557B" w14:paraId="6A05BD6E" w14:textId="603CE6D4">
      <w:r>
        <w:t xml:space="preserve">ADECA has developed </w:t>
      </w:r>
      <w:r w:rsidR="00830C99">
        <w:t xml:space="preserve">subrecipient </w:t>
      </w:r>
      <w:r>
        <w:t>risk assessment policies and procedures for its broadband deployment programs consistent with federal law</w:t>
      </w:r>
      <w:r w:rsidR="00364F28">
        <w:t xml:space="preserve"> and includes a risk assessment question</w:t>
      </w:r>
      <w:r w:rsidR="00044337">
        <w:t>naire in its broadband program applications</w:t>
      </w:r>
      <w:r>
        <w:t>.</w:t>
      </w:r>
      <w:r w:rsidR="000D0441">
        <w:rPr>
          <w:rStyle w:val="FootnoteReference"/>
        </w:rPr>
        <w:footnoteReference w:id="174"/>
      </w:r>
      <w:r w:rsidR="00612A7A">
        <w:t xml:space="preserve"> </w:t>
      </w:r>
      <w:r>
        <w:t>ADECA</w:t>
      </w:r>
      <w:r w:rsidR="005D0385">
        <w:t xml:space="preserve"> will establish a manageable approach to its </w:t>
      </w:r>
      <w:r w:rsidR="00CD1B53">
        <w:t xml:space="preserve">BEAD </w:t>
      </w:r>
      <w:r w:rsidR="005D0385">
        <w:t xml:space="preserve">risk-based management that is pragmatic, yet effective. It is in the best interest of the state for subgrantees to successfully complete their projects and offer broadband service to those who need it most. To that end, </w:t>
      </w:r>
      <w:r w:rsidR="00D930EC">
        <w:t>ADECA</w:t>
      </w:r>
      <w:r w:rsidR="005D0385">
        <w:t xml:space="preserve"> will review the organizational, financial, and technical strengths of each subgrantee</w:t>
      </w:r>
      <w:r w:rsidR="00265066">
        <w:t xml:space="preserve"> and </w:t>
      </w:r>
      <w:r w:rsidR="00476EA2">
        <w:t xml:space="preserve">the </w:t>
      </w:r>
      <w:r w:rsidR="00265066">
        <w:t>risk of noncompliance</w:t>
      </w:r>
      <w:r w:rsidRPr="00A6342C" w:rsidR="00A6342C">
        <w:t xml:space="preserve"> with </w:t>
      </w:r>
      <w:r w:rsidR="00A6342C">
        <w:t xml:space="preserve">federal/state </w:t>
      </w:r>
      <w:r w:rsidRPr="00A6342C" w:rsidR="00A6342C">
        <w:t>statutes, regulations, and the terms and conditions of the subaward</w:t>
      </w:r>
      <w:r w:rsidR="00265066">
        <w:t xml:space="preserve"> </w:t>
      </w:r>
      <w:r w:rsidR="00A6342C">
        <w:t>agreement</w:t>
      </w:r>
      <w:r w:rsidR="005D0385">
        <w:t xml:space="preserve">. Then, it will assign a risk category and appropriate monitoring and technical assistance resources. </w:t>
      </w:r>
      <w:r w:rsidR="00D930EC">
        <w:t>ADECA</w:t>
      </w:r>
      <w:r w:rsidR="005D0385">
        <w:t xml:space="preserve"> will </w:t>
      </w:r>
      <w:r w:rsidR="0092619D">
        <w:t xml:space="preserve">proactively </w:t>
      </w:r>
      <w:r w:rsidR="005D0385">
        <w:t xml:space="preserve">monitor individual </w:t>
      </w:r>
      <w:r w:rsidR="0092619D">
        <w:t>subgrantees</w:t>
      </w:r>
      <w:r w:rsidR="006D134C">
        <w:t xml:space="preserve"> throughout the duration of their projects</w:t>
      </w:r>
      <w:r w:rsidR="005D0385">
        <w:t xml:space="preserve">, but it will also monitor the </w:t>
      </w:r>
      <w:r w:rsidR="0092619D">
        <w:t xml:space="preserve">BEAD </w:t>
      </w:r>
      <w:r w:rsidR="005D0385">
        <w:t>portfolio using program-wide data to ensure early intervention when it finds cross-cutting issues.</w:t>
      </w:r>
    </w:p>
    <w:p w:rsidR="005D0385" w:rsidP="006F78D2" w:rsidRDefault="005D0385" w14:paraId="7941204A" w14:textId="533406BC">
      <w:pPr>
        <w:pStyle w:val="Heading3"/>
        <w:numPr>
          <w:ilvl w:val="2"/>
          <w:numId w:val="23"/>
        </w:numPr>
      </w:pPr>
      <w:bookmarkStart w:name="_Toc150852743" w:id="342"/>
      <w:r>
        <w:t>Fraud, waste, and abuse</w:t>
      </w:r>
      <w:bookmarkEnd w:id="342"/>
    </w:p>
    <w:p w:rsidR="005D0385" w:rsidP="005D0385" w:rsidRDefault="005D0385" w14:paraId="5280B656" w14:textId="0B3455C7">
      <w:r>
        <w:t xml:space="preserve">The </w:t>
      </w:r>
      <w:r w:rsidR="008D138F">
        <w:t>s</w:t>
      </w:r>
      <w:r>
        <w:t xml:space="preserve">tate will </w:t>
      </w:r>
      <w:r w:rsidR="00B804C2">
        <w:t>u</w:t>
      </w:r>
      <w:r w:rsidR="006F4A21">
        <w:t>tilize</w:t>
      </w:r>
      <w:r w:rsidR="00B804C2">
        <w:t xml:space="preserve"> </w:t>
      </w:r>
      <w:r w:rsidR="004F1A92">
        <w:t xml:space="preserve">ADECA’s </w:t>
      </w:r>
      <w:r w:rsidR="00107146">
        <w:t>fraud, waste, and abuse reporting mechanism</w:t>
      </w:r>
      <w:r w:rsidR="005874DF">
        <w:t xml:space="preserve">, </w:t>
      </w:r>
      <w:r w:rsidR="003F32A7">
        <w:t>which has</w:t>
      </w:r>
      <w:r w:rsidR="005874DF">
        <w:t xml:space="preserve"> online </w:t>
      </w:r>
      <w:r w:rsidR="003F32A7">
        <w:t>and</w:t>
      </w:r>
      <w:r w:rsidR="005874DF">
        <w:t xml:space="preserve"> toll-free hotline</w:t>
      </w:r>
      <w:r w:rsidR="003F32A7">
        <w:t xml:space="preserve"> reporting methods</w:t>
      </w:r>
      <w:r>
        <w:t>.</w:t>
      </w:r>
      <w:r w:rsidR="00107146">
        <w:rPr>
          <w:rStyle w:val="FootnoteReference"/>
        </w:rPr>
        <w:footnoteReference w:id="175"/>
      </w:r>
      <w:r>
        <w:t xml:space="preserve"> The </w:t>
      </w:r>
      <w:r w:rsidR="008D138F">
        <w:t>s</w:t>
      </w:r>
      <w:r>
        <w:t>tate will also utilize federal reporting mechanisms</w:t>
      </w:r>
      <w:r w:rsidR="00DF3F7B">
        <w:t>,</w:t>
      </w:r>
      <w:r>
        <w:t xml:space="preserve"> such as the U.S. Department of Commerce’s Inspector General hotline.</w:t>
      </w:r>
      <w:r w:rsidR="001645E2">
        <w:rPr>
          <w:rStyle w:val="FootnoteReference"/>
        </w:rPr>
        <w:footnoteReference w:id="176"/>
      </w:r>
    </w:p>
    <w:p w:rsidR="005D0385" w:rsidP="006F78D2" w:rsidRDefault="005D0385" w14:paraId="2EDFDA09" w14:textId="57B9855E">
      <w:pPr>
        <w:pStyle w:val="Heading3"/>
        <w:numPr>
          <w:ilvl w:val="2"/>
          <w:numId w:val="23"/>
        </w:numPr>
      </w:pPr>
      <w:bookmarkStart w:name="_Toc150852744" w:id="343"/>
      <w:r>
        <w:t>Distribution of funds on a reimbursement basis</w:t>
      </w:r>
      <w:bookmarkEnd w:id="343"/>
    </w:p>
    <w:p w:rsidR="005D0385" w:rsidP="005D0385" w:rsidRDefault="00E41730" w14:paraId="5CBC481C" w14:textId="589A426B">
      <w:r>
        <w:t xml:space="preserve">ADECA has significant experience </w:t>
      </w:r>
      <w:r w:rsidR="00EB37FC">
        <w:t xml:space="preserve">with distribution of </w:t>
      </w:r>
      <w:r w:rsidR="001D4E9F">
        <w:t xml:space="preserve">grant </w:t>
      </w:r>
      <w:r w:rsidR="00EB37FC">
        <w:t xml:space="preserve">funding to broadband providers on a reimbursable basis, including under its longstanding state-supported Alabama </w:t>
      </w:r>
      <w:r w:rsidR="001D4E9F">
        <w:t>Broadband</w:t>
      </w:r>
      <w:r w:rsidR="00EB37FC">
        <w:t xml:space="preserve"> </w:t>
      </w:r>
      <w:r w:rsidR="001D4E9F">
        <w:t>Accessibly</w:t>
      </w:r>
      <w:r w:rsidR="00EB37FC">
        <w:t xml:space="preserve"> Fund program.</w:t>
      </w:r>
      <w:r w:rsidR="001D4E9F">
        <w:rPr>
          <w:rStyle w:val="FootnoteReference"/>
        </w:rPr>
        <w:footnoteReference w:id="177"/>
      </w:r>
      <w:r w:rsidR="00EB37FC">
        <w:t xml:space="preserve"> </w:t>
      </w:r>
      <w:r w:rsidR="005D0385">
        <w:t xml:space="preserve">Although most federal grants allow grantees and subgrantees to obtain an advanced payment to cover grant-related expenses, </w:t>
      </w:r>
      <w:r w:rsidR="00D930EC">
        <w:t>ADECA</w:t>
      </w:r>
      <w:r w:rsidR="005D0385">
        <w:t xml:space="preserve"> will indicate clearly in its guidance and through its award documentation that its BEAD subgrants will be issued on a reimbursement-only basis. </w:t>
      </w:r>
      <w:r w:rsidR="00D930EC">
        <w:t>ADECA</w:t>
      </w:r>
      <w:r w:rsidR="005D0385">
        <w:t xml:space="preserve"> will require the following from subgrantees before dis</w:t>
      </w:r>
      <w:r w:rsidR="00FA34E1">
        <w:t>bursing</w:t>
      </w:r>
      <w:r w:rsidR="005D0385">
        <w:t xml:space="preserve"> BEAD funds: </w:t>
      </w:r>
    </w:p>
    <w:p w:rsidR="005D0385" w:rsidP="00B13CF9" w:rsidRDefault="005D0385" w14:paraId="3E2746E5" w14:textId="795D0C62">
      <w:pPr>
        <w:pStyle w:val="ListParagraph"/>
        <w:numPr>
          <w:ilvl w:val="1"/>
          <w:numId w:val="9"/>
        </w:numPr>
        <w:spacing w:after="200"/>
        <w:ind w:left="720"/>
      </w:pPr>
      <w:r>
        <w:t xml:space="preserve">Reaching grant milestones </w:t>
      </w:r>
    </w:p>
    <w:p w:rsidR="005D0385" w:rsidP="001B4244" w:rsidRDefault="00D930EC" w14:paraId="03D7882D" w14:textId="793603C6">
      <w:pPr>
        <w:pStyle w:val="ListParagraph"/>
        <w:numPr>
          <w:ilvl w:val="0"/>
          <w:numId w:val="16"/>
        </w:numPr>
        <w:spacing w:after="200"/>
      </w:pPr>
      <w:r>
        <w:t>ADECA</w:t>
      </w:r>
      <w:r w:rsidR="005D0385">
        <w:t xml:space="preserve"> will require the timely reporting of the completion of grant milestones, according to the plan outlined in Section 5 (Requirement 8).</w:t>
      </w:r>
    </w:p>
    <w:p w:rsidR="000775C9" w:rsidP="001B4244" w:rsidRDefault="000775C9" w14:paraId="283BB44C" w14:textId="2E6FF76D">
      <w:pPr>
        <w:pStyle w:val="ListParagraph"/>
        <w:numPr>
          <w:ilvl w:val="0"/>
          <w:numId w:val="16"/>
        </w:numPr>
        <w:spacing w:after="200"/>
      </w:pPr>
      <w:r>
        <w:t xml:space="preserve">ADECA will </w:t>
      </w:r>
      <w:r w:rsidR="00A049A1">
        <w:t>ensure that such report</w:t>
      </w:r>
      <w:r w:rsidR="001D0534">
        <w:t>ing</w:t>
      </w:r>
      <w:r w:rsidR="003D6445">
        <w:t xml:space="preserve"> complies with the requirements set forth in BEAD NOFO Section VII.E</w:t>
      </w:r>
      <w:r w:rsidR="001D0534">
        <w:t xml:space="preserve"> and any other performance reporting requirements that NTIA may develop</w:t>
      </w:r>
      <w:r w:rsidR="00A968B6">
        <w:t>.</w:t>
      </w:r>
      <w:r>
        <w:t xml:space="preserve"> </w:t>
      </w:r>
    </w:p>
    <w:p w:rsidR="005D0385" w:rsidP="001B4244" w:rsidRDefault="005D0385" w14:paraId="7E8FD6AC" w14:textId="4AA9272E">
      <w:pPr>
        <w:pStyle w:val="ListParagraph"/>
        <w:numPr>
          <w:ilvl w:val="2"/>
          <w:numId w:val="16"/>
        </w:numPr>
        <w:spacing w:after="200"/>
        <w:ind w:left="720"/>
      </w:pPr>
      <w:r>
        <w:t xml:space="preserve">Providing compliant documentation </w:t>
      </w:r>
    </w:p>
    <w:p w:rsidR="005D0385" w:rsidP="001B4244" w:rsidRDefault="00D930EC" w14:paraId="6F2B8AC1" w14:textId="1F3D35FC">
      <w:pPr>
        <w:pStyle w:val="ListParagraph"/>
        <w:numPr>
          <w:ilvl w:val="1"/>
          <w:numId w:val="16"/>
        </w:numPr>
        <w:spacing w:after="200"/>
        <w:ind w:left="1080"/>
      </w:pPr>
      <w:r>
        <w:t>ADECA</w:t>
      </w:r>
      <w:r w:rsidR="005D0385">
        <w:t xml:space="preserve"> will require subgrantees to support a request for reimbursement through a certification and a submittal of as-builts and GIS location data, which will be verified according to procedures outlined in the </w:t>
      </w:r>
      <w:r w:rsidR="008D270A">
        <w:t>subaward</w:t>
      </w:r>
      <w:r w:rsidR="005D0385">
        <w:t xml:space="preserve"> documents. </w:t>
      </w:r>
      <w:r w:rsidR="00435B5C">
        <w:t xml:space="preserve">In administering </w:t>
      </w:r>
      <w:r w:rsidR="002D6C3E">
        <w:t>BEAD</w:t>
      </w:r>
      <w:r w:rsidR="00435B5C">
        <w:t xml:space="preserve"> funding, </w:t>
      </w:r>
      <w:r w:rsidR="00534ACE">
        <w:t>A</w:t>
      </w:r>
      <w:r w:rsidR="002D6C3E">
        <w:t>DECA</w:t>
      </w:r>
      <w:r w:rsidR="00534ACE">
        <w:t xml:space="preserve"> </w:t>
      </w:r>
      <w:r w:rsidR="000E2817">
        <w:t>benefits from its</w:t>
      </w:r>
      <w:r w:rsidR="00340D17">
        <w:t xml:space="preserve"> experience verifying</w:t>
      </w:r>
      <w:r w:rsidR="00534ACE">
        <w:t xml:space="preserve"> </w:t>
      </w:r>
      <w:r w:rsidR="00435B5C">
        <w:t xml:space="preserve">that networks have been built according to grant proposals and deliver the </w:t>
      </w:r>
      <w:r w:rsidR="00340D17">
        <w:t>promised performance.</w:t>
      </w:r>
    </w:p>
    <w:p w:rsidR="005D0385" w:rsidP="006F78D2" w:rsidRDefault="005D0385" w14:paraId="7476FB22" w14:textId="62507D41">
      <w:pPr>
        <w:pStyle w:val="Heading3"/>
        <w:numPr>
          <w:ilvl w:val="2"/>
          <w:numId w:val="23"/>
        </w:numPr>
      </w:pPr>
      <w:bookmarkStart w:name="_Toc150852745" w:id="344"/>
      <w:r>
        <w:t>Clawback provisions</w:t>
      </w:r>
      <w:bookmarkEnd w:id="344"/>
    </w:p>
    <w:p w:rsidR="005D0385" w:rsidP="005D0385" w:rsidRDefault="00842C1A" w14:paraId="138D2C48" w14:textId="6D758029">
      <w:r>
        <w:t>ADECA has developed clawback provisions for its broadband grant programs, including those supported by federal funds.</w:t>
      </w:r>
      <w:r>
        <w:rPr>
          <w:rStyle w:val="FootnoteReference"/>
        </w:rPr>
        <w:footnoteReference w:id="178"/>
      </w:r>
      <w:r w:rsidR="00441A1C">
        <w:t xml:space="preserve"> </w:t>
      </w:r>
      <w:r w:rsidR="00140BF1">
        <w:t xml:space="preserve">In its subgrant agreements with </w:t>
      </w:r>
      <w:r w:rsidR="009F60D4">
        <w:t>ISPs</w:t>
      </w:r>
      <w:r w:rsidR="00140BF1">
        <w:t>, ADECA reserves the right</w:t>
      </w:r>
      <w:r w:rsidR="009F60D4">
        <w:t xml:space="preserve"> to</w:t>
      </w:r>
      <w:r w:rsidR="00140BF1">
        <w:t xml:space="preserve"> terminate and/or recoup fund</w:t>
      </w:r>
      <w:r w:rsidR="006C7261">
        <w:t>ing</w:t>
      </w:r>
      <w:r w:rsidR="00140BF1">
        <w:t xml:space="preserve"> in response to a subgrantee’s failure to meet project milestones, </w:t>
      </w:r>
      <w:r w:rsidR="00D521F4">
        <w:t xml:space="preserve">submit required reporting on time, </w:t>
      </w:r>
      <w:r w:rsidR="009F60D4">
        <w:t>comply</w:t>
      </w:r>
      <w:r w:rsidR="00D521F4">
        <w:t xml:space="preserve"> with applicable law</w:t>
      </w:r>
      <w:r w:rsidR="006C7261">
        <w:t>s</w:t>
      </w:r>
      <w:r w:rsidR="00D521F4">
        <w:t>/program rules, and other</w:t>
      </w:r>
      <w:r w:rsidR="009F60D4">
        <w:t xml:space="preserve"> violations.</w:t>
      </w:r>
      <w:r w:rsidR="00D521F4">
        <w:t xml:space="preserve"> </w:t>
      </w:r>
      <w:r w:rsidR="00D930EC">
        <w:t>ADECA</w:t>
      </w:r>
      <w:r w:rsidR="005D0385">
        <w:t xml:space="preserve"> will work with its legal advisors to ensure </w:t>
      </w:r>
      <w:r w:rsidR="006C7261">
        <w:t xml:space="preserve">that its BEAD subgrant agreements contain similar </w:t>
      </w:r>
      <w:r w:rsidR="005D0385">
        <w:t xml:space="preserve">clawback </w:t>
      </w:r>
      <w:r w:rsidR="006C7261">
        <w:t xml:space="preserve">and other enforcement </w:t>
      </w:r>
      <w:r w:rsidR="005D0385">
        <w:t xml:space="preserve">provisions. In other words, if the </w:t>
      </w:r>
      <w:r w:rsidR="004B0688">
        <w:t xml:space="preserve">BEAD </w:t>
      </w:r>
      <w:r w:rsidR="005D0385">
        <w:t xml:space="preserve">subgrantee fails to meet its obligations under the </w:t>
      </w:r>
      <w:r w:rsidR="004B0688">
        <w:t>subaward agreement</w:t>
      </w:r>
      <w:r w:rsidR="005D0385">
        <w:t xml:space="preserve">, </w:t>
      </w:r>
      <w:r w:rsidR="00D930EC">
        <w:t>ADECA</w:t>
      </w:r>
      <w:r w:rsidR="005D0385">
        <w:t xml:space="preserve"> can deny a reimbursement request</w:t>
      </w:r>
      <w:r w:rsidR="00410F5F">
        <w:t xml:space="preserve"> and/or</w:t>
      </w:r>
      <w:r w:rsidR="005D0385">
        <w:t xml:space="preserve"> require partial or full forfeiture of BEAD funds. </w:t>
      </w:r>
      <w:r w:rsidR="008C5282">
        <w:t>In extreme cases, ADECA may also refer the subgrantee for suspension/debarment and civil/criminal remedies.</w:t>
      </w:r>
      <w:r w:rsidR="005D0385">
        <w:t xml:space="preserve"> For its purposes, </w:t>
      </w:r>
      <w:r w:rsidR="00D930EC">
        <w:t>ADECA</w:t>
      </w:r>
      <w:r w:rsidR="005D0385">
        <w:t xml:space="preserve"> considers non-performance to include </w:t>
      </w:r>
      <w:r w:rsidR="008C5282">
        <w:t>failures to</w:t>
      </w:r>
      <w:r w:rsidR="00CB07B8">
        <w:t xml:space="preserve"> meet broadband deployment </w:t>
      </w:r>
      <w:r w:rsidR="00264CB2">
        <w:t xml:space="preserve">and performance </w:t>
      </w:r>
      <w:r w:rsidR="00CB07B8">
        <w:t>commitments</w:t>
      </w:r>
      <w:r w:rsidR="00FC2463">
        <w:t>, offer low-cost service options in accordance with program rules,</w:t>
      </w:r>
      <w:r w:rsidR="008C5282">
        <w:t xml:space="preserve"> </w:t>
      </w:r>
      <w:r w:rsidR="00FC2463">
        <w:t>submit required reporting by applicable deadlines</w:t>
      </w:r>
      <w:r w:rsidR="005D0385">
        <w:t>, provid</w:t>
      </w:r>
      <w:r w:rsidR="00264CB2">
        <w:t>e</w:t>
      </w:r>
      <w:r w:rsidR="005D0385">
        <w:t xml:space="preserve"> accurate deployment data, and fulfil all additional BEAD requirements. </w:t>
      </w:r>
    </w:p>
    <w:p w:rsidR="005D0385" w:rsidP="006F78D2" w:rsidRDefault="005D0385" w14:paraId="29E89369" w14:textId="48A6403E">
      <w:pPr>
        <w:pStyle w:val="Heading3"/>
        <w:numPr>
          <w:ilvl w:val="2"/>
          <w:numId w:val="23"/>
        </w:numPr>
      </w:pPr>
      <w:bookmarkStart w:name="_Toc150852746" w:id="345"/>
      <w:r>
        <w:t>Timely reporting requirements</w:t>
      </w:r>
      <w:bookmarkEnd w:id="345"/>
    </w:p>
    <w:p w:rsidR="005D0385" w:rsidP="005D0385" w:rsidRDefault="005D0385" w14:paraId="5A6BE109" w14:textId="09F42465">
      <w:r>
        <w:t xml:space="preserve">Building on its existing broadband funding and grantmaking experience, </w:t>
      </w:r>
      <w:r w:rsidR="00D930EC">
        <w:t>ADECA</w:t>
      </w:r>
      <w:r>
        <w:t xml:space="preserve"> will require subgrantees to report on their awards </w:t>
      </w:r>
      <w:r w:rsidR="00327577">
        <w:t xml:space="preserve">on a timely basis </w:t>
      </w:r>
      <w:r>
        <w:t xml:space="preserve">to identify and mitigate risks to ensure both the </w:t>
      </w:r>
      <w:proofErr w:type="gramStart"/>
      <w:r w:rsidR="008D138F">
        <w:t>s</w:t>
      </w:r>
      <w:r>
        <w:t>tate’s</w:t>
      </w:r>
      <w:proofErr w:type="gramEnd"/>
      <w:r>
        <w:t xml:space="preserve"> and subgrantees’ compliance with </w:t>
      </w:r>
      <w:r w:rsidR="00222367">
        <w:t>requirements established by the IIJA</w:t>
      </w:r>
      <w:r w:rsidR="49CD260A">
        <w:t>, 2 C.F.R.</w:t>
      </w:r>
      <w:r w:rsidR="50C3178D">
        <w:t xml:space="preserve"> </w:t>
      </w:r>
      <w:r w:rsidR="4C5C6435">
        <w:t xml:space="preserve">Part </w:t>
      </w:r>
      <w:r w:rsidR="50C3178D">
        <w:t>200</w:t>
      </w:r>
      <w:r w:rsidR="49CD260A">
        <w:t>,</w:t>
      </w:r>
      <w:r>
        <w:t xml:space="preserve"> and BEAD </w:t>
      </w:r>
      <w:r w:rsidR="021E7D05">
        <w:t>NOFO</w:t>
      </w:r>
      <w:r>
        <w:t xml:space="preserve">. </w:t>
      </w:r>
      <w:r w:rsidR="00222367">
        <w:t>In addition to the subgrantee reporting requirements set forth in BEAD NOFO Section VII.E and any other</w:t>
      </w:r>
      <w:r w:rsidR="00AC4030">
        <w:t xml:space="preserve"> </w:t>
      </w:r>
      <w:r w:rsidR="00222367">
        <w:t>reporting requirements that NTIA may develop</w:t>
      </w:r>
      <w:r w:rsidR="00AC4030">
        <w:t>,</w:t>
      </w:r>
      <w:r w:rsidR="000173D1">
        <w:t xml:space="preserve"> ADECA’s reporting requirements will </w:t>
      </w:r>
      <w:r>
        <w:t xml:space="preserve">include: </w:t>
      </w:r>
    </w:p>
    <w:p w:rsidR="005D0385" w:rsidP="001B4244" w:rsidRDefault="005D0385" w14:paraId="77A4F174" w14:textId="7A339D5C">
      <w:pPr>
        <w:pStyle w:val="ListParagraph"/>
        <w:numPr>
          <w:ilvl w:val="2"/>
          <w:numId w:val="17"/>
        </w:numPr>
        <w:spacing w:after="200"/>
        <w:ind w:left="720"/>
      </w:pPr>
      <w:r>
        <w:t xml:space="preserve">Regular check-ins with </w:t>
      </w:r>
      <w:r w:rsidR="00D930EC">
        <w:t>ADECA</w:t>
      </w:r>
      <w:r>
        <w:t xml:space="preserve"> to discuss the project progress </w:t>
      </w:r>
    </w:p>
    <w:p w:rsidR="005D0385" w:rsidP="001B4244" w:rsidRDefault="005D0385" w14:paraId="0DCFF185" w14:textId="079DBCD1">
      <w:pPr>
        <w:pStyle w:val="ListParagraph"/>
        <w:numPr>
          <w:ilvl w:val="2"/>
          <w:numId w:val="17"/>
        </w:numPr>
        <w:spacing w:after="200"/>
        <w:ind w:left="720"/>
      </w:pPr>
      <w:r>
        <w:t xml:space="preserve">Periodic reporting on project progress and fiscal performance </w:t>
      </w:r>
    </w:p>
    <w:p w:rsidR="005D0385" w:rsidP="001B4244" w:rsidRDefault="005D0385" w14:paraId="7D7130E3" w14:textId="77ECE7A6">
      <w:pPr>
        <w:pStyle w:val="ListParagraph"/>
        <w:numPr>
          <w:ilvl w:val="2"/>
          <w:numId w:val="17"/>
        </w:numPr>
        <w:spacing w:after="200"/>
        <w:ind w:left="720"/>
      </w:pPr>
      <w:r>
        <w:t xml:space="preserve">Responses to intermittent requests from </w:t>
      </w:r>
      <w:r w:rsidR="00D930EC">
        <w:t>ADECA</w:t>
      </w:r>
      <w:r>
        <w:t xml:space="preserve"> about the project</w:t>
      </w:r>
    </w:p>
    <w:p w:rsidR="005D0385" w:rsidP="001B4244" w:rsidRDefault="005D0385" w14:paraId="7A6D6FCB" w14:textId="700DD4E6">
      <w:pPr>
        <w:pStyle w:val="ListParagraph"/>
        <w:numPr>
          <w:ilvl w:val="2"/>
          <w:numId w:val="17"/>
        </w:numPr>
        <w:spacing w:after="200"/>
        <w:ind w:left="720"/>
      </w:pPr>
      <w:r>
        <w:t>On-site inspections</w:t>
      </w:r>
    </w:p>
    <w:p w:rsidR="005D0385" w:rsidP="006F78D2" w:rsidRDefault="005D0385" w14:paraId="5366BE59" w14:textId="6467E2A6">
      <w:pPr>
        <w:pStyle w:val="Heading3"/>
        <w:numPr>
          <w:ilvl w:val="2"/>
          <w:numId w:val="23"/>
        </w:numPr>
      </w:pPr>
      <w:bookmarkStart w:name="_Toc150852747" w:id="346"/>
      <w:r>
        <w:t>Robust sub</w:t>
      </w:r>
      <w:r w:rsidR="008E3075">
        <w:t>grantee</w:t>
      </w:r>
      <w:r>
        <w:t xml:space="preserve"> monitoring</w:t>
      </w:r>
      <w:bookmarkEnd w:id="346"/>
    </w:p>
    <w:p w:rsidR="005D0385" w:rsidP="005D0385" w:rsidRDefault="00981636" w14:paraId="27A1430F" w14:textId="3A5615B5">
      <w:r>
        <w:t>ADECA</w:t>
      </w:r>
      <w:r w:rsidR="005D0385">
        <w:t xml:space="preserve"> will use various monitoring activities that produce data about subgrantee performance and progress to assess individual and portfolio risks and inform decisions about targeting technical assistance, corrective action</w:t>
      </w:r>
      <w:r w:rsidR="00E50EA6">
        <w:t>,</w:t>
      </w:r>
      <w:r w:rsidR="005D0385">
        <w:t xml:space="preserve"> or enforcement actions as needed</w:t>
      </w:r>
      <w:r w:rsidR="00E50EA6">
        <w:t xml:space="preserve"> in accordance with federal </w:t>
      </w:r>
      <w:r w:rsidR="00967CEC">
        <w:t>subrecipient monitoring and management obligations</w:t>
      </w:r>
      <w:r w:rsidR="005D0385">
        <w:t>.</w:t>
      </w:r>
      <w:r w:rsidR="00967CEC">
        <w:rPr>
          <w:rStyle w:val="FootnoteReference"/>
        </w:rPr>
        <w:footnoteReference w:id="179"/>
      </w:r>
      <w:r w:rsidR="005D0385">
        <w:t xml:space="preserve"> Such activities </w:t>
      </w:r>
      <w:r w:rsidR="00967CEC">
        <w:t xml:space="preserve">will </w:t>
      </w:r>
      <w:r w:rsidR="005D0385">
        <w:t>include:</w:t>
      </w:r>
      <w:r w:rsidR="00F12E30">
        <w:t xml:space="preserve"> </w:t>
      </w:r>
    </w:p>
    <w:p w:rsidR="005D0385" w:rsidP="001B4244" w:rsidRDefault="005D0385" w14:paraId="70967169" w14:textId="60CA01CC">
      <w:pPr>
        <w:pStyle w:val="ListParagraph"/>
        <w:numPr>
          <w:ilvl w:val="2"/>
          <w:numId w:val="18"/>
        </w:numPr>
        <w:spacing w:after="200"/>
        <w:ind w:left="720"/>
      </w:pPr>
      <w:r>
        <w:t>Desk reviews – periodic review</w:t>
      </w:r>
      <w:r w:rsidR="004E1526">
        <w:t>s</w:t>
      </w:r>
      <w:r>
        <w:t xml:space="preserve"> of subgrantees’ progress and financial reports designed to ensure that </w:t>
      </w:r>
      <w:r w:rsidR="00981636">
        <w:t>ADECA</w:t>
      </w:r>
      <w:r>
        <w:t xml:space="preserve">’s own reports to NTIA contain timely </w:t>
      </w:r>
      <w:r w:rsidR="004E1526">
        <w:t xml:space="preserve">and accurate </w:t>
      </w:r>
      <w:r>
        <w:t>information.</w:t>
      </w:r>
      <w:r w:rsidR="00D32327">
        <w:t xml:space="preserve"> </w:t>
      </w:r>
    </w:p>
    <w:p w:rsidR="005D0385" w:rsidP="001B4244" w:rsidRDefault="005D0385" w14:paraId="5689B69D" w14:textId="0BD5BEE2">
      <w:pPr>
        <w:pStyle w:val="ListParagraph"/>
        <w:numPr>
          <w:ilvl w:val="2"/>
          <w:numId w:val="18"/>
        </w:numPr>
        <w:spacing w:after="200"/>
        <w:ind w:left="720"/>
      </w:pPr>
      <w:r>
        <w:t>Field engineering reviews or audits – engineering teams evaluate constructed segments and full projects against as-built reporting and application requirements.</w:t>
      </w:r>
      <w:r w:rsidR="00F12E30">
        <w:t xml:space="preserve"> </w:t>
      </w:r>
    </w:p>
    <w:p w:rsidR="005D0385" w:rsidP="001B4244" w:rsidRDefault="005D0385" w14:paraId="7C2F8D68" w14:textId="685EC3DE">
      <w:pPr>
        <w:pStyle w:val="ListParagraph"/>
        <w:numPr>
          <w:ilvl w:val="2"/>
          <w:numId w:val="18"/>
        </w:numPr>
        <w:spacing w:after="200"/>
        <w:ind w:left="720"/>
      </w:pPr>
      <w:r>
        <w:t xml:space="preserve">Site visits – periodic visits using a standardized agenda to capture first-hand observations of </w:t>
      </w:r>
      <w:r w:rsidR="004E1526">
        <w:t>sub</w:t>
      </w:r>
      <w:r>
        <w:t>recipient performance along various dimensions, including subgrantee capacity, performance validation, safety practices, and employment practices.</w:t>
      </w:r>
      <w:r w:rsidR="00D32327">
        <w:t xml:space="preserve"> </w:t>
      </w:r>
    </w:p>
    <w:p w:rsidR="00A34621" w:rsidP="00A34621" w:rsidRDefault="005D0385" w14:paraId="40BE7054" w14:textId="0667C16E">
      <w:r>
        <w:t xml:space="preserve">In reviewing its </w:t>
      </w:r>
      <w:r w:rsidR="004E1526">
        <w:t xml:space="preserve">BEAD </w:t>
      </w:r>
      <w:r>
        <w:t xml:space="preserve">portfolio, </w:t>
      </w:r>
      <w:r w:rsidR="00981636">
        <w:t>ADECA</w:t>
      </w:r>
      <w:r>
        <w:t xml:space="preserve"> will establish and update monitoring levels for its projects based on factors including performance reporting, desk reviews, and </w:t>
      </w:r>
      <w:r w:rsidR="00981636">
        <w:t>ADECA</w:t>
      </w:r>
      <w:r>
        <w:t xml:space="preserve"> interactions.</w:t>
      </w:r>
      <w:r w:rsidR="00F12E30">
        <w:t xml:space="preserve"> </w:t>
      </w:r>
    </w:p>
    <w:p w:rsidR="00A34621" w:rsidP="006F78D2" w:rsidRDefault="00A34621" w14:paraId="64E81616" w14:textId="36AC561E">
      <w:pPr>
        <w:pStyle w:val="Heading2"/>
        <w:numPr>
          <w:ilvl w:val="1"/>
          <w:numId w:val="23"/>
        </w:numPr>
      </w:pPr>
      <w:bookmarkStart w:name="_Toc146119565" w:id="347"/>
      <w:bookmarkStart w:name="_Toc150852748" w:id="348"/>
      <w:r>
        <w:t>Certification of nondiscrimination and civil rights</w:t>
      </w:r>
      <w:bookmarkEnd w:id="347"/>
      <w:r w:rsidR="009E2F05">
        <w:t xml:space="preserve"> compliance</w:t>
      </w:r>
      <w:bookmarkEnd w:id="348"/>
    </w:p>
    <w:p w:rsidR="00A34621" w:rsidP="00A34621" w:rsidRDefault="00BE23D8" w14:paraId="36A44673" w14:textId="16BEE9A7">
      <w:r>
        <w:t xml:space="preserve">ADECA </w:t>
      </w:r>
      <w:r w:rsidR="00A34621">
        <w:t>hereby certifies that it will, in its selection of subgrantees, account for</w:t>
      </w:r>
      <w:r w:rsidR="009C1B04">
        <w:t xml:space="preserve"> and satisfy </w:t>
      </w:r>
      <w:r w:rsidR="005975A9">
        <w:t>each of the following authorities</w:t>
      </w:r>
      <w:r w:rsidR="00A34621">
        <w:t>:</w:t>
      </w:r>
    </w:p>
    <w:p w:rsidR="00A34621" w:rsidP="00A34621" w:rsidRDefault="00F91B20" w14:paraId="572F784D" w14:textId="77777777">
      <w:pPr>
        <w:ind w:left="720" w:hanging="720"/>
      </w:pPr>
      <w:sdt>
        <w:sdtPr>
          <w:id w:val="1633297589"/>
          <w14:checkbox>
            <w14:checked w14:val="0"/>
            <w14:checkedState w14:val="2612" w14:font="MS Gothic"/>
            <w14:uncheckedState w14:val="2610" w14:font="MS Gothic"/>
          </w14:checkbox>
        </w:sdtPr>
        <w:sdtContent>
          <w:r w:rsidR="00A34621">
            <w:rPr>
              <w:rFonts w:ascii="Wingdings 2" w:hAnsi="Wingdings 2" w:eastAsia="Wingdings 2" w:cs="Wingdings 2"/>
            </w:rPr>
            <w:t>R</w:t>
          </w:r>
        </w:sdtContent>
      </w:sdt>
      <w:r w:rsidR="00A34621">
        <w:tab/>
      </w:r>
      <w:r w:rsidRPr="003A0288" w:rsidR="00A34621">
        <w:t>Parts II and III of Executive Order 11246, Equal Employment Opportunity</w:t>
      </w:r>
    </w:p>
    <w:p w:rsidR="00A34621" w:rsidP="00A34621" w:rsidRDefault="00F91B20" w14:paraId="53270999" w14:textId="77777777">
      <w:pPr>
        <w:ind w:left="720" w:hanging="720"/>
      </w:pPr>
      <w:sdt>
        <w:sdtPr>
          <w:id w:val="-1709179681"/>
          <w14:checkbox>
            <w14:checked w14:val="0"/>
            <w14:checkedState w14:val="2612" w14:font="MS Gothic"/>
            <w14:uncheckedState w14:val="2610" w14:font="MS Gothic"/>
          </w14:checkbox>
        </w:sdtPr>
        <w:sdtContent>
          <w:r w:rsidR="00A34621">
            <w:rPr>
              <w:rFonts w:ascii="Wingdings 2" w:hAnsi="Wingdings 2" w:eastAsia="Wingdings 2" w:cs="Wingdings 2"/>
            </w:rPr>
            <w:t>R</w:t>
          </w:r>
        </w:sdtContent>
      </w:sdt>
      <w:r w:rsidR="00A34621">
        <w:tab/>
      </w:r>
      <w:r w:rsidRPr="003A0288" w:rsidR="00A34621">
        <w:t>Executive Order 13166, Improving Access to Services for Persons with Limited English Proficiency</w:t>
      </w:r>
    </w:p>
    <w:p w:rsidR="00A34621" w:rsidP="00A34621" w:rsidRDefault="00F91B20" w14:paraId="1BA81471" w14:textId="77777777">
      <w:pPr>
        <w:ind w:left="720" w:hanging="720"/>
      </w:pPr>
      <w:sdt>
        <w:sdtPr>
          <w:id w:val="-539822723"/>
          <w14:checkbox>
            <w14:checked w14:val="0"/>
            <w14:checkedState w14:val="2612" w14:font="MS Gothic"/>
            <w14:uncheckedState w14:val="2610" w14:font="MS Gothic"/>
          </w14:checkbox>
        </w:sdtPr>
        <w:sdtContent>
          <w:r w:rsidR="00A34621">
            <w:rPr>
              <w:rFonts w:ascii="Wingdings 2" w:hAnsi="Wingdings 2" w:eastAsia="Wingdings 2" w:cs="Wingdings 2"/>
            </w:rPr>
            <w:t>R</w:t>
          </w:r>
        </w:sdtContent>
      </w:sdt>
      <w:r w:rsidR="00A34621">
        <w:tab/>
      </w:r>
      <w:r w:rsidRPr="00592556" w:rsidR="00A34621">
        <w:t xml:space="preserve">Executive Order 13798, Promoting Free </w:t>
      </w:r>
      <w:proofErr w:type="gramStart"/>
      <w:r w:rsidRPr="00592556" w:rsidR="00A34621">
        <w:t>Speech</w:t>
      </w:r>
      <w:proofErr w:type="gramEnd"/>
      <w:r w:rsidRPr="00592556" w:rsidR="00A34621">
        <w:t xml:space="preserve"> and Religious Liberty</w:t>
      </w:r>
    </w:p>
    <w:p w:rsidR="006A1A8E" w:rsidP="006A1A8E" w:rsidRDefault="006A1A8E" w14:paraId="18B8D5FC" w14:textId="33577BDF">
      <w:r>
        <w:t xml:space="preserve">Additionally, prior to distributing any BEAD funding to a subgrantee, </w:t>
      </w:r>
      <w:r w:rsidR="00981636">
        <w:t>ADECA</w:t>
      </w:r>
      <w:r>
        <w:t xml:space="preserve"> will require the subgrantee to agree, by contract or other binding commitment (</w:t>
      </w:r>
      <w:r w:rsidR="007B4992">
        <w:t>i.e., subaward agreement</w:t>
      </w:r>
      <w:r>
        <w:t xml:space="preserve">), to abide by the non-discrimination requirements set forth in the following legal authorities, to the extent applicable, and to acknowledge that failure to do so may result in cancellation of any award and/or recoupment of funds already disbursed: </w:t>
      </w:r>
    </w:p>
    <w:p w:rsidR="006A1A8E" w:rsidP="006A1A8E" w:rsidRDefault="00F91B20" w14:paraId="05F5F58C" w14:textId="77777777">
      <w:sdt>
        <w:sdtPr>
          <w:id w:val="-506054510"/>
          <w14:checkbox>
            <w14:checked w14:val="0"/>
            <w14:checkedState w14:val="2612" w14:font="MS Gothic"/>
            <w14:uncheckedState w14:val="2610" w14:font="MS Gothic"/>
          </w14:checkbox>
        </w:sdtPr>
        <w:sdtContent>
          <w:r w:rsidR="006A1A8E">
            <w:rPr>
              <w:rFonts w:ascii="Wingdings 2" w:hAnsi="Wingdings 2" w:eastAsia="Wingdings 2" w:cs="Wingdings 2"/>
            </w:rPr>
            <w:t>R</w:t>
          </w:r>
        </w:sdtContent>
      </w:sdt>
      <w:r w:rsidR="006A1A8E">
        <w:tab/>
      </w:r>
      <w:r w:rsidR="006A1A8E">
        <w:t xml:space="preserve">Title VI of the Civil Rights Act </w:t>
      </w:r>
    </w:p>
    <w:p w:rsidR="006A1A8E" w:rsidP="006A1A8E" w:rsidRDefault="00F91B20" w14:paraId="47D9BCE6" w14:textId="77777777">
      <w:sdt>
        <w:sdtPr>
          <w:id w:val="811758900"/>
          <w14:checkbox>
            <w14:checked w14:val="0"/>
            <w14:checkedState w14:val="2612" w14:font="MS Gothic"/>
            <w14:uncheckedState w14:val="2610" w14:font="MS Gothic"/>
          </w14:checkbox>
        </w:sdtPr>
        <w:sdtContent>
          <w:r w:rsidR="006A1A8E">
            <w:rPr>
              <w:rFonts w:ascii="Wingdings 2" w:hAnsi="Wingdings 2" w:eastAsia="Wingdings 2" w:cs="Wingdings 2"/>
            </w:rPr>
            <w:t>R</w:t>
          </w:r>
        </w:sdtContent>
      </w:sdt>
      <w:r w:rsidR="006A1A8E">
        <w:tab/>
      </w:r>
      <w:r w:rsidR="006A1A8E">
        <w:t xml:space="preserve">Title IX of the Education Amendments of 1972 </w:t>
      </w:r>
    </w:p>
    <w:p w:rsidR="006A1A8E" w:rsidP="006A1A8E" w:rsidRDefault="00F91B20" w14:paraId="07309083" w14:textId="77777777">
      <w:sdt>
        <w:sdtPr>
          <w:id w:val="864948211"/>
          <w14:checkbox>
            <w14:checked w14:val="0"/>
            <w14:checkedState w14:val="2612" w14:font="MS Gothic"/>
            <w14:uncheckedState w14:val="2610" w14:font="MS Gothic"/>
          </w14:checkbox>
        </w:sdtPr>
        <w:sdtContent>
          <w:r w:rsidR="006A1A8E">
            <w:rPr>
              <w:rFonts w:ascii="Wingdings 2" w:hAnsi="Wingdings 2" w:eastAsia="Wingdings 2" w:cs="Wingdings 2"/>
            </w:rPr>
            <w:t>R</w:t>
          </w:r>
        </w:sdtContent>
      </w:sdt>
      <w:r w:rsidR="006A1A8E">
        <w:tab/>
      </w:r>
      <w:r w:rsidR="006A1A8E">
        <w:t xml:space="preserve">The Americans with Disabilities Act of 1990 </w:t>
      </w:r>
    </w:p>
    <w:p w:rsidR="006A1A8E" w:rsidP="006A1A8E" w:rsidRDefault="00F91B20" w14:paraId="6D24939B" w14:textId="77777777">
      <w:sdt>
        <w:sdtPr>
          <w:id w:val="-663391585"/>
          <w14:checkbox>
            <w14:checked w14:val="0"/>
            <w14:checkedState w14:val="2612" w14:font="MS Gothic"/>
            <w14:uncheckedState w14:val="2610" w14:font="MS Gothic"/>
          </w14:checkbox>
        </w:sdtPr>
        <w:sdtContent>
          <w:r w:rsidR="006A1A8E">
            <w:rPr>
              <w:rFonts w:ascii="Wingdings 2" w:hAnsi="Wingdings 2" w:eastAsia="Wingdings 2" w:cs="Wingdings 2"/>
            </w:rPr>
            <w:t>R</w:t>
          </w:r>
        </w:sdtContent>
      </w:sdt>
      <w:r w:rsidR="006A1A8E">
        <w:tab/>
      </w:r>
      <w:r w:rsidR="006A1A8E">
        <w:t xml:space="preserve">Section 504 of the Rehabilitation Act of 1973 </w:t>
      </w:r>
    </w:p>
    <w:p w:rsidR="006A1A8E" w:rsidP="006A1A8E" w:rsidRDefault="00F91B20" w14:paraId="2F3F8CFB" w14:textId="77777777">
      <w:sdt>
        <w:sdtPr>
          <w:id w:val="1116411475"/>
          <w14:checkbox>
            <w14:checked w14:val="0"/>
            <w14:checkedState w14:val="2612" w14:font="MS Gothic"/>
            <w14:uncheckedState w14:val="2610" w14:font="MS Gothic"/>
          </w14:checkbox>
        </w:sdtPr>
        <w:sdtContent>
          <w:r w:rsidR="006A1A8E">
            <w:rPr>
              <w:rFonts w:ascii="Wingdings 2" w:hAnsi="Wingdings 2" w:eastAsia="Wingdings 2" w:cs="Wingdings 2"/>
            </w:rPr>
            <w:t>R</w:t>
          </w:r>
        </w:sdtContent>
      </w:sdt>
      <w:r w:rsidR="006A1A8E">
        <w:tab/>
      </w:r>
      <w:r w:rsidR="006A1A8E">
        <w:t xml:space="preserve">The Age Discrimination Act of 1975 </w:t>
      </w:r>
    </w:p>
    <w:p w:rsidR="006A1A8E" w:rsidP="006A1A8E" w:rsidRDefault="00F91B20" w14:paraId="341053C6" w14:textId="77777777">
      <w:sdt>
        <w:sdtPr>
          <w:id w:val="-858276264"/>
          <w14:checkbox>
            <w14:checked w14:val="0"/>
            <w14:checkedState w14:val="2612" w14:font="MS Gothic"/>
            <w14:uncheckedState w14:val="2610" w14:font="MS Gothic"/>
          </w14:checkbox>
        </w:sdtPr>
        <w:sdtContent>
          <w:r w:rsidR="006A1A8E">
            <w:rPr>
              <w:rFonts w:ascii="Wingdings 2" w:hAnsi="Wingdings 2" w:eastAsia="Wingdings 2" w:cs="Wingdings 2"/>
            </w:rPr>
            <w:t>R</w:t>
          </w:r>
        </w:sdtContent>
      </w:sdt>
      <w:r w:rsidR="006A1A8E">
        <w:tab/>
      </w:r>
      <w:r w:rsidR="006A1A8E">
        <w:t xml:space="preserve">Any other applicable non-discrimination law(s) </w:t>
      </w:r>
    </w:p>
    <w:p w:rsidRPr="00FD64A4" w:rsidR="00A34621" w:rsidP="006F78D2" w:rsidRDefault="00357205" w14:paraId="517D06CB" w14:textId="55A56C05">
      <w:pPr>
        <w:pStyle w:val="Heading2"/>
        <w:numPr>
          <w:ilvl w:val="1"/>
          <w:numId w:val="23"/>
        </w:numPr>
      </w:pPr>
      <w:bookmarkStart w:name="_Toc150852749" w:id="349"/>
      <w:r>
        <w:t>Certification of cybersecurity and supply chain risk management</w:t>
      </w:r>
      <w:r w:rsidR="00D00AA8">
        <w:t xml:space="preserve"> compliance</w:t>
      </w:r>
      <w:bookmarkEnd w:id="349"/>
    </w:p>
    <w:p w:rsidR="006C34C5" w:rsidP="006C34C5" w:rsidRDefault="002F2131" w14:paraId="008BB1FA" w14:textId="6DC57C63">
      <w:r>
        <w:t>ADECA</w:t>
      </w:r>
      <w:r w:rsidR="006C34C5">
        <w:t xml:space="preserve"> certifies that it will ensure subgrantee compliance with the cybersecurity requirements of the BEAD NOFO to require prospective subgrantees to attest that:</w:t>
      </w:r>
    </w:p>
    <w:p w:rsidR="006C34C5" w:rsidP="006C34C5" w:rsidRDefault="00F91B20" w14:paraId="0A376CF6" w14:textId="193ABC6E">
      <w:pPr>
        <w:ind w:left="720" w:hanging="720"/>
      </w:pPr>
      <w:sdt>
        <w:sdtPr>
          <w:id w:val="-1869442771"/>
          <w14:checkbox>
            <w14:checked w14:val="0"/>
            <w14:checkedState w14:val="2612" w14:font="MS Gothic"/>
            <w14:uncheckedState w14:val="2610" w14:font="MS Gothic"/>
          </w14:checkbox>
        </w:sdtPr>
        <w:sdtContent>
          <w:r w:rsidR="006C34C5">
            <w:rPr>
              <w:rFonts w:ascii="Wingdings 2" w:hAnsi="Wingdings 2" w:eastAsia="Wingdings 2" w:cs="Wingdings 2"/>
            </w:rPr>
            <w:t>R</w:t>
          </w:r>
        </w:sdtContent>
      </w:sdt>
      <w:r w:rsidR="006C34C5">
        <w:tab/>
      </w:r>
      <w:r w:rsidR="006C34C5">
        <w:t>The prospective subgrantee has a cybersecurity risk management plan (“the plan”) in place that is either: (a) operational, if the prospective subgrantee is providing service prior to the award of the grant; or (b) ready to be operationalized upon providing service, if the prospective subgrantee is not yet providing service prior to the grant award.</w:t>
      </w:r>
    </w:p>
    <w:p w:rsidR="006C34C5" w:rsidP="006C34C5" w:rsidRDefault="00F91B20" w14:paraId="0B5BC222" w14:textId="77777777">
      <w:pPr>
        <w:ind w:left="720" w:hanging="720"/>
      </w:pPr>
      <w:sdt>
        <w:sdtPr>
          <w:id w:val="-349797444"/>
          <w14:checkbox>
            <w14:checked w14:val="0"/>
            <w14:checkedState w14:val="2612" w14:font="MS Gothic"/>
            <w14:uncheckedState w14:val="2610" w14:font="MS Gothic"/>
          </w14:checkbox>
        </w:sdtPr>
        <w:sdtContent>
          <w:r w:rsidR="006C34C5">
            <w:rPr>
              <w:rFonts w:ascii="Wingdings 2" w:hAnsi="Wingdings 2" w:eastAsia="Wingdings 2" w:cs="Wingdings 2"/>
            </w:rPr>
            <w:t>R</w:t>
          </w:r>
        </w:sdtContent>
      </w:sdt>
      <w:r w:rsidR="006C34C5">
        <w:tab/>
      </w:r>
      <w:r w:rsidR="006C34C5">
        <w:t>The plan reflects the latest version of the National Institute of Standards and Technology (NIST) Framework for Improving Critical Infrastructure Cybersecurity (currently Version 1.1) and the standards and controls set forth in Executive Order 14028 and specifies the security and privacy controls being implemented.</w:t>
      </w:r>
    </w:p>
    <w:p w:rsidR="006C34C5" w:rsidP="006C34C5" w:rsidRDefault="00F91B20" w14:paraId="5A334A22" w14:textId="77777777">
      <w:sdt>
        <w:sdtPr>
          <w:id w:val="-1978364705"/>
          <w14:checkbox>
            <w14:checked w14:val="0"/>
            <w14:checkedState w14:val="2612" w14:font="MS Gothic"/>
            <w14:uncheckedState w14:val="2610" w14:font="MS Gothic"/>
          </w14:checkbox>
        </w:sdtPr>
        <w:sdtContent>
          <w:r w:rsidR="006C34C5">
            <w:rPr>
              <w:rFonts w:ascii="Wingdings 2" w:hAnsi="Wingdings 2" w:eastAsia="Wingdings 2" w:cs="Wingdings 2"/>
            </w:rPr>
            <w:t>R</w:t>
          </w:r>
        </w:sdtContent>
      </w:sdt>
      <w:r w:rsidR="006C34C5">
        <w:tab/>
      </w:r>
      <w:r w:rsidR="006C34C5">
        <w:t>The plan will be reevaluated and updated on a periodic basis and as events warrant.</w:t>
      </w:r>
    </w:p>
    <w:p w:rsidR="006C34C5" w:rsidP="006C34C5" w:rsidRDefault="00F91B20" w14:paraId="7CAFF03F" w14:textId="17291DB2">
      <w:pPr>
        <w:ind w:left="720" w:hanging="720"/>
      </w:pPr>
      <w:sdt>
        <w:sdtPr>
          <w:id w:val="-1225679432"/>
          <w14:checkbox>
            <w14:checked w14:val="0"/>
            <w14:checkedState w14:val="2612" w14:font="MS Gothic"/>
            <w14:uncheckedState w14:val="2610" w14:font="MS Gothic"/>
          </w14:checkbox>
        </w:sdtPr>
        <w:sdtContent>
          <w:r w:rsidR="006C34C5">
            <w:rPr>
              <w:rFonts w:ascii="Wingdings 2" w:hAnsi="Wingdings 2" w:eastAsia="Wingdings 2" w:cs="Wingdings 2"/>
            </w:rPr>
            <w:t>R</w:t>
          </w:r>
        </w:sdtContent>
      </w:sdt>
      <w:r w:rsidR="006C34C5">
        <w:tab/>
      </w:r>
      <w:r w:rsidR="006C34C5">
        <w:t xml:space="preserve">The plan will be submitted to </w:t>
      </w:r>
      <w:r w:rsidR="00981636">
        <w:t>ADECA</w:t>
      </w:r>
      <w:r w:rsidR="006C34C5">
        <w:t xml:space="preserve"> prior to the allocation of funds. If the subgrantee makes any substantive changes to the plan, a new version will be submitted to </w:t>
      </w:r>
      <w:r w:rsidR="00981636">
        <w:t>ADECA</w:t>
      </w:r>
      <w:r w:rsidR="006C34C5">
        <w:t xml:space="preserve"> within 30 days.</w:t>
      </w:r>
    </w:p>
    <w:p w:rsidR="006C34C5" w:rsidP="006C34C5" w:rsidRDefault="002853C7" w14:paraId="04A0AD02" w14:textId="370DFDEE">
      <w:r>
        <w:t>ADECA</w:t>
      </w:r>
      <w:r w:rsidR="006C34C5">
        <w:t xml:space="preserve"> further certifies that it will ensure subgrantee compliance with the supply chain risk management (SCRM) requirements of the BEAD NOFO to require prospective subgrantees to attest that:</w:t>
      </w:r>
    </w:p>
    <w:p w:rsidR="006C34C5" w:rsidP="006C34C5" w:rsidRDefault="00F91B20" w14:paraId="2319CC9E" w14:textId="0C1C7159">
      <w:pPr>
        <w:ind w:left="720" w:hanging="720"/>
      </w:pPr>
      <w:sdt>
        <w:sdtPr>
          <w:id w:val="-588930387"/>
          <w14:checkbox>
            <w14:checked w14:val="0"/>
            <w14:checkedState w14:val="2612" w14:font="MS Gothic"/>
            <w14:uncheckedState w14:val="2610" w14:font="MS Gothic"/>
          </w14:checkbox>
        </w:sdtPr>
        <w:sdtContent>
          <w:r w:rsidR="006C34C5">
            <w:rPr>
              <w:rFonts w:ascii="Wingdings 2" w:hAnsi="Wingdings 2" w:eastAsia="Wingdings 2" w:cs="Wingdings 2"/>
            </w:rPr>
            <w:t>R</w:t>
          </w:r>
        </w:sdtContent>
      </w:sdt>
      <w:r w:rsidR="006C34C5">
        <w:tab/>
      </w:r>
      <w:r w:rsidR="006C34C5">
        <w:t>The prospective subgrantee has a SCRM plan in place that is either: (a) operational, if the prospective subgrantee is already providing service at the time of the grant; or (b) ready to be operationalized, if the prospective subgrantee is not yet providing service at the time of grant award.</w:t>
      </w:r>
    </w:p>
    <w:p w:rsidR="006C34C5" w:rsidP="006C34C5" w:rsidRDefault="00F91B20" w14:paraId="2FCB874A" w14:textId="77777777">
      <w:pPr>
        <w:ind w:left="720" w:hanging="720"/>
      </w:pPr>
      <w:sdt>
        <w:sdtPr>
          <w:id w:val="829094378"/>
          <w14:checkbox>
            <w14:checked w14:val="0"/>
            <w14:checkedState w14:val="2612" w14:font="MS Gothic"/>
            <w14:uncheckedState w14:val="2610" w14:font="MS Gothic"/>
          </w14:checkbox>
        </w:sdtPr>
        <w:sdtContent>
          <w:r w:rsidR="006C34C5">
            <w:rPr>
              <w:rFonts w:ascii="Wingdings 2" w:hAnsi="Wingdings 2" w:eastAsia="Wingdings 2" w:cs="Wingdings 2"/>
            </w:rPr>
            <w:t>R</w:t>
          </w:r>
        </w:sdtContent>
      </w:sdt>
      <w:r w:rsidR="006C34C5">
        <w:tab/>
      </w:r>
      <w:r w:rsidR="006C34C5">
        <w:t>The plan is based upon the key practices discussed in the NIST publication NISTIR 8276, Key Practices in Cyber Supply Chain Risk Management: Observations from Industry and related SCRM guidance from NIST, including NIST 800-161, Cybersecurity Supply Chain Risk Management Practices for Systems and Organizations and specifies the supply chain risk management controls being implemented.</w:t>
      </w:r>
    </w:p>
    <w:p w:rsidR="006C34C5" w:rsidP="006C34C5" w:rsidRDefault="00F91B20" w14:paraId="2E11FD12" w14:textId="77777777">
      <w:pPr>
        <w:ind w:left="720" w:hanging="720"/>
      </w:pPr>
      <w:sdt>
        <w:sdtPr>
          <w:id w:val="-880090550"/>
          <w14:checkbox>
            <w14:checked w14:val="0"/>
            <w14:checkedState w14:val="2612" w14:font="MS Gothic"/>
            <w14:uncheckedState w14:val="2610" w14:font="MS Gothic"/>
          </w14:checkbox>
        </w:sdtPr>
        <w:sdtContent>
          <w:r w:rsidR="006C34C5">
            <w:rPr>
              <w:rFonts w:ascii="Wingdings 2" w:hAnsi="Wingdings 2" w:eastAsia="Wingdings 2" w:cs="Wingdings 2"/>
            </w:rPr>
            <w:t>R</w:t>
          </w:r>
        </w:sdtContent>
      </w:sdt>
      <w:r w:rsidR="006C34C5">
        <w:tab/>
      </w:r>
      <w:r w:rsidRPr="00973A82" w:rsidR="006C34C5">
        <w:t>The plan will be reevaluated and updated on a periodic basis and as events warrant</w:t>
      </w:r>
      <w:r w:rsidR="006C34C5">
        <w:t>.</w:t>
      </w:r>
    </w:p>
    <w:p w:rsidR="006C34C5" w:rsidP="006C34C5" w:rsidRDefault="00F91B20" w14:paraId="0326778E" w14:textId="7C474920">
      <w:pPr>
        <w:ind w:left="720" w:hanging="720"/>
      </w:pPr>
      <w:sdt>
        <w:sdtPr>
          <w:id w:val="553121014"/>
          <w14:checkbox>
            <w14:checked w14:val="0"/>
            <w14:checkedState w14:val="2612" w14:font="MS Gothic"/>
            <w14:uncheckedState w14:val="2610" w14:font="MS Gothic"/>
          </w14:checkbox>
        </w:sdtPr>
        <w:sdtContent>
          <w:r w:rsidR="006C34C5">
            <w:rPr>
              <w:rFonts w:ascii="Wingdings 2" w:hAnsi="Wingdings 2" w:eastAsia="Wingdings 2" w:cs="Wingdings 2"/>
            </w:rPr>
            <w:t>R</w:t>
          </w:r>
        </w:sdtContent>
      </w:sdt>
      <w:r w:rsidR="006C34C5">
        <w:tab/>
      </w:r>
      <w:r w:rsidR="006C34C5">
        <w:t xml:space="preserve">The plan will be submitted to </w:t>
      </w:r>
      <w:r w:rsidR="00981636">
        <w:t>ADECA</w:t>
      </w:r>
      <w:r w:rsidR="006C34C5">
        <w:t xml:space="preserve"> prior to the allocation of funds. If the subgrantee makes any substantive changes to the plan, a new version will be submitted to </w:t>
      </w:r>
      <w:r w:rsidR="00981636">
        <w:t>ADECA</w:t>
      </w:r>
      <w:r w:rsidR="006C34C5">
        <w:t xml:space="preserve"> within 30 days. </w:t>
      </w:r>
      <w:r w:rsidR="00981636">
        <w:t>ADECA</w:t>
      </w:r>
      <w:r w:rsidR="006C34C5">
        <w:t xml:space="preserve"> will provide a subgrantee’s plan to NTIA upon NTIA’s request.</w:t>
      </w:r>
      <w:r w:rsidRPr="005A69DF" w:rsidR="006C34C5">
        <w:t xml:space="preserve"> </w:t>
      </w:r>
    </w:p>
    <w:p w:rsidR="006C34C5" w:rsidP="006C34C5" w:rsidRDefault="00981636" w14:paraId="75C53828" w14:textId="4206E605">
      <w:r>
        <w:t>ADECA</w:t>
      </w:r>
      <w:r w:rsidR="006C34C5">
        <w:t xml:space="preserve"> will ensure that, to the extent a BEAD subgrantee relies in whole or in part on network facilities owned or operated by a third party, it will obtain the above attestations from its network provider with respect to cybersecurity practices and supply chain risk management practices.</w:t>
      </w:r>
    </w:p>
    <w:p w:rsidRPr="006C34C5" w:rsidR="006C34C5" w:rsidP="006C34C5" w:rsidRDefault="00EE2741" w14:paraId="0CF8D169" w14:textId="53828C6B">
      <w:r>
        <w:t xml:space="preserve">Alabama is a </w:t>
      </w:r>
      <w:r w:rsidR="00B738AB">
        <w:t>center of cybersecurity research and expertise.</w:t>
      </w:r>
      <w:r w:rsidR="00B738AB">
        <w:rPr>
          <w:rStyle w:val="FootnoteReference"/>
        </w:rPr>
        <w:footnoteReference w:id="180"/>
      </w:r>
      <w:r w:rsidR="00B738AB">
        <w:t xml:space="preserve"> </w:t>
      </w:r>
      <w:r w:rsidR="0057054F">
        <w:t xml:space="preserve">The </w:t>
      </w:r>
      <w:r w:rsidR="004F59E6">
        <w:t>s</w:t>
      </w:r>
      <w:r w:rsidR="0057054F">
        <w:t xml:space="preserve">tate’s </w:t>
      </w:r>
      <w:r w:rsidR="00B9460A">
        <w:t>Chief Information Security Officer</w:t>
      </w:r>
      <w:r w:rsidR="00513B5A">
        <w:t xml:space="preserve"> </w:t>
      </w:r>
      <w:r w:rsidR="00B9460A">
        <w:t>is</w:t>
      </w:r>
      <w:r w:rsidRPr="00513B5A" w:rsidR="00513B5A">
        <w:t xml:space="preserve"> responsible for establishing and leading the strategic direction of security and privacy for the State of Alabama</w:t>
      </w:r>
      <w:r w:rsidR="00513B5A">
        <w:t xml:space="preserve"> and can </w:t>
      </w:r>
      <w:r w:rsidRPr="006C37DF" w:rsidR="006C37DF">
        <w:t xml:space="preserve">support the </w:t>
      </w:r>
      <w:r w:rsidR="008D138F">
        <w:t>s</w:t>
      </w:r>
      <w:r w:rsidRPr="006C37DF" w:rsidR="006C37DF">
        <w:t>tate</w:t>
      </w:r>
      <w:r w:rsidR="004F59E6">
        <w:t>’</w:t>
      </w:r>
      <w:r w:rsidRPr="006C37DF" w:rsidR="006C37DF">
        <w:t>s efforts to ensure subgrantee compliance with these requirements by setting out a framework</w:t>
      </w:r>
      <w:r w:rsidR="00A247C3">
        <w:t xml:space="preserve"> and best practices.</w:t>
      </w:r>
      <w:r w:rsidR="00FE256B">
        <w:rPr>
          <w:rStyle w:val="FootnoteReference"/>
        </w:rPr>
        <w:footnoteReference w:id="181"/>
      </w:r>
    </w:p>
    <w:p w:rsidR="000207A3" w:rsidRDefault="000207A3" w14:paraId="6A475626" w14:textId="77777777">
      <w:pPr>
        <w:jc w:val="left"/>
        <w:rPr>
          <w:rFonts w:ascii="Georgia" w:hAnsi="Georgia" w:eastAsiaTheme="majorEastAsia" w:cstheme="majorBidi"/>
          <w:b/>
          <w:bCs/>
          <w:color w:val="242451"/>
          <w:sz w:val="28"/>
          <w:szCs w:val="28"/>
        </w:rPr>
      </w:pPr>
      <w:r>
        <w:br w:type="page"/>
      </w:r>
    </w:p>
    <w:p w:rsidR="00717B01" w:rsidP="008546A3" w:rsidRDefault="00717B01" w14:paraId="098585FE" w14:textId="71E6B4D7">
      <w:pPr>
        <w:pStyle w:val="Heading1"/>
        <w:numPr>
          <w:ilvl w:val="0"/>
          <w:numId w:val="0"/>
        </w:numPr>
      </w:pPr>
      <w:bookmarkStart w:name="_Ref139867038" w:id="350"/>
      <w:bookmarkStart w:name="_Toc150852750" w:id="351"/>
      <w:bookmarkEnd w:id="14"/>
      <w:r>
        <w:t xml:space="preserve">Appendix A: </w:t>
      </w:r>
      <w:r w:rsidRPr="00E334C4" w:rsidR="00E334C4">
        <w:t xml:space="preserve">Local </w:t>
      </w:r>
      <w:r w:rsidR="005D4976">
        <w:t>c</w:t>
      </w:r>
      <w:r w:rsidRPr="00E334C4" w:rsidR="00E334C4">
        <w:t xml:space="preserve">oordination </w:t>
      </w:r>
      <w:r w:rsidR="005D4976">
        <w:t>t</w:t>
      </w:r>
      <w:r w:rsidRPr="00E334C4" w:rsidR="00E334C4">
        <w:t xml:space="preserve">racker </w:t>
      </w:r>
      <w:r w:rsidR="005D4976">
        <w:t>t</w:t>
      </w:r>
      <w:r w:rsidRPr="00E334C4" w:rsidR="00E334C4">
        <w:t>ool</w:t>
      </w:r>
      <w:bookmarkEnd w:id="350"/>
      <w:bookmarkEnd w:id="351"/>
    </w:p>
    <w:p w:rsidRPr="00384C4C" w:rsidR="00717B01" w:rsidP="006A5670" w:rsidRDefault="00F91B20" w14:paraId="62720BC2" w14:textId="509EDC17">
      <w:hyperlink w:history="1" r:id="rId47">
        <w:r w:rsidRPr="006B7B80" w:rsidR="006B7B80">
          <w:rPr>
            <w:rStyle w:val="Hyperlink"/>
          </w:rPr>
          <w:t>Appendix A</w:t>
        </w:r>
      </w:hyperlink>
    </w:p>
    <w:p w:rsidR="005561F7" w:rsidP="00321FA1" w:rsidRDefault="00717B01" w14:paraId="4D1D0385" w14:textId="3C7538C2">
      <w:pPr>
        <w:pStyle w:val="Heading1"/>
        <w:numPr>
          <w:ilvl w:val="0"/>
          <w:numId w:val="0"/>
        </w:numPr>
      </w:pPr>
      <w:r>
        <w:br w:type="page"/>
      </w:r>
      <w:bookmarkStart w:name="_Toc147758931" w:id="352"/>
      <w:bookmarkStart w:name="_Toc150852751" w:id="353"/>
      <w:r w:rsidRPr="00321FA1" w:rsidR="00321FA1">
        <w:t xml:space="preserve">Appendix B: </w:t>
      </w:r>
      <w:proofErr w:type="gramStart"/>
      <w:r w:rsidR="00C460E7">
        <w:t>Federally-recognized</w:t>
      </w:r>
      <w:proofErr w:type="gramEnd"/>
      <w:r w:rsidR="00C460E7">
        <w:t xml:space="preserve"> Tribe correspondence</w:t>
      </w:r>
      <w:bookmarkEnd w:id="353"/>
    </w:p>
    <w:p w:rsidRPr="00C460E7" w:rsidR="00C460E7" w:rsidP="00CF4FFC" w:rsidRDefault="00F91B20" w14:paraId="12C21FC3" w14:textId="4C8DF93F">
      <w:hyperlink w:history="1" r:id="rId48">
        <w:r w:rsidRPr="4F712AD2" w:rsidR="40BB0258">
          <w:rPr>
            <w:rStyle w:val="Hyperlink"/>
          </w:rPr>
          <w:t>Appendix B</w:t>
        </w:r>
      </w:hyperlink>
    </w:p>
    <w:p w:rsidR="005561F7" w:rsidRDefault="005561F7" w14:paraId="1997219B" w14:textId="77777777">
      <w:pPr>
        <w:jc w:val="left"/>
        <w:rPr>
          <w:rFonts w:eastAsiaTheme="majorEastAsia" w:cstheme="majorBidi"/>
          <w:b/>
          <w:bCs/>
          <w:color w:val="242451"/>
          <w:sz w:val="28"/>
          <w:szCs w:val="28"/>
        </w:rPr>
      </w:pPr>
      <w:r>
        <w:br w:type="page"/>
      </w:r>
    </w:p>
    <w:p w:rsidRPr="00321FA1" w:rsidR="00321FA1" w:rsidP="00321FA1" w:rsidRDefault="00321FA1" w14:paraId="7F7D6D77" w14:textId="5D5E6FE5">
      <w:pPr>
        <w:pStyle w:val="Heading1"/>
        <w:numPr>
          <w:ilvl w:val="0"/>
          <w:numId w:val="0"/>
        </w:numPr>
      </w:pPr>
      <w:bookmarkStart w:name="_Toc150852752" w:id="354"/>
      <w:r w:rsidRPr="00321FA1">
        <w:t xml:space="preserve">Appendix </w:t>
      </w:r>
      <w:r w:rsidR="00D12B94">
        <w:t>C</w:t>
      </w:r>
      <w:r w:rsidRPr="00321FA1">
        <w:t>: Contributors on workforce considerations</w:t>
      </w:r>
      <w:bookmarkEnd w:id="352"/>
      <w:bookmarkEnd w:id="354"/>
    </w:p>
    <w:p w:rsidRPr="00321FA1" w:rsidR="00321FA1" w:rsidP="00321FA1" w:rsidRDefault="00321FA1" w14:paraId="09DD5928" w14:textId="5937B005">
      <w:r w:rsidRPr="00321FA1">
        <w:t xml:space="preserve">Organizations from which input on workforce considerations was sought </w:t>
      </w:r>
      <w:r w:rsidR="006B7B80">
        <w:t xml:space="preserve">for this Initial Proposal </w:t>
      </w:r>
      <w:r w:rsidRPr="00321FA1">
        <w:t xml:space="preserve">include, but </w:t>
      </w:r>
      <w:r w:rsidR="002C7E69">
        <w:t>are</w:t>
      </w:r>
      <w:r w:rsidRPr="00321FA1">
        <w:t xml:space="preserve"> not limited to, the following:</w:t>
      </w:r>
    </w:p>
    <w:p w:rsidR="00303CA6" w:rsidP="006F78D2" w:rsidRDefault="00303CA6" w14:paraId="5176B336" w14:textId="77777777">
      <w:pPr>
        <w:numPr>
          <w:ilvl w:val="0"/>
          <w:numId w:val="33"/>
        </w:numPr>
        <w:pBdr>
          <w:top w:val="nil"/>
          <w:left w:val="nil"/>
          <w:bottom w:val="nil"/>
          <w:right w:val="nil"/>
          <w:between w:val="nil"/>
        </w:pBdr>
        <w:spacing w:after="0"/>
      </w:pPr>
      <w:r>
        <w:t>Alabama A&amp;M University</w:t>
      </w:r>
    </w:p>
    <w:p w:rsidR="00303CA6" w:rsidP="006F78D2" w:rsidRDefault="00303CA6" w14:paraId="51C607BE" w14:textId="77777777">
      <w:pPr>
        <w:numPr>
          <w:ilvl w:val="0"/>
          <w:numId w:val="33"/>
        </w:numPr>
        <w:pBdr>
          <w:top w:val="nil"/>
          <w:left w:val="nil"/>
          <w:bottom w:val="nil"/>
          <w:right w:val="nil"/>
          <w:between w:val="nil"/>
        </w:pBdr>
        <w:spacing w:after="0"/>
      </w:pPr>
      <w:r>
        <w:t>Alabama County Commission Association</w:t>
      </w:r>
    </w:p>
    <w:p w:rsidR="00303CA6" w:rsidP="006F78D2" w:rsidRDefault="00303CA6" w14:paraId="3523D7CB" w14:textId="77777777">
      <w:pPr>
        <w:numPr>
          <w:ilvl w:val="0"/>
          <w:numId w:val="33"/>
        </w:numPr>
        <w:pBdr>
          <w:top w:val="nil"/>
          <w:left w:val="nil"/>
          <w:bottom w:val="nil"/>
          <w:right w:val="nil"/>
          <w:between w:val="nil"/>
        </w:pBdr>
        <w:spacing w:after="0"/>
      </w:pPr>
      <w:r>
        <w:t>Alabama Department of Human Resources</w:t>
      </w:r>
    </w:p>
    <w:p w:rsidR="00303CA6" w:rsidP="006F78D2" w:rsidRDefault="00303CA6" w14:paraId="3B1A636F" w14:textId="77777777">
      <w:pPr>
        <w:numPr>
          <w:ilvl w:val="0"/>
          <w:numId w:val="33"/>
        </w:numPr>
        <w:pBdr>
          <w:top w:val="nil"/>
          <w:left w:val="nil"/>
          <w:bottom w:val="nil"/>
          <w:right w:val="nil"/>
          <w:between w:val="nil"/>
        </w:pBdr>
        <w:spacing w:after="0"/>
      </w:pPr>
      <w:r>
        <w:t>Alabama Department of Rehabilitation Services</w:t>
      </w:r>
    </w:p>
    <w:p w:rsidR="00303CA6" w:rsidP="006F78D2" w:rsidRDefault="00303CA6" w14:paraId="7E65673F" w14:textId="77777777">
      <w:pPr>
        <w:numPr>
          <w:ilvl w:val="0"/>
          <w:numId w:val="33"/>
        </w:numPr>
        <w:pBdr>
          <w:top w:val="nil"/>
          <w:left w:val="nil"/>
          <w:bottom w:val="nil"/>
          <w:right w:val="nil"/>
          <w:between w:val="nil"/>
        </w:pBdr>
        <w:spacing w:after="0"/>
      </w:pPr>
      <w:r>
        <w:t>Alabama Department of Veterans Affairs</w:t>
      </w:r>
    </w:p>
    <w:p w:rsidR="00303CA6" w:rsidP="006F78D2" w:rsidRDefault="00303CA6" w14:paraId="1336D87F" w14:textId="77777777">
      <w:pPr>
        <w:numPr>
          <w:ilvl w:val="0"/>
          <w:numId w:val="33"/>
        </w:numPr>
        <w:pBdr>
          <w:top w:val="nil"/>
          <w:left w:val="nil"/>
          <w:bottom w:val="nil"/>
          <w:right w:val="nil"/>
          <w:between w:val="nil"/>
        </w:pBdr>
        <w:spacing w:after="0"/>
      </w:pPr>
      <w:r>
        <w:t>Alabama Lightwave</w:t>
      </w:r>
    </w:p>
    <w:p w:rsidR="00303CA6" w:rsidP="006F78D2" w:rsidRDefault="00303CA6" w14:paraId="3A1C3650" w14:textId="77777777">
      <w:pPr>
        <w:numPr>
          <w:ilvl w:val="0"/>
          <w:numId w:val="33"/>
        </w:numPr>
        <w:pBdr>
          <w:top w:val="nil"/>
          <w:left w:val="nil"/>
          <w:bottom w:val="nil"/>
          <w:right w:val="nil"/>
          <w:between w:val="nil"/>
        </w:pBdr>
        <w:spacing w:after="0"/>
      </w:pPr>
      <w:r>
        <w:t>Alabama Power Company</w:t>
      </w:r>
    </w:p>
    <w:p w:rsidR="00303CA6" w:rsidP="006F78D2" w:rsidRDefault="00303CA6" w14:paraId="675C5B0D" w14:textId="77777777">
      <w:pPr>
        <w:numPr>
          <w:ilvl w:val="0"/>
          <w:numId w:val="33"/>
        </w:numPr>
        <w:pBdr>
          <w:top w:val="nil"/>
          <w:left w:val="nil"/>
          <w:bottom w:val="nil"/>
          <w:right w:val="nil"/>
          <w:between w:val="nil"/>
        </w:pBdr>
        <w:spacing w:after="0"/>
      </w:pPr>
      <w:r>
        <w:t>Alabama Public Service Commission</w:t>
      </w:r>
    </w:p>
    <w:p w:rsidR="00303CA6" w:rsidP="006F78D2" w:rsidRDefault="00303CA6" w14:paraId="5D1DE035" w14:textId="77777777">
      <w:pPr>
        <w:numPr>
          <w:ilvl w:val="0"/>
          <w:numId w:val="33"/>
        </w:numPr>
        <w:pBdr>
          <w:top w:val="nil"/>
          <w:left w:val="nil"/>
          <w:bottom w:val="nil"/>
          <w:right w:val="nil"/>
          <w:between w:val="nil"/>
        </w:pBdr>
        <w:spacing w:after="0"/>
      </w:pPr>
      <w:r>
        <w:t>Alabama State Department of Education</w:t>
      </w:r>
    </w:p>
    <w:p w:rsidR="00303CA6" w:rsidP="006F78D2" w:rsidRDefault="00303CA6" w14:paraId="5E2F2CF7" w14:textId="77777777">
      <w:pPr>
        <w:numPr>
          <w:ilvl w:val="0"/>
          <w:numId w:val="33"/>
        </w:numPr>
        <w:pBdr>
          <w:top w:val="nil"/>
          <w:left w:val="nil"/>
          <w:bottom w:val="nil"/>
          <w:right w:val="nil"/>
          <w:between w:val="nil"/>
        </w:pBdr>
        <w:spacing w:after="0"/>
      </w:pPr>
      <w:r>
        <w:t>AT&amp;T</w:t>
      </w:r>
    </w:p>
    <w:p w:rsidR="00303CA6" w:rsidP="006F78D2" w:rsidRDefault="00303CA6" w14:paraId="52DCE628" w14:textId="77777777">
      <w:pPr>
        <w:numPr>
          <w:ilvl w:val="0"/>
          <w:numId w:val="33"/>
        </w:numPr>
        <w:pBdr>
          <w:top w:val="nil"/>
          <w:left w:val="nil"/>
          <w:bottom w:val="nil"/>
          <w:right w:val="nil"/>
          <w:between w:val="nil"/>
        </w:pBdr>
        <w:spacing w:after="0"/>
      </w:pPr>
      <w:r>
        <w:t>Atmore Economic Development</w:t>
      </w:r>
    </w:p>
    <w:p w:rsidR="00303CA6" w:rsidP="006F78D2" w:rsidRDefault="00303CA6" w14:paraId="7F7671FB" w14:textId="77777777">
      <w:pPr>
        <w:numPr>
          <w:ilvl w:val="0"/>
          <w:numId w:val="33"/>
        </w:numPr>
        <w:pBdr>
          <w:top w:val="nil"/>
          <w:left w:val="nil"/>
          <w:bottom w:val="nil"/>
          <w:right w:val="nil"/>
          <w:between w:val="nil"/>
        </w:pBdr>
        <w:spacing w:after="0"/>
      </w:pPr>
      <w:r>
        <w:t>AUBix, LLC</w:t>
      </w:r>
    </w:p>
    <w:p w:rsidR="00303CA6" w:rsidP="006F78D2" w:rsidRDefault="00303CA6" w14:paraId="7DFFA822" w14:textId="77777777">
      <w:pPr>
        <w:numPr>
          <w:ilvl w:val="0"/>
          <w:numId w:val="33"/>
        </w:numPr>
        <w:pBdr>
          <w:top w:val="nil"/>
          <w:left w:val="nil"/>
          <w:bottom w:val="nil"/>
          <w:right w:val="nil"/>
          <w:between w:val="nil"/>
        </w:pBdr>
        <w:spacing w:after="0"/>
      </w:pPr>
      <w:proofErr w:type="spellStart"/>
      <w:r>
        <w:t>Bevill</w:t>
      </w:r>
      <w:proofErr w:type="spellEnd"/>
      <w:r>
        <w:t xml:space="preserve"> State Community College</w:t>
      </w:r>
    </w:p>
    <w:p w:rsidR="00303CA6" w:rsidP="006F78D2" w:rsidRDefault="00303CA6" w14:paraId="53E22D97" w14:textId="77777777">
      <w:pPr>
        <w:numPr>
          <w:ilvl w:val="0"/>
          <w:numId w:val="33"/>
        </w:numPr>
        <w:pBdr>
          <w:top w:val="nil"/>
          <w:left w:val="nil"/>
          <w:bottom w:val="nil"/>
          <w:right w:val="nil"/>
          <w:between w:val="nil"/>
        </w:pBdr>
        <w:spacing w:after="0"/>
      </w:pPr>
      <w:r>
        <w:t>Bibb County Trade School</w:t>
      </w:r>
    </w:p>
    <w:p w:rsidR="00303CA6" w:rsidP="006F78D2" w:rsidRDefault="00303CA6" w14:paraId="26FBE2D5" w14:textId="77777777">
      <w:pPr>
        <w:numPr>
          <w:ilvl w:val="0"/>
          <w:numId w:val="33"/>
        </w:numPr>
        <w:pBdr>
          <w:top w:val="nil"/>
          <w:left w:val="nil"/>
          <w:bottom w:val="nil"/>
          <w:right w:val="nil"/>
          <w:between w:val="nil"/>
        </w:pBdr>
        <w:spacing w:after="0"/>
      </w:pPr>
      <w:r>
        <w:t>Black Belt Community Foundation</w:t>
      </w:r>
    </w:p>
    <w:p w:rsidR="00303CA6" w:rsidP="006F78D2" w:rsidRDefault="00303CA6" w14:paraId="2839CB37" w14:textId="77777777">
      <w:pPr>
        <w:numPr>
          <w:ilvl w:val="0"/>
          <w:numId w:val="33"/>
        </w:numPr>
        <w:pBdr>
          <w:top w:val="nil"/>
          <w:left w:val="nil"/>
          <w:bottom w:val="nil"/>
          <w:right w:val="nil"/>
          <w:between w:val="nil"/>
        </w:pBdr>
        <w:spacing w:after="0"/>
      </w:pPr>
      <w:r>
        <w:t>Brent Utilities</w:t>
      </w:r>
    </w:p>
    <w:p w:rsidR="00303CA6" w:rsidP="006F78D2" w:rsidRDefault="00303CA6" w14:paraId="4C35BB8C" w14:textId="77777777">
      <w:pPr>
        <w:numPr>
          <w:ilvl w:val="0"/>
          <w:numId w:val="33"/>
        </w:numPr>
        <w:pBdr>
          <w:top w:val="nil"/>
          <w:left w:val="nil"/>
          <w:bottom w:val="nil"/>
          <w:right w:val="nil"/>
          <w:between w:val="nil"/>
        </w:pBdr>
        <w:spacing w:after="0"/>
      </w:pPr>
      <w:r>
        <w:t>Brightspeed</w:t>
      </w:r>
    </w:p>
    <w:p w:rsidR="00303CA6" w:rsidP="006F78D2" w:rsidRDefault="00303CA6" w14:paraId="4468B709" w14:textId="77777777">
      <w:pPr>
        <w:numPr>
          <w:ilvl w:val="0"/>
          <w:numId w:val="33"/>
        </w:numPr>
        <w:pBdr>
          <w:top w:val="nil"/>
          <w:left w:val="nil"/>
          <w:bottom w:val="nil"/>
          <w:right w:val="nil"/>
          <w:between w:val="nil"/>
        </w:pBdr>
        <w:spacing w:after="0"/>
      </w:pPr>
      <w:r>
        <w:t>Buzz Broadband</w:t>
      </w:r>
    </w:p>
    <w:p w:rsidR="00303CA6" w:rsidP="006F78D2" w:rsidRDefault="00303CA6" w14:paraId="0042B18F" w14:textId="77777777">
      <w:pPr>
        <w:numPr>
          <w:ilvl w:val="0"/>
          <w:numId w:val="33"/>
        </w:numPr>
        <w:pBdr>
          <w:top w:val="nil"/>
          <w:left w:val="nil"/>
          <w:bottom w:val="nil"/>
          <w:right w:val="nil"/>
          <w:between w:val="nil"/>
        </w:pBdr>
        <w:spacing w:after="0"/>
      </w:pPr>
      <w:r>
        <w:t>Calix</w:t>
      </w:r>
    </w:p>
    <w:p w:rsidR="00303CA6" w:rsidP="006F78D2" w:rsidRDefault="00303CA6" w14:paraId="19A273E6" w14:textId="77777777">
      <w:pPr>
        <w:numPr>
          <w:ilvl w:val="0"/>
          <w:numId w:val="33"/>
        </w:numPr>
        <w:pBdr>
          <w:top w:val="nil"/>
          <w:left w:val="nil"/>
          <w:bottom w:val="nil"/>
          <w:right w:val="nil"/>
          <w:between w:val="nil"/>
        </w:pBdr>
        <w:spacing w:after="0"/>
      </w:pPr>
      <w:r>
        <w:t>Camellia Communications</w:t>
      </w:r>
    </w:p>
    <w:p w:rsidR="00303CA6" w:rsidP="006F78D2" w:rsidRDefault="00303CA6" w14:paraId="0844F3D5" w14:textId="77777777">
      <w:pPr>
        <w:numPr>
          <w:ilvl w:val="0"/>
          <w:numId w:val="33"/>
        </w:numPr>
        <w:pBdr>
          <w:top w:val="nil"/>
          <w:left w:val="nil"/>
          <w:bottom w:val="nil"/>
          <w:right w:val="nil"/>
          <w:between w:val="nil"/>
        </w:pBdr>
        <w:spacing w:after="0"/>
      </w:pPr>
      <w:r>
        <w:t>Central Alabama Community College</w:t>
      </w:r>
    </w:p>
    <w:p w:rsidR="00303CA6" w:rsidP="006F78D2" w:rsidRDefault="00303CA6" w14:paraId="584AF9D7" w14:textId="77777777">
      <w:pPr>
        <w:numPr>
          <w:ilvl w:val="0"/>
          <w:numId w:val="33"/>
        </w:numPr>
        <w:pBdr>
          <w:top w:val="nil"/>
          <w:left w:val="nil"/>
          <w:bottom w:val="nil"/>
          <w:right w:val="nil"/>
          <w:between w:val="nil"/>
        </w:pBdr>
        <w:spacing w:after="0"/>
      </w:pPr>
      <w:r>
        <w:t>Charter Communications</w:t>
      </w:r>
    </w:p>
    <w:p w:rsidR="00303CA6" w:rsidP="006F78D2" w:rsidRDefault="00303CA6" w14:paraId="4F5F99BB" w14:textId="77777777">
      <w:pPr>
        <w:numPr>
          <w:ilvl w:val="0"/>
          <w:numId w:val="33"/>
        </w:numPr>
        <w:pBdr>
          <w:top w:val="nil"/>
          <w:left w:val="nil"/>
          <w:bottom w:val="nil"/>
          <w:right w:val="nil"/>
          <w:between w:val="nil"/>
        </w:pBdr>
        <w:spacing w:after="0"/>
      </w:pPr>
      <w:r>
        <w:t>Clarke-Washington Electric Membership Corporation</w:t>
      </w:r>
    </w:p>
    <w:p w:rsidR="00303CA6" w:rsidP="006F78D2" w:rsidRDefault="00303CA6" w14:paraId="21998B2E" w14:textId="77777777">
      <w:pPr>
        <w:numPr>
          <w:ilvl w:val="0"/>
          <w:numId w:val="33"/>
        </w:numPr>
        <w:pBdr>
          <w:top w:val="nil"/>
          <w:left w:val="nil"/>
          <w:bottom w:val="nil"/>
          <w:right w:val="nil"/>
          <w:between w:val="nil"/>
        </w:pBdr>
        <w:spacing w:after="0"/>
      </w:pPr>
      <w:r>
        <w:t>Coastal Alabama Community College</w:t>
      </w:r>
    </w:p>
    <w:p w:rsidR="00303CA6" w:rsidP="006F78D2" w:rsidRDefault="00303CA6" w14:paraId="1A7D1AF0" w14:textId="77777777">
      <w:pPr>
        <w:numPr>
          <w:ilvl w:val="0"/>
          <w:numId w:val="33"/>
        </w:numPr>
        <w:pBdr>
          <w:top w:val="nil"/>
          <w:left w:val="nil"/>
          <w:bottom w:val="nil"/>
          <w:right w:val="nil"/>
          <w:between w:val="nil"/>
        </w:pBdr>
        <w:spacing w:after="0"/>
      </w:pPr>
      <w:r>
        <w:t>Collins Communications</w:t>
      </w:r>
    </w:p>
    <w:p w:rsidR="00303CA6" w:rsidP="006F78D2" w:rsidRDefault="00303CA6" w14:paraId="4C7F17A5" w14:textId="77777777">
      <w:pPr>
        <w:numPr>
          <w:ilvl w:val="0"/>
          <w:numId w:val="33"/>
        </w:numPr>
        <w:pBdr>
          <w:top w:val="nil"/>
          <w:left w:val="nil"/>
          <w:bottom w:val="nil"/>
          <w:right w:val="nil"/>
          <w:between w:val="nil"/>
        </w:pBdr>
        <w:spacing w:after="0"/>
      </w:pPr>
      <w:r>
        <w:t>Comcast</w:t>
      </w:r>
    </w:p>
    <w:p w:rsidR="00303CA6" w:rsidP="006F78D2" w:rsidRDefault="00303CA6" w14:paraId="42BAE018" w14:textId="116FD6A4">
      <w:pPr>
        <w:numPr>
          <w:ilvl w:val="0"/>
          <w:numId w:val="33"/>
        </w:numPr>
        <w:pBdr>
          <w:top w:val="nil"/>
          <w:left w:val="nil"/>
          <w:bottom w:val="nil"/>
          <w:right w:val="nil"/>
          <w:between w:val="nil"/>
        </w:pBdr>
        <w:spacing w:after="0"/>
      </w:pPr>
      <w:r>
        <w:t>Communication</w:t>
      </w:r>
      <w:r w:rsidR="002C7E69">
        <w:t>s</w:t>
      </w:r>
      <w:r>
        <w:t xml:space="preserve"> Workers of America</w:t>
      </w:r>
    </w:p>
    <w:p w:rsidR="00303CA6" w:rsidP="006F78D2" w:rsidRDefault="00303CA6" w14:paraId="1633D9AE" w14:textId="77777777">
      <w:pPr>
        <w:numPr>
          <w:ilvl w:val="0"/>
          <w:numId w:val="33"/>
        </w:numPr>
        <w:pBdr>
          <w:top w:val="nil"/>
          <w:left w:val="nil"/>
          <w:bottom w:val="nil"/>
          <w:right w:val="nil"/>
          <w:between w:val="nil"/>
        </w:pBdr>
        <w:spacing w:after="0"/>
      </w:pPr>
      <w:r>
        <w:t>Conexus Communications</w:t>
      </w:r>
    </w:p>
    <w:p w:rsidR="00303CA6" w:rsidP="006F78D2" w:rsidRDefault="00303CA6" w14:paraId="5E329D55" w14:textId="77777777">
      <w:pPr>
        <w:numPr>
          <w:ilvl w:val="0"/>
          <w:numId w:val="33"/>
        </w:numPr>
        <w:pBdr>
          <w:top w:val="nil"/>
          <w:left w:val="nil"/>
          <w:bottom w:val="nil"/>
          <w:right w:val="nil"/>
          <w:between w:val="nil"/>
        </w:pBdr>
        <w:spacing w:after="0"/>
      </w:pPr>
      <w:r>
        <w:t>Coosa Valley Electric Cooperative</w:t>
      </w:r>
    </w:p>
    <w:p w:rsidR="00303CA6" w:rsidP="006F78D2" w:rsidRDefault="00303CA6" w14:paraId="56CABDC3" w14:textId="77777777">
      <w:pPr>
        <w:numPr>
          <w:ilvl w:val="0"/>
          <w:numId w:val="33"/>
        </w:numPr>
        <w:pBdr>
          <w:top w:val="nil"/>
          <w:left w:val="nil"/>
          <w:bottom w:val="nil"/>
          <w:right w:val="nil"/>
          <w:between w:val="nil"/>
        </w:pBdr>
        <w:spacing w:after="0"/>
      </w:pPr>
      <w:r>
        <w:t>Covington Electric Cooperative</w:t>
      </w:r>
    </w:p>
    <w:p w:rsidR="00303CA6" w:rsidP="006F78D2" w:rsidRDefault="00303CA6" w14:paraId="3ADED3A8" w14:textId="77777777">
      <w:pPr>
        <w:numPr>
          <w:ilvl w:val="0"/>
          <w:numId w:val="33"/>
        </w:numPr>
        <w:pBdr>
          <w:top w:val="nil"/>
          <w:left w:val="nil"/>
          <w:bottom w:val="nil"/>
          <w:right w:val="nil"/>
          <w:between w:val="nil"/>
        </w:pBdr>
        <w:spacing w:after="0"/>
      </w:pPr>
      <w:r>
        <w:t>Eagle Internet Services</w:t>
      </w:r>
    </w:p>
    <w:p w:rsidR="00303CA6" w:rsidP="006F78D2" w:rsidRDefault="00303CA6" w14:paraId="116AAA80" w14:textId="77777777">
      <w:pPr>
        <w:numPr>
          <w:ilvl w:val="0"/>
          <w:numId w:val="33"/>
        </w:numPr>
        <w:pBdr>
          <w:top w:val="nil"/>
          <w:left w:val="nil"/>
          <w:bottom w:val="nil"/>
          <w:right w:val="nil"/>
          <w:between w:val="nil"/>
        </w:pBdr>
        <w:spacing w:after="0"/>
      </w:pPr>
      <w:r>
        <w:t>EF Broadband</w:t>
      </w:r>
    </w:p>
    <w:p w:rsidR="00303CA6" w:rsidP="006F78D2" w:rsidRDefault="00303CA6" w14:paraId="441BBB81" w14:textId="77777777">
      <w:pPr>
        <w:numPr>
          <w:ilvl w:val="0"/>
          <w:numId w:val="33"/>
        </w:numPr>
        <w:pBdr>
          <w:top w:val="nil"/>
          <w:left w:val="nil"/>
          <w:bottom w:val="nil"/>
          <w:right w:val="nil"/>
          <w:between w:val="nil"/>
        </w:pBdr>
        <w:spacing w:after="0"/>
      </w:pPr>
      <w:r>
        <w:t>Eufaula Career Center</w:t>
      </w:r>
    </w:p>
    <w:p w:rsidR="00303CA6" w:rsidP="006F78D2" w:rsidRDefault="00303CA6" w14:paraId="76F516E1" w14:textId="77777777">
      <w:pPr>
        <w:numPr>
          <w:ilvl w:val="0"/>
          <w:numId w:val="33"/>
        </w:numPr>
        <w:pBdr>
          <w:top w:val="nil"/>
          <w:left w:val="nil"/>
          <w:bottom w:val="nil"/>
          <w:right w:val="nil"/>
          <w:between w:val="nil"/>
        </w:pBdr>
        <w:spacing w:after="0"/>
      </w:pPr>
      <w:r>
        <w:t>GetWiredAlabama</w:t>
      </w:r>
    </w:p>
    <w:p w:rsidR="00303CA6" w:rsidP="006F78D2" w:rsidRDefault="00303CA6" w14:paraId="337BBFD5" w14:textId="77777777">
      <w:pPr>
        <w:numPr>
          <w:ilvl w:val="0"/>
          <w:numId w:val="33"/>
        </w:numPr>
        <w:pBdr>
          <w:top w:val="nil"/>
          <w:left w:val="nil"/>
          <w:bottom w:val="nil"/>
          <w:right w:val="nil"/>
          <w:between w:val="nil"/>
        </w:pBdr>
        <w:spacing w:after="0"/>
      </w:pPr>
      <w:r>
        <w:t>Hayneville Telephone Co.</w:t>
      </w:r>
    </w:p>
    <w:p w:rsidR="00303CA6" w:rsidP="006F78D2" w:rsidRDefault="00303CA6" w14:paraId="2D7B1F3A" w14:textId="77777777">
      <w:pPr>
        <w:numPr>
          <w:ilvl w:val="0"/>
          <w:numId w:val="33"/>
        </w:numPr>
        <w:pBdr>
          <w:top w:val="nil"/>
          <w:left w:val="nil"/>
          <w:bottom w:val="nil"/>
          <w:right w:val="nil"/>
          <w:between w:val="nil"/>
        </w:pBdr>
        <w:spacing w:after="0"/>
      </w:pPr>
      <w:r>
        <w:t>Hispanic Federation</w:t>
      </w:r>
    </w:p>
    <w:p w:rsidR="00303CA6" w:rsidP="006F78D2" w:rsidRDefault="00303CA6" w14:paraId="6769CD88" w14:textId="77777777">
      <w:pPr>
        <w:numPr>
          <w:ilvl w:val="0"/>
          <w:numId w:val="33"/>
        </w:numPr>
        <w:pBdr>
          <w:top w:val="nil"/>
          <w:left w:val="nil"/>
          <w:bottom w:val="nil"/>
          <w:right w:val="nil"/>
          <w:between w:val="nil"/>
        </w:pBdr>
        <w:spacing w:after="0"/>
      </w:pPr>
      <w:r>
        <w:t>Hispanic Interest Coalition of Alabama</w:t>
      </w:r>
    </w:p>
    <w:p w:rsidR="00303CA6" w:rsidP="006F78D2" w:rsidRDefault="00303CA6" w14:paraId="60FED5F6" w14:textId="77777777">
      <w:pPr>
        <w:numPr>
          <w:ilvl w:val="0"/>
          <w:numId w:val="33"/>
        </w:numPr>
        <w:pBdr>
          <w:top w:val="nil"/>
          <w:left w:val="nil"/>
          <w:bottom w:val="nil"/>
          <w:right w:val="nil"/>
          <w:between w:val="nil"/>
        </w:pBdr>
        <w:spacing w:after="0"/>
      </w:pPr>
      <w:r>
        <w:t>International Brotherhood of Electric Workers</w:t>
      </w:r>
    </w:p>
    <w:p w:rsidR="00303CA6" w:rsidP="006F78D2" w:rsidRDefault="00303CA6" w14:paraId="2B632C5D" w14:textId="77777777">
      <w:pPr>
        <w:numPr>
          <w:ilvl w:val="0"/>
          <w:numId w:val="33"/>
        </w:numPr>
        <w:pBdr>
          <w:top w:val="nil"/>
          <w:left w:val="nil"/>
          <w:bottom w:val="nil"/>
          <w:right w:val="nil"/>
          <w:between w:val="nil"/>
        </w:pBdr>
        <w:spacing w:after="0"/>
      </w:pPr>
      <w:r>
        <w:t>Jobs Corps</w:t>
      </w:r>
    </w:p>
    <w:p w:rsidR="00303CA6" w:rsidP="006F78D2" w:rsidRDefault="00303CA6" w14:paraId="16A9B824" w14:textId="77777777">
      <w:pPr>
        <w:numPr>
          <w:ilvl w:val="0"/>
          <w:numId w:val="33"/>
        </w:numPr>
        <w:pBdr>
          <w:top w:val="nil"/>
          <w:left w:val="nil"/>
          <w:bottom w:val="nil"/>
          <w:right w:val="nil"/>
          <w:between w:val="nil"/>
        </w:pBdr>
        <w:spacing w:after="0"/>
      </w:pPr>
      <w:r>
        <w:t>Lawson State Community College</w:t>
      </w:r>
    </w:p>
    <w:p w:rsidR="00303CA6" w:rsidP="006F78D2" w:rsidRDefault="00303CA6" w14:paraId="0809F414" w14:textId="77777777">
      <w:pPr>
        <w:numPr>
          <w:ilvl w:val="0"/>
          <w:numId w:val="33"/>
        </w:numPr>
        <w:pBdr>
          <w:top w:val="nil"/>
          <w:left w:val="nil"/>
          <w:bottom w:val="nil"/>
          <w:right w:val="nil"/>
          <w:between w:val="nil"/>
        </w:pBdr>
        <w:spacing w:after="0"/>
      </w:pPr>
      <w:r>
        <w:t>Lit Communities</w:t>
      </w:r>
    </w:p>
    <w:p w:rsidR="00303CA6" w:rsidP="006F78D2" w:rsidRDefault="00303CA6" w14:paraId="00E5632F" w14:textId="77777777">
      <w:pPr>
        <w:numPr>
          <w:ilvl w:val="0"/>
          <w:numId w:val="33"/>
        </w:numPr>
        <w:pBdr>
          <w:top w:val="nil"/>
          <w:left w:val="nil"/>
          <w:bottom w:val="nil"/>
          <w:right w:val="nil"/>
          <w:between w:val="nil"/>
        </w:pBdr>
        <w:spacing w:after="0"/>
      </w:pPr>
      <w:r>
        <w:t>Millry Telephone Company</w:t>
      </w:r>
    </w:p>
    <w:p w:rsidR="00303CA6" w:rsidP="006F78D2" w:rsidRDefault="00303CA6" w14:paraId="7B1AB339" w14:textId="77777777">
      <w:pPr>
        <w:numPr>
          <w:ilvl w:val="0"/>
          <w:numId w:val="33"/>
        </w:numPr>
        <w:pBdr>
          <w:top w:val="nil"/>
          <w:left w:val="nil"/>
          <w:bottom w:val="nil"/>
          <w:right w:val="nil"/>
          <w:between w:val="nil"/>
        </w:pBdr>
        <w:spacing w:after="0"/>
      </w:pPr>
      <w:r>
        <w:t>Montgomery Job Corps Center</w:t>
      </w:r>
    </w:p>
    <w:p w:rsidR="00303CA6" w:rsidP="006F78D2" w:rsidRDefault="00303CA6" w14:paraId="4A5A97E8" w14:textId="77777777">
      <w:pPr>
        <w:numPr>
          <w:ilvl w:val="0"/>
          <w:numId w:val="33"/>
        </w:numPr>
        <w:pBdr>
          <w:top w:val="nil"/>
          <w:left w:val="nil"/>
          <w:bottom w:val="nil"/>
          <w:right w:val="nil"/>
          <w:between w:val="nil"/>
        </w:pBdr>
        <w:spacing w:after="0"/>
      </w:pPr>
      <w:r>
        <w:t>Moundville Telephone</w:t>
      </w:r>
    </w:p>
    <w:p w:rsidR="00303CA6" w:rsidP="006F78D2" w:rsidRDefault="00303CA6" w14:paraId="10826A96" w14:textId="77777777">
      <w:pPr>
        <w:numPr>
          <w:ilvl w:val="0"/>
          <w:numId w:val="33"/>
        </w:numPr>
        <w:pBdr>
          <w:top w:val="nil"/>
          <w:left w:val="nil"/>
          <w:bottom w:val="nil"/>
          <w:right w:val="nil"/>
          <w:between w:val="nil"/>
        </w:pBdr>
        <w:spacing w:after="0"/>
      </w:pPr>
      <w:r>
        <w:t>Pea River Electric Cooperative</w:t>
      </w:r>
    </w:p>
    <w:p w:rsidR="00303CA6" w:rsidP="006F78D2" w:rsidRDefault="00303CA6" w14:paraId="763FC505" w14:textId="77777777">
      <w:pPr>
        <w:numPr>
          <w:ilvl w:val="0"/>
          <w:numId w:val="33"/>
        </w:numPr>
        <w:pBdr>
          <w:top w:val="nil"/>
          <w:left w:val="nil"/>
          <w:bottom w:val="nil"/>
          <w:right w:val="nil"/>
          <w:between w:val="nil"/>
        </w:pBdr>
        <w:spacing w:after="0"/>
      </w:pPr>
      <w:r>
        <w:t>Pickens County College and Career Center</w:t>
      </w:r>
    </w:p>
    <w:p w:rsidR="00303CA6" w:rsidP="006F78D2" w:rsidRDefault="00303CA6" w14:paraId="07764A6E" w14:textId="77777777">
      <w:pPr>
        <w:numPr>
          <w:ilvl w:val="0"/>
          <w:numId w:val="33"/>
        </w:numPr>
        <w:pBdr>
          <w:top w:val="nil"/>
          <w:left w:val="nil"/>
          <w:bottom w:val="nil"/>
          <w:right w:val="nil"/>
          <w:between w:val="nil"/>
        </w:pBdr>
        <w:spacing w:after="0"/>
      </w:pPr>
      <w:r>
        <w:t>Pine Belt Communications</w:t>
      </w:r>
    </w:p>
    <w:p w:rsidR="00303CA6" w:rsidP="006F78D2" w:rsidRDefault="00303CA6" w14:paraId="601209F1" w14:textId="77777777">
      <w:pPr>
        <w:numPr>
          <w:ilvl w:val="0"/>
          <w:numId w:val="33"/>
        </w:numPr>
        <w:pBdr>
          <w:top w:val="nil"/>
          <w:left w:val="nil"/>
          <w:bottom w:val="nil"/>
          <w:right w:val="nil"/>
          <w:between w:val="nil"/>
        </w:pBdr>
        <w:spacing w:after="0"/>
      </w:pPr>
      <w:r>
        <w:t>Point Broadband</w:t>
      </w:r>
    </w:p>
    <w:p w:rsidR="00303CA6" w:rsidP="006F78D2" w:rsidRDefault="00303CA6" w14:paraId="2F14544B" w14:textId="77777777">
      <w:pPr>
        <w:numPr>
          <w:ilvl w:val="0"/>
          <w:numId w:val="33"/>
        </w:numPr>
        <w:pBdr>
          <w:top w:val="nil"/>
          <w:left w:val="nil"/>
          <w:bottom w:val="nil"/>
          <w:right w:val="nil"/>
          <w:between w:val="nil"/>
        </w:pBdr>
        <w:spacing w:after="0"/>
      </w:pPr>
      <w:r>
        <w:t>PowerSouth</w:t>
      </w:r>
    </w:p>
    <w:p w:rsidR="00303CA6" w:rsidP="006F78D2" w:rsidRDefault="00303CA6" w14:paraId="39F290BF" w14:textId="77777777">
      <w:pPr>
        <w:numPr>
          <w:ilvl w:val="0"/>
          <w:numId w:val="33"/>
        </w:numPr>
        <w:pBdr>
          <w:top w:val="nil"/>
          <w:left w:val="nil"/>
          <w:bottom w:val="nil"/>
          <w:right w:val="nil"/>
          <w:between w:val="nil"/>
        </w:pBdr>
        <w:spacing w:after="0"/>
      </w:pPr>
      <w:r>
        <w:t>Rapid Wireless</w:t>
      </w:r>
    </w:p>
    <w:p w:rsidR="00303CA6" w:rsidP="006F78D2" w:rsidRDefault="00303CA6" w14:paraId="29A7BE83" w14:textId="77777777">
      <w:pPr>
        <w:numPr>
          <w:ilvl w:val="0"/>
          <w:numId w:val="33"/>
        </w:numPr>
        <w:pBdr>
          <w:top w:val="nil"/>
          <w:left w:val="nil"/>
          <w:bottom w:val="nil"/>
          <w:right w:val="nil"/>
          <w:between w:val="nil"/>
        </w:pBdr>
        <w:spacing w:after="0"/>
      </w:pPr>
      <w:r>
        <w:t>Reid State Technical College</w:t>
      </w:r>
    </w:p>
    <w:p w:rsidR="00303CA6" w:rsidP="006F78D2" w:rsidRDefault="00303CA6" w14:paraId="23447A3D" w14:textId="77777777">
      <w:pPr>
        <w:numPr>
          <w:ilvl w:val="0"/>
          <w:numId w:val="33"/>
        </w:numPr>
        <w:pBdr>
          <w:top w:val="nil"/>
          <w:left w:val="nil"/>
          <w:bottom w:val="nil"/>
          <w:right w:val="nil"/>
          <w:between w:val="nil"/>
        </w:pBdr>
        <w:spacing w:after="0"/>
      </w:pPr>
      <w:r>
        <w:t>Riviera Utilities</w:t>
      </w:r>
    </w:p>
    <w:p w:rsidR="00303CA6" w:rsidP="006F78D2" w:rsidRDefault="00303CA6" w14:paraId="1512370D" w14:textId="77777777">
      <w:pPr>
        <w:numPr>
          <w:ilvl w:val="0"/>
          <w:numId w:val="33"/>
        </w:numPr>
        <w:pBdr>
          <w:top w:val="nil"/>
          <w:left w:val="nil"/>
          <w:bottom w:val="nil"/>
          <w:right w:val="nil"/>
          <w:between w:val="nil"/>
        </w:pBdr>
        <w:spacing w:after="0"/>
      </w:pPr>
      <w:proofErr w:type="gramStart"/>
      <w:r>
        <w:t>South East</w:t>
      </w:r>
      <w:proofErr w:type="gramEnd"/>
      <w:r>
        <w:t xml:space="preserve"> Wireless</w:t>
      </w:r>
    </w:p>
    <w:p w:rsidR="00303CA6" w:rsidP="006F78D2" w:rsidRDefault="00303CA6" w14:paraId="76D6ACBC" w14:textId="77777777">
      <w:pPr>
        <w:numPr>
          <w:ilvl w:val="0"/>
          <w:numId w:val="33"/>
        </w:numPr>
        <w:pBdr>
          <w:top w:val="nil"/>
          <w:left w:val="nil"/>
          <w:bottom w:val="nil"/>
          <w:right w:val="nil"/>
          <w:between w:val="nil"/>
        </w:pBdr>
        <w:spacing w:after="0"/>
      </w:pPr>
      <w:r>
        <w:t>Southeast Alabama Works! (Region 6)</w:t>
      </w:r>
    </w:p>
    <w:p w:rsidR="00303CA6" w:rsidP="006F78D2" w:rsidRDefault="00303CA6" w14:paraId="24AD9F49" w14:textId="77777777">
      <w:pPr>
        <w:numPr>
          <w:ilvl w:val="0"/>
          <w:numId w:val="33"/>
        </w:numPr>
        <w:pBdr>
          <w:top w:val="nil"/>
          <w:left w:val="nil"/>
          <w:bottom w:val="nil"/>
          <w:right w:val="nil"/>
          <w:between w:val="nil"/>
        </w:pBdr>
        <w:spacing w:after="0"/>
      </w:pPr>
      <w:r>
        <w:t>Southern Company</w:t>
      </w:r>
    </w:p>
    <w:p w:rsidR="00303CA6" w:rsidP="006F78D2" w:rsidRDefault="00303CA6" w14:paraId="33C47814" w14:textId="77777777">
      <w:pPr>
        <w:numPr>
          <w:ilvl w:val="0"/>
          <w:numId w:val="33"/>
        </w:numPr>
        <w:pBdr>
          <w:top w:val="nil"/>
          <w:left w:val="nil"/>
          <w:bottom w:val="nil"/>
          <w:right w:val="nil"/>
          <w:between w:val="nil"/>
        </w:pBdr>
        <w:spacing w:after="0"/>
      </w:pPr>
      <w:r>
        <w:t>Sumter County Opportunities, Inc.</w:t>
      </w:r>
    </w:p>
    <w:p w:rsidR="00303CA6" w:rsidP="006F78D2" w:rsidRDefault="00303CA6" w14:paraId="133F78D3" w14:textId="77777777">
      <w:pPr>
        <w:numPr>
          <w:ilvl w:val="0"/>
          <w:numId w:val="33"/>
        </w:numPr>
        <w:pBdr>
          <w:top w:val="nil"/>
          <w:left w:val="nil"/>
          <w:bottom w:val="nil"/>
          <w:right w:val="nil"/>
          <w:between w:val="nil"/>
        </w:pBdr>
        <w:spacing w:after="0"/>
      </w:pPr>
      <w:r>
        <w:t>The Elmore Bolling Initiative</w:t>
      </w:r>
    </w:p>
    <w:p w:rsidR="00303CA6" w:rsidP="006F78D2" w:rsidRDefault="00303CA6" w14:paraId="050AFD2A" w14:textId="77777777">
      <w:pPr>
        <w:numPr>
          <w:ilvl w:val="0"/>
          <w:numId w:val="33"/>
        </w:numPr>
        <w:pBdr>
          <w:top w:val="nil"/>
          <w:left w:val="nil"/>
          <w:bottom w:val="nil"/>
          <w:right w:val="nil"/>
          <w:between w:val="nil"/>
        </w:pBdr>
        <w:spacing w:after="0"/>
      </w:pPr>
      <w:r>
        <w:t>Tuscaloosa Area Black Chamber of Commerce</w:t>
      </w:r>
    </w:p>
    <w:p w:rsidR="00303CA6" w:rsidP="006F78D2" w:rsidRDefault="00303CA6" w14:paraId="119EE4D1" w14:textId="77777777">
      <w:pPr>
        <w:numPr>
          <w:ilvl w:val="0"/>
          <w:numId w:val="33"/>
        </w:numPr>
        <w:pBdr>
          <w:top w:val="nil"/>
          <w:left w:val="nil"/>
          <w:bottom w:val="nil"/>
          <w:right w:val="nil"/>
          <w:between w:val="nil"/>
        </w:pBdr>
        <w:spacing w:after="0"/>
      </w:pPr>
      <w:r>
        <w:t>Uniti Fiber</w:t>
      </w:r>
    </w:p>
    <w:p w:rsidR="00303CA6" w:rsidP="006F78D2" w:rsidRDefault="00303CA6" w14:paraId="17BCCE04" w14:textId="77777777">
      <w:pPr>
        <w:numPr>
          <w:ilvl w:val="0"/>
          <w:numId w:val="33"/>
        </w:numPr>
        <w:pBdr>
          <w:top w:val="nil"/>
          <w:left w:val="nil"/>
          <w:bottom w:val="nil"/>
          <w:right w:val="nil"/>
          <w:between w:val="nil"/>
        </w:pBdr>
        <w:spacing w:after="0"/>
      </w:pPr>
      <w:r>
        <w:t>University of Alabama - Alabama Small Business Development</w:t>
      </w:r>
    </w:p>
    <w:p w:rsidR="00303CA6" w:rsidP="006F78D2" w:rsidRDefault="00303CA6" w14:paraId="413829BF" w14:textId="77777777">
      <w:pPr>
        <w:numPr>
          <w:ilvl w:val="0"/>
          <w:numId w:val="33"/>
        </w:numPr>
        <w:pBdr>
          <w:top w:val="nil"/>
          <w:left w:val="nil"/>
          <w:bottom w:val="nil"/>
          <w:right w:val="nil"/>
          <w:between w:val="nil"/>
        </w:pBdr>
        <w:spacing w:after="0"/>
      </w:pPr>
      <w:r>
        <w:t>Wallace Community College</w:t>
      </w:r>
    </w:p>
    <w:p w:rsidR="00303CA6" w:rsidP="006F78D2" w:rsidRDefault="00303CA6" w14:paraId="22A66A5E" w14:textId="77777777">
      <w:pPr>
        <w:numPr>
          <w:ilvl w:val="0"/>
          <w:numId w:val="33"/>
        </w:numPr>
        <w:pBdr>
          <w:top w:val="nil"/>
          <w:left w:val="nil"/>
          <w:bottom w:val="nil"/>
          <w:right w:val="nil"/>
          <w:between w:val="nil"/>
        </w:pBdr>
        <w:spacing w:after="0"/>
      </w:pPr>
      <w:r>
        <w:t>West Escambia Utilities</w:t>
      </w:r>
    </w:p>
    <w:p w:rsidR="00303CA6" w:rsidP="006F78D2" w:rsidRDefault="00303CA6" w14:paraId="654B53CA" w14:textId="77777777">
      <w:pPr>
        <w:numPr>
          <w:ilvl w:val="0"/>
          <w:numId w:val="33"/>
        </w:numPr>
        <w:pBdr>
          <w:top w:val="nil"/>
          <w:left w:val="nil"/>
          <w:bottom w:val="nil"/>
          <w:right w:val="nil"/>
          <w:between w:val="nil"/>
        </w:pBdr>
        <w:spacing w:after="0"/>
      </w:pPr>
      <w:r>
        <w:t>WOW!</w:t>
      </w:r>
    </w:p>
    <w:p w:rsidR="00135F5C" w:rsidP="00321FA1" w:rsidRDefault="00135F5C" w14:paraId="454306F2" w14:textId="23235A04"/>
    <w:p w:rsidR="00135F5C" w:rsidRDefault="00135F5C" w14:paraId="1E411C3A" w14:textId="77777777">
      <w:pPr>
        <w:jc w:val="left"/>
      </w:pPr>
      <w:r>
        <w:br w:type="page"/>
      </w:r>
    </w:p>
    <w:p w:rsidRPr="00321FA1" w:rsidR="00D93F51" w:rsidP="00D93F51" w:rsidRDefault="00D93F51" w14:paraId="7755D406" w14:textId="3722E2CA">
      <w:pPr>
        <w:pStyle w:val="Heading1"/>
        <w:numPr>
          <w:ilvl w:val="0"/>
          <w:numId w:val="0"/>
        </w:numPr>
      </w:pPr>
      <w:bookmarkStart w:name="_Ref149032489" w:id="355"/>
      <w:bookmarkStart w:name="_Toc150852753" w:id="356"/>
      <w:r w:rsidRPr="00321FA1">
        <w:t xml:space="preserve">Appendix </w:t>
      </w:r>
      <w:r w:rsidR="00D12B94">
        <w:t>D</w:t>
      </w:r>
      <w:r w:rsidRPr="00321FA1">
        <w:t>:</w:t>
      </w:r>
      <w:r>
        <w:t xml:space="preserve"> </w:t>
      </w:r>
      <w:r w:rsidR="006F3D50">
        <w:t xml:space="preserve">Summary </w:t>
      </w:r>
      <w:r>
        <w:t xml:space="preserve">of subgrantee </w:t>
      </w:r>
      <w:r w:rsidR="00DA162F">
        <w:t xml:space="preserve">selection </w:t>
      </w:r>
      <w:r>
        <w:t>process</w:t>
      </w:r>
      <w:bookmarkEnd w:id="355"/>
      <w:bookmarkEnd w:id="356"/>
    </w:p>
    <w:p w:rsidRPr="00DE4A81" w:rsidR="00062E8C" w:rsidP="00062E8C" w:rsidRDefault="00062E8C" w14:paraId="2D291E01" w14:textId="2301BED1">
      <w:r w:rsidRPr="00DE4A81">
        <w:t xml:space="preserve">The following table organizes the documents required from ADECA and from the subgrantee at different points in the subgrantee </w:t>
      </w:r>
      <w:r w:rsidR="000E7C84">
        <w:t xml:space="preserve">selection </w:t>
      </w:r>
      <w:r w:rsidRPr="00DE4A81">
        <w:t>process</w:t>
      </w:r>
      <w:r w:rsidR="00D93F51">
        <w:t xml:space="preserve"> (see </w:t>
      </w:r>
      <w:r w:rsidR="00D93F51">
        <w:fldChar w:fldCharType="begin"/>
      </w:r>
      <w:r w:rsidR="00D93F51">
        <w:instrText xml:space="preserve"> REF _Ref149032416 \h </w:instrText>
      </w:r>
      <w:r w:rsidR="00D93F51">
        <w:fldChar w:fldCharType="separate"/>
      </w:r>
      <w:r w:rsidR="00210A76">
        <w:t>Deployment subgrantee selection (Requirement 8)</w:t>
      </w:r>
      <w:r w:rsidR="00D93F51">
        <w:fldChar w:fldCharType="end"/>
      </w:r>
      <w:r w:rsidR="00A46130">
        <w:t xml:space="preserve"> above</w:t>
      </w:r>
      <w:r w:rsidR="00D93F51">
        <w:t>)</w:t>
      </w:r>
      <w:r w:rsidRPr="00DE4A81">
        <w:t xml:space="preserve">. The table is </w:t>
      </w:r>
      <w:r w:rsidR="008B7A7F">
        <w:t xml:space="preserve">a </w:t>
      </w:r>
      <w:r w:rsidRPr="00DE4A81">
        <w:t>visualization of the process</w:t>
      </w:r>
      <w:r w:rsidR="008B7A7F">
        <w:t>,</w:t>
      </w:r>
      <w:r w:rsidRPr="00DE4A81">
        <w:t xml:space="preserve"> not a full accounting of the details of each required document</w:t>
      </w:r>
      <w:r w:rsidR="008B7A7F">
        <w:t>.</w:t>
      </w:r>
    </w:p>
    <w:p w:rsidR="00DA162F" w:rsidP="00DA162F" w:rsidRDefault="00DA162F" w14:paraId="642CF4DD" w14:textId="74C83308">
      <w:pPr>
        <w:pStyle w:val="Caption"/>
      </w:pPr>
      <w:bookmarkStart w:name="_Toc150852797" w:id="357"/>
      <w:r>
        <w:t xml:space="preserve">Table </w:t>
      </w:r>
      <w:r w:rsidR="00597437">
        <w:fldChar w:fldCharType="begin"/>
      </w:r>
      <w:r w:rsidR="00597437">
        <w:instrText xml:space="preserve"> SEQ Table \* ARABIC </w:instrText>
      </w:r>
      <w:r w:rsidR="00597437">
        <w:fldChar w:fldCharType="separate"/>
      </w:r>
      <w:r w:rsidR="00444AF1">
        <w:rPr>
          <w:noProof/>
        </w:rPr>
        <w:t>22</w:t>
      </w:r>
      <w:r w:rsidR="00597437">
        <w:rPr>
          <w:noProof/>
        </w:rPr>
        <w:fldChar w:fldCharType="end"/>
      </w:r>
      <w:r>
        <w:t>: Summary of subgrantee selection process documents and milestones</w:t>
      </w:r>
      <w:bookmarkEnd w:id="357"/>
    </w:p>
    <w:tbl>
      <w:tblPr>
        <w:tblStyle w:val="TableGrid"/>
        <w:tblW w:w="0" w:type="auto"/>
        <w:tblLook w:val="04A0" w:firstRow="1" w:lastRow="0" w:firstColumn="1" w:lastColumn="0" w:noHBand="0" w:noVBand="1"/>
      </w:tblPr>
      <w:tblGrid>
        <w:gridCol w:w="1626"/>
        <w:gridCol w:w="3096"/>
        <w:gridCol w:w="3600"/>
        <w:gridCol w:w="1028"/>
      </w:tblGrid>
      <w:tr w:rsidRPr="00DE4A81" w:rsidR="00062E8C" w:rsidTr="006C4935" w14:paraId="013DAF94" w14:textId="77777777">
        <w:trPr>
          <w:tblHeader/>
        </w:trPr>
        <w:tc>
          <w:tcPr>
            <w:tcW w:w="1525" w:type="dxa"/>
            <w:vMerge w:val="restart"/>
            <w:tcBorders>
              <w:bottom w:val="single" w:color="FFFFFF" w:themeColor="background1" w:sz="4" w:space="0"/>
              <w:right w:val="single" w:color="FFFFFF" w:themeColor="background1" w:sz="4" w:space="0"/>
            </w:tcBorders>
            <w:shd w:val="clear" w:color="auto" w:fill="244061" w:themeFill="accent1" w:themeFillShade="80"/>
            <w:vAlign w:val="center"/>
          </w:tcPr>
          <w:p w:rsidRPr="002348E2" w:rsidR="00062E8C" w:rsidP="00C46481" w:rsidRDefault="00062E8C" w14:paraId="1D70C490" w14:textId="77777777">
            <w:pPr>
              <w:pStyle w:val="xmsonormal"/>
              <w:widowControl/>
              <w:spacing w:before="120" w:beforeAutospacing="0" w:after="120" w:afterAutospacing="0"/>
              <w:jc w:val="center"/>
              <w:rPr>
                <w:rFonts w:ascii="Gill Sans MT" w:hAnsi="Gill Sans MT" w:cs="Arial"/>
                <w:color w:val="FFFFFF" w:themeColor="background1"/>
                <w:sz w:val="22"/>
                <w:szCs w:val="22"/>
                <w:bdr w:val="none" w:color="auto" w:sz="0" w:space="0" w:frame="1"/>
              </w:rPr>
            </w:pPr>
            <w:r w:rsidRPr="002348E2">
              <w:rPr>
                <w:rFonts w:ascii="Gill Sans MT" w:hAnsi="Gill Sans MT" w:cs="Arial"/>
                <w:color w:val="FFFFFF" w:themeColor="background1"/>
                <w:sz w:val="22"/>
                <w:szCs w:val="22"/>
                <w:bdr w:val="none" w:color="auto" w:sz="0" w:space="0" w:frame="1"/>
              </w:rPr>
              <w:t>Phase</w:t>
            </w:r>
          </w:p>
        </w:tc>
        <w:tc>
          <w:tcPr>
            <w:tcW w:w="3150" w:type="dxa"/>
            <w:vMerge w:val="restart"/>
            <w:tcBorders>
              <w:left w:val="single" w:color="FFFFFF" w:themeColor="background1" w:sz="4" w:space="0"/>
              <w:bottom w:val="single" w:color="FFFFFF" w:themeColor="background1" w:sz="4" w:space="0"/>
              <w:right w:val="single" w:color="FFFFFF" w:themeColor="background1" w:sz="4" w:space="0"/>
            </w:tcBorders>
            <w:shd w:val="clear" w:color="auto" w:fill="244061" w:themeFill="accent1" w:themeFillShade="80"/>
            <w:vAlign w:val="center"/>
          </w:tcPr>
          <w:p w:rsidRPr="002348E2" w:rsidR="00062E8C" w:rsidP="00C46481" w:rsidRDefault="00062E8C" w14:paraId="0A3184A2" w14:textId="77777777">
            <w:pPr>
              <w:pStyle w:val="xmsonormal"/>
              <w:widowControl/>
              <w:spacing w:before="120" w:beforeAutospacing="0" w:after="120" w:afterAutospacing="0"/>
              <w:jc w:val="center"/>
              <w:rPr>
                <w:rFonts w:ascii="Gill Sans MT" w:hAnsi="Gill Sans MT" w:cs="Arial"/>
                <w:color w:val="FFFFFF" w:themeColor="background1"/>
                <w:sz w:val="22"/>
                <w:szCs w:val="22"/>
                <w:bdr w:val="none" w:color="auto" w:sz="0" w:space="0" w:frame="1"/>
              </w:rPr>
            </w:pPr>
            <w:r w:rsidRPr="002348E2">
              <w:rPr>
                <w:rFonts w:ascii="Gill Sans MT" w:hAnsi="Gill Sans MT" w:cs="Arial"/>
                <w:color w:val="FFFFFF" w:themeColor="background1"/>
                <w:sz w:val="22"/>
                <w:szCs w:val="22"/>
                <w:bdr w:val="none" w:color="auto" w:sz="0" w:space="0" w:frame="1"/>
              </w:rPr>
              <w:t>ADECA provides</w:t>
            </w:r>
          </w:p>
        </w:tc>
        <w:tc>
          <w:tcPr>
            <w:tcW w:w="4675" w:type="dxa"/>
            <w:gridSpan w:val="2"/>
            <w:tcBorders>
              <w:left w:val="single" w:color="FFFFFF" w:themeColor="background1" w:sz="4" w:space="0"/>
              <w:bottom w:val="single" w:color="FFFFFF" w:themeColor="background1" w:sz="4" w:space="0"/>
            </w:tcBorders>
            <w:shd w:val="clear" w:color="auto" w:fill="244061" w:themeFill="accent1" w:themeFillShade="80"/>
            <w:vAlign w:val="center"/>
          </w:tcPr>
          <w:p w:rsidRPr="002348E2" w:rsidR="00062E8C" w:rsidP="00C46481" w:rsidRDefault="00062E8C" w14:paraId="28B9F6CC" w14:textId="77777777">
            <w:pPr>
              <w:pStyle w:val="xmsonormal"/>
              <w:widowControl/>
              <w:spacing w:before="120" w:beforeAutospacing="0" w:after="120" w:afterAutospacing="0"/>
              <w:jc w:val="center"/>
              <w:rPr>
                <w:rFonts w:ascii="Gill Sans MT" w:hAnsi="Gill Sans MT" w:cs="Arial"/>
                <w:color w:val="FFFFFF" w:themeColor="background1"/>
                <w:sz w:val="22"/>
                <w:szCs w:val="22"/>
                <w:bdr w:val="none" w:color="auto" w:sz="0" w:space="0" w:frame="1"/>
              </w:rPr>
            </w:pPr>
            <w:r w:rsidRPr="002348E2">
              <w:rPr>
                <w:rFonts w:ascii="Gill Sans MT" w:hAnsi="Gill Sans MT" w:cs="Arial"/>
                <w:color w:val="FFFFFF" w:themeColor="background1"/>
                <w:sz w:val="22"/>
                <w:szCs w:val="22"/>
                <w:bdr w:val="none" w:color="auto" w:sz="0" w:space="0" w:frame="1"/>
              </w:rPr>
              <w:t>Subgrantee provides</w:t>
            </w:r>
          </w:p>
        </w:tc>
      </w:tr>
      <w:tr w:rsidRPr="00DE4A81" w:rsidR="00062E8C" w:rsidTr="006C4935" w14:paraId="3581A92D" w14:textId="77777777">
        <w:tc>
          <w:tcPr>
            <w:tcW w:w="1525" w:type="dxa"/>
            <w:vMerge/>
            <w:tcBorders>
              <w:top w:val="single" w:color="FFFFFF" w:themeColor="background1" w:sz="4" w:space="0"/>
              <w:right w:val="nil"/>
            </w:tcBorders>
            <w:vAlign w:val="center"/>
          </w:tcPr>
          <w:p w:rsidRPr="002348E2" w:rsidR="00062E8C" w:rsidP="00C46481" w:rsidRDefault="00062E8C" w14:paraId="36856E79" w14:textId="77777777">
            <w:pPr>
              <w:pStyle w:val="xmsonormal"/>
              <w:widowControl/>
              <w:spacing w:before="120" w:beforeAutospacing="0" w:after="120" w:afterAutospacing="0"/>
              <w:jc w:val="center"/>
              <w:rPr>
                <w:rFonts w:ascii="Gill Sans MT" w:hAnsi="Gill Sans MT" w:cs="Arial"/>
                <w:color w:val="FFFFFF" w:themeColor="background1"/>
                <w:sz w:val="22"/>
                <w:szCs w:val="22"/>
                <w:bdr w:val="none" w:color="auto" w:sz="0" w:space="0" w:frame="1"/>
              </w:rPr>
            </w:pPr>
          </w:p>
        </w:tc>
        <w:tc>
          <w:tcPr>
            <w:tcW w:w="3150" w:type="dxa"/>
            <w:vMerge/>
            <w:tcBorders>
              <w:top w:val="single" w:color="FFFFFF" w:themeColor="background1" w:sz="4" w:space="0"/>
              <w:left w:val="nil"/>
              <w:right w:val="nil"/>
            </w:tcBorders>
            <w:vAlign w:val="center"/>
          </w:tcPr>
          <w:p w:rsidRPr="002348E2" w:rsidR="00062E8C" w:rsidP="00C46481" w:rsidRDefault="00062E8C" w14:paraId="37EBEA28" w14:textId="77777777">
            <w:pPr>
              <w:pStyle w:val="xmsonormal"/>
              <w:widowControl/>
              <w:spacing w:before="120" w:beforeAutospacing="0" w:after="120" w:afterAutospacing="0"/>
              <w:jc w:val="center"/>
              <w:rPr>
                <w:rFonts w:ascii="Gill Sans MT" w:hAnsi="Gill Sans MT" w:cs="Arial"/>
                <w:color w:val="FFFFFF" w:themeColor="background1"/>
                <w:sz w:val="22"/>
                <w:szCs w:val="22"/>
                <w:bdr w:val="none" w:color="auto" w:sz="0" w:space="0" w:frame="1"/>
              </w:rPr>
            </w:pPr>
          </w:p>
        </w:tc>
        <w:tc>
          <w:tcPr>
            <w:tcW w:w="3646" w:type="dxa"/>
            <w:tcBorders>
              <w:top w:val="single" w:color="FFFFFF" w:themeColor="background1" w:sz="4" w:space="0"/>
              <w:left w:val="nil"/>
              <w:right w:val="single" w:color="FFFFFF" w:themeColor="background1" w:sz="4" w:space="0"/>
            </w:tcBorders>
            <w:shd w:val="clear" w:color="auto" w:fill="244061" w:themeFill="accent1" w:themeFillShade="80"/>
            <w:vAlign w:val="center"/>
          </w:tcPr>
          <w:p w:rsidRPr="002348E2" w:rsidR="00062E8C" w:rsidP="00C46481" w:rsidRDefault="00062E8C" w14:paraId="7082C96F" w14:textId="77777777">
            <w:pPr>
              <w:pStyle w:val="xmsonormal"/>
              <w:widowControl/>
              <w:spacing w:before="120" w:beforeAutospacing="0" w:after="120" w:afterAutospacing="0"/>
              <w:jc w:val="center"/>
              <w:rPr>
                <w:rFonts w:ascii="Gill Sans MT" w:hAnsi="Gill Sans MT" w:cs="Arial"/>
                <w:color w:val="FFFFFF" w:themeColor="background1"/>
                <w:sz w:val="22"/>
                <w:szCs w:val="22"/>
                <w:bdr w:val="none" w:color="auto" w:sz="0" w:space="0" w:frame="1"/>
              </w:rPr>
            </w:pPr>
            <w:r w:rsidRPr="002348E2">
              <w:rPr>
                <w:rFonts w:ascii="Gill Sans MT" w:hAnsi="Gill Sans MT" w:cs="Arial"/>
                <w:color w:val="FFFFFF" w:themeColor="background1"/>
                <w:sz w:val="22"/>
                <w:szCs w:val="22"/>
                <w:bdr w:val="none" w:color="auto" w:sz="0" w:space="0" w:frame="1"/>
              </w:rPr>
              <w:t>Brief description</w:t>
            </w:r>
          </w:p>
        </w:tc>
        <w:tc>
          <w:tcPr>
            <w:tcW w:w="1029" w:type="dxa"/>
            <w:tcBorders>
              <w:top w:val="single" w:color="FFFFFF" w:themeColor="background1" w:sz="4" w:space="0"/>
              <w:left w:val="single" w:color="FFFFFF" w:themeColor="background1" w:sz="4" w:space="0"/>
            </w:tcBorders>
            <w:shd w:val="clear" w:color="auto" w:fill="244061" w:themeFill="accent1" w:themeFillShade="80"/>
            <w:vAlign w:val="center"/>
          </w:tcPr>
          <w:p w:rsidRPr="002348E2" w:rsidR="00062E8C" w:rsidP="00C46481" w:rsidRDefault="00062E8C" w14:paraId="64769D69" w14:textId="1EAC12F5">
            <w:pPr>
              <w:pStyle w:val="xmsonormal"/>
              <w:widowControl/>
              <w:spacing w:before="120" w:beforeAutospacing="0" w:after="120" w:afterAutospacing="0"/>
              <w:jc w:val="center"/>
              <w:rPr>
                <w:rFonts w:ascii="Gill Sans MT" w:hAnsi="Gill Sans MT" w:cs="Arial"/>
                <w:color w:val="FFFFFF" w:themeColor="background1"/>
                <w:sz w:val="22"/>
                <w:szCs w:val="22"/>
                <w:bdr w:val="none" w:color="auto" w:sz="0" w:space="0" w:frame="1"/>
              </w:rPr>
            </w:pPr>
            <w:r w:rsidRPr="002348E2">
              <w:rPr>
                <w:rFonts w:ascii="Gill Sans MT" w:hAnsi="Gill Sans MT" w:cs="Arial"/>
                <w:color w:val="FFFFFF" w:themeColor="background1"/>
                <w:sz w:val="22"/>
                <w:szCs w:val="22"/>
                <w:bdr w:val="none" w:color="auto" w:sz="0" w:space="0" w:frame="1"/>
              </w:rPr>
              <w:t>Section</w:t>
            </w:r>
            <w:r w:rsidR="00647559">
              <w:rPr>
                <w:rFonts w:ascii="Gill Sans MT" w:hAnsi="Gill Sans MT" w:cs="Arial"/>
                <w:color w:val="FFFFFF" w:themeColor="background1"/>
                <w:sz w:val="22"/>
                <w:szCs w:val="22"/>
                <w:bdr w:val="none" w:color="auto" w:sz="0" w:space="0" w:frame="1"/>
              </w:rPr>
              <w:t xml:space="preserve"> of this Initial Proposal</w:t>
            </w:r>
          </w:p>
        </w:tc>
      </w:tr>
      <w:tr w:rsidRPr="00DE4A81" w:rsidR="00062E8C" w:rsidTr="006C4935" w14:paraId="18B8BF95" w14:textId="77777777">
        <w:tc>
          <w:tcPr>
            <w:tcW w:w="1525" w:type="dxa"/>
          </w:tcPr>
          <w:p w:rsidRPr="00DE4A81" w:rsidR="00062E8C" w:rsidP="00C46481" w:rsidRDefault="00062E8C" w14:paraId="4A43E9A1"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Preparatory</w:t>
            </w:r>
          </w:p>
        </w:tc>
        <w:tc>
          <w:tcPr>
            <w:tcW w:w="3150" w:type="dxa"/>
          </w:tcPr>
          <w:p w:rsidRPr="00DE4A81" w:rsidR="00062E8C" w:rsidP="00C46481" w:rsidRDefault="00062E8C" w14:paraId="2A66ADDD" w14:textId="082C82A2">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 xml:space="preserve">Prequalification materials (Application, Program Guide, FAQ documents, model </w:t>
            </w:r>
            <w:r w:rsidR="00F85045">
              <w:rPr>
                <w:rFonts w:ascii="Gill Sans MT" w:hAnsi="Gill Sans MT" w:cs="Arial"/>
                <w:color w:val="242424"/>
                <w:sz w:val="22"/>
                <w:szCs w:val="22"/>
                <w:bdr w:val="none" w:color="auto" w:sz="0" w:space="0" w:frame="1"/>
              </w:rPr>
              <w:t>LOC</w:t>
            </w:r>
            <w:r w:rsidRPr="00DE4A81">
              <w:rPr>
                <w:rFonts w:ascii="Gill Sans MT" w:hAnsi="Gill Sans MT" w:cs="Arial"/>
                <w:color w:val="242424"/>
                <w:sz w:val="22"/>
                <w:szCs w:val="22"/>
                <w:bdr w:val="none" w:color="auto" w:sz="0" w:space="0" w:frame="1"/>
              </w:rPr>
              <w:t>, list of required licenses and certifications)</w:t>
            </w:r>
          </w:p>
        </w:tc>
        <w:tc>
          <w:tcPr>
            <w:tcW w:w="3646" w:type="dxa"/>
          </w:tcPr>
          <w:p w:rsidRPr="00DE4A81" w:rsidR="00062E8C" w:rsidP="00C46481" w:rsidRDefault="00062E8C" w14:paraId="4028D219"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1029" w:type="dxa"/>
          </w:tcPr>
          <w:p w:rsidRPr="00DE4A81" w:rsidR="00062E8C" w:rsidP="00C46481" w:rsidRDefault="00062E8C" w14:paraId="7910E89D"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r>
      <w:tr w:rsidRPr="00DE4A81" w:rsidR="00062E8C" w:rsidTr="006C4935" w14:paraId="46522411" w14:textId="77777777">
        <w:tc>
          <w:tcPr>
            <w:tcW w:w="1525" w:type="dxa"/>
          </w:tcPr>
          <w:p w:rsidRPr="00DE4A81" w:rsidR="00062E8C" w:rsidP="00C46481" w:rsidRDefault="00062E8C" w14:paraId="029A6404"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77FB995C"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Template for detailing other public funding</w:t>
            </w:r>
          </w:p>
        </w:tc>
        <w:tc>
          <w:tcPr>
            <w:tcW w:w="3646" w:type="dxa"/>
          </w:tcPr>
          <w:p w:rsidRPr="00DE4A81" w:rsidR="00062E8C" w:rsidP="00C46481" w:rsidRDefault="00062E8C" w14:paraId="0A374933"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1029" w:type="dxa"/>
          </w:tcPr>
          <w:p w:rsidRPr="00DE4A81" w:rsidR="00062E8C" w:rsidP="00C46481" w:rsidRDefault="00062E8C" w14:paraId="05FFEDCA"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r>
      <w:tr w:rsidRPr="00DE4A81" w:rsidR="00062E8C" w:rsidTr="006C4935" w14:paraId="75106FE2" w14:textId="77777777">
        <w:tc>
          <w:tcPr>
            <w:tcW w:w="1525" w:type="dxa"/>
          </w:tcPr>
          <w:p w:rsidRPr="00DE4A81" w:rsidR="00062E8C" w:rsidP="00C46481" w:rsidRDefault="00062E8C" w14:paraId="583E772B"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6F6E8209"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Website information (also directing to third-party resources)</w:t>
            </w:r>
          </w:p>
        </w:tc>
        <w:tc>
          <w:tcPr>
            <w:tcW w:w="3646" w:type="dxa"/>
          </w:tcPr>
          <w:p w:rsidRPr="00DE4A81" w:rsidR="00062E8C" w:rsidP="00C46481" w:rsidRDefault="00062E8C" w14:paraId="7D7F962A"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1029" w:type="dxa"/>
          </w:tcPr>
          <w:p w:rsidRPr="00DE4A81" w:rsidR="00062E8C" w:rsidP="00C46481" w:rsidRDefault="00062E8C" w14:paraId="22B0D60D"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r>
      <w:tr w:rsidRPr="00DE4A81" w:rsidR="00062E8C" w:rsidTr="006C4935" w14:paraId="79B19207" w14:textId="77777777">
        <w:tc>
          <w:tcPr>
            <w:tcW w:w="1525" w:type="dxa"/>
          </w:tcPr>
          <w:p w:rsidRPr="00DE4A81" w:rsidR="00062E8C" w:rsidP="00C46481" w:rsidRDefault="00062E8C" w14:paraId="12A13607"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4DA26702"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Online application workshop and workshop materials</w:t>
            </w:r>
          </w:p>
        </w:tc>
        <w:tc>
          <w:tcPr>
            <w:tcW w:w="3646" w:type="dxa"/>
          </w:tcPr>
          <w:p w:rsidRPr="00DE4A81" w:rsidR="00062E8C" w:rsidP="00C46481" w:rsidRDefault="00062E8C" w14:paraId="6A56A7F8"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1029" w:type="dxa"/>
          </w:tcPr>
          <w:p w:rsidRPr="00DE4A81" w:rsidR="00062E8C" w:rsidP="00C46481" w:rsidRDefault="00062E8C" w14:paraId="1976B2AF"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r>
      <w:tr w:rsidRPr="00DE4A81" w:rsidR="00062E8C" w:rsidTr="006C4935" w14:paraId="7A112582" w14:textId="77777777">
        <w:tc>
          <w:tcPr>
            <w:tcW w:w="1525" w:type="dxa"/>
          </w:tcPr>
          <w:p w:rsidRPr="00DE4A81" w:rsidR="00062E8C" w:rsidP="00C46481" w:rsidRDefault="00062E8C" w14:paraId="2C3C0810"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160E087C"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Continual updates to FAQ document as questions are received and answered</w:t>
            </w:r>
          </w:p>
        </w:tc>
        <w:tc>
          <w:tcPr>
            <w:tcW w:w="3646" w:type="dxa"/>
          </w:tcPr>
          <w:p w:rsidRPr="00DE4A81" w:rsidR="00062E8C" w:rsidP="00C46481" w:rsidRDefault="00062E8C" w14:paraId="33683924"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1029" w:type="dxa"/>
          </w:tcPr>
          <w:p w:rsidRPr="00DE4A81" w:rsidR="00062E8C" w:rsidP="00C46481" w:rsidRDefault="00062E8C" w14:paraId="4064E77B"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r>
      <w:tr w:rsidRPr="00DE4A81" w:rsidR="00062E8C" w14:paraId="61EA959B" w14:textId="77777777">
        <w:tc>
          <w:tcPr>
            <w:tcW w:w="9350" w:type="dxa"/>
            <w:gridSpan w:val="4"/>
            <w:shd w:val="clear" w:color="auto" w:fill="DBE5F1" w:themeFill="accent1" w:themeFillTint="33"/>
          </w:tcPr>
          <w:p w:rsidRPr="00DE4A81" w:rsidR="00062E8C" w:rsidP="00C46481" w:rsidRDefault="00062E8C" w14:paraId="7ED8E588" w14:textId="0EDACDB8">
            <w:pPr>
              <w:pStyle w:val="xmsonormal"/>
              <w:widowControl/>
              <w:spacing w:before="0" w:beforeAutospacing="0" w:after="0" w:afterAutospacing="0"/>
              <w:jc w:val="center"/>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 xml:space="preserve">Prequalification </w:t>
            </w:r>
            <w:r w:rsidR="00E54DA7">
              <w:rPr>
                <w:rFonts w:ascii="Gill Sans MT" w:hAnsi="Gill Sans MT" w:cs="Arial"/>
                <w:color w:val="242424"/>
                <w:sz w:val="22"/>
                <w:szCs w:val="22"/>
                <w:bdr w:val="none" w:color="auto" w:sz="0" w:space="0" w:frame="1"/>
              </w:rPr>
              <w:t xml:space="preserve">Phase </w:t>
            </w:r>
            <w:r w:rsidRPr="00DE4A81">
              <w:rPr>
                <w:rFonts w:ascii="Gill Sans MT" w:hAnsi="Gill Sans MT" w:cs="Arial"/>
                <w:color w:val="242424"/>
                <w:sz w:val="22"/>
                <w:szCs w:val="22"/>
                <w:bdr w:val="none" w:color="auto" w:sz="0" w:space="0" w:frame="1"/>
              </w:rPr>
              <w:t>submission window opens</w:t>
            </w:r>
          </w:p>
        </w:tc>
      </w:tr>
      <w:tr w:rsidRPr="00DE4A81" w:rsidR="00062E8C" w:rsidTr="006C4935" w14:paraId="582302F8" w14:textId="77777777">
        <w:tc>
          <w:tcPr>
            <w:tcW w:w="1525" w:type="dxa"/>
          </w:tcPr>
          <w:p w:rsidRPr="00DE4A81" w:rsidR="00062E8C" w:rsidP="00C46481" w:rsidRDefault="00062E8C" w14:paraId="7F7A373E"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Prequalification</w:t>
            </w:r>
          </w:p>
        </w:tc>
        <w:tc>
          <w:tcPr>
            <w:tcW w:w="3150" w:type="dxa"/>
          </w:tcPr>
          <w:p w:rsidRPr="00DE4A81" w:rsidR="00062E8C" w:rsidP="00C46481" w:rsidRDefault="00062E8C" w14:paraId="0EA640DC"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Dedicated email address for questions and technical assistance</w:t>
            </w:r>
          </w:p>
        </w:tc>
        <w:tc>
          <w:tcPr>
            <w:tcW w:w="3646" w:type="dxa"/>
          </w:tcPr>
          <w:p w:rsidRPr="00DE4A81" w:rsidR="00062E8C" w:rsidP="00C46481" w:rsidRDefault="00B45B72" w14:paraId="1B12EACD" w14:textId="2E930F51">
            <w:pPr>
              <w:pStyle w:val="xmsonormal"/>
              <w:widowControl/>
              <w:spacing w:before="0" w:beforeAutospacing="0" w:after="0" w:afterAutospacing="0"/>
              <w:rPr>
                <w:rFonts w:ascii="Gill Sans MT" w:hAnsi="Gill Sans MT" w:cs="Arial"/>
                <w:color w:val="242424"/>
                <w:sz w:val="22"/>
                <w:szCs w:val="22"/>
                <w:bdr w:val="none" w:color="auto" w:sz="0" w:space="0" w:frame="1"/>
              </w:rPr>
            </w:pPr>
            <w:r w:rsidRPr="00E4178C">
              <w:rPr>
                <w:rFonts w:ascii="Gill Sans MT" w:hAnsi="Gill Sans MT"/>
                <w:sz w:val="22"/>
                <w:szCs w:val="22"/>
              </w:rPr>
              <w:t>Required f</w:t>
            </w:r>
            <w:r w:rsidRPr="00E4178C" w:rsidR="007257F6">
              <w:rPr>
                <w:rFonts w:ascii="Gill Sans MT" w:hAnsi="Gill Sans MT"/>
                <w:sz w:val="22"/>
                <w:szCs w:val="22"/>
              </w:rPr>
              <w:t xml:space="preserve">inancial statements </w:t>
            </w:r>
            <w:r w:rsidRPr="006C4935">
              <w:rPr>
                <w:rFonts w:ascii="Gill Sans MT" w:hAnsi="Gill Sans MT"/>
                <w:sz w:val="22"/>
                <w:szCs w:val="22"/>
              </w:rPr>
              <w:t xml:space="preserve">and other evidence of financial capability </w:t>
            </w:r>
          </w:p>
        </w:tc>
        <w:tc>
          <w:tcPr>
            <w:tcW w:w="1029" w:type="dxa"/>
          </w:tcPr>
          <w:p w:rsidRPr="00DE4A81" w:rsidR="00062E8C" w:rsidP="00C46481" w:rsidRDefault="00062E8C" w14:paraId="3FC67AC3"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5.3.1</w:t>
            </w:r>
          </w:p>
          <w:p w:rsidRPr="00DE4A81" w:rsidR="00062E8C" w:rsidP="00C46481" w:rsidRDefault="00062E8C" w14:paraId="3C605ED6"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5.12.3</w:t>
            </w:r>
          </w:p>
        </w:tc>
      </w:tr>
      <w:tr w:rsidRPr="00DE4A81" w:rsidR="00062E8C" w:rsidTr="006C4935" w14:paraId="516CBB70" w14:textId="77777777">
        <w:tc>
          <w:tcPr>
            <w:tcW w:w="1525" w:type="dxa"/>
          </w:tcPr>
          <w:p w:rsidRPr="00DE4A81" w:rsidR="00062E8C" w:rsidP="00C46481" w:rsidRDefault="00062E8C" w14:paraId="5235CC05"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74E0B32E"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Continual updates to FAQ document as questions are received and answered</w:t>
            </w:r>
          </w:p>
        </w:tc>
        <w:tc>
          <w:tcPr>
            <w:tcW w:w="3646" w:type="dxa"/>
          </w:tcPr>
          <w:p w:rsidRPr="00DE4A81" w:rsidR="00062E8C" w:rsidP="00C46481" w:rsidRDefault="00062E8C" w14:paraId="6B46E3F8"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Statement signed by executive of company certifying financial qualifications</w:t>
            </w:r>
          </w:p>
        </w:tc>
        <w:tc>
          <w:tcPr>
            <w:tcW w:w="1029" w:type="dxa"/>
          </w:tcPr>
          <w:p w:rsidRPr="00DE4A81" w:rsidR="00062E8C" w:rsidP="00C46481" w:rsidRDefault="00062E8C" w14:paraId="19A48F77"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5.3.1</w:t>
            </w:r>
          </w:p>
          <w:p w:rsidRPr="00DE4A81" w:rsidR="00062E8C" w:rsidP="00C46481" w:rsidRDefault="00062E8C" w14:paraId="59209122"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5.12.1</w:t>
            </w:r>
          </w:p>
        </w:tc>
      </w:tr>
      <w:tr w:rsidRPr="00DE4A81" w:rsidR="00062E8C" w:rsidTr="006C4935" w14:paraId="62CA5E42" w14:textId="77777777">
        <w:tc>
          <w:tcPr>
            <w:tcW w:w="1525" w:type="dxa"/>
          </w:tcPr>
          <w:p w:rsidRPr="00DE4A81" w:rsidR="00062E8C" w:rsidP="00C46481" w:rsidRDefault="00062E8C" w14:paraId="535F9BB7"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15E5A821"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Updates and reminders on milestones, deadlines, or technical resources as they come up</w:t>
            </w:r>
          </w:p>
        </w:tc>
        <w:tc>
          <w:tcPr>
            <w:tcW w:w="3646" w:type="dxa"/>
          </w:tcPr>
          <w:p w:rsidRPr="00DE4A81" w:rsidR="00062E8C" w:rsidP="00C46481" w:rsidRDefault="00062E8C" w14:paraId="266FBC01" w14:textId="4248A316">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Resumes of management staff, CTO, contractor oversight team, and other key personnel; and description</w:t>
            </w:r>
            <w:r w:rsidR="00372A63">
              <w:rPr>
                <w:rFonts w:ascii="Gill Sans MT" w:hAnsi="Gill Sans MT" w:cs="Arial"/>
                <w:color w:val="242424"/>
                <w:sz w:val="22"/>
                <w:szCs w:val="22"/>
                <w:bdr w:val="none" w:color="auto" w:sz="0" w:space="0" w:frame="1"/>
              </w:rPr>
              <w:t>s</w:t>
            </w:r>
            <w:r w:rsidRPr="00DE4A81">
              <w:rPr>
                <w:rFonts w:ascii="Gill Sans MT" w:hAnsi="Gill Sans MT" w:cs="Arial"/>
                <w:color w:val="242424"/>
                <w:sz w:val="22"/>
                <w:szCs w:val="22"/>
                <w:bdr w:val="none" w:color="auto" w:sz="0" w:space="0" w:frame="1"/>
              </w:rPr>
              <w:t xml:space="preserve"> of their expected roles in a BEAD-funded project</w:t>
            </w:r>
          </w:p>
        </w:tc>
        <w:tc>
          <w:tcPr>
            <w:tcW w:w="1029" w:type="dxa"/>
          </w:tcPr>
          <w:p w:rsidRPr="00DE4A81" w:rsidR="00062E8C" w:rsidP="00C46481" w:rsidRDefault="00062E8C" w14:paraId="278C26D1"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5.3.1</w:t>
            </w:r>
          </w:p>
          <w:p w:rsidRPr="00DE4A81" w:rsidR="00062E8C" w:rsidP="00C46481" w:rsidRDefault="00062E8C" w14:paraId="46B9D919"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5.12.</w:t>
            </w:r>
            <w:r>
              <w:rPr>
                <w:rFonts w:ascii="Gill Sans MT" w:hAnsi="Gill Sans MT" w:cs="Arial"/>
                <w:color w:val="242424"/>
                <w:sz w:val="22"/>
                <w:szCs w:val="22"/>
                <w:bdr w:val="none" w:color="auto" w:sz="0" w:space="0" w:frame="1"/>
              </w:rPr>
              <w:t>5</w:t>
            </w:r>
            <w:r w:rsidRPr="00DE4A81">
              <w:rPr>
                <w:rFonts w:ascii="Gill Sans MT" w:hAnsi="Gill Sans MT" w:cs="Arial"/>
                <w:color w:val="242424"/>
                <w:sz w:val="22"/>
                <w:szCs w:val="22"/>
                <w:bdr w:val="none" w:color="auto" w:sz="0" w:space="0" w:frame="1"/>
              </w:rPr>
              <w:t>.1</w:t>
            </w:r>
          </w:p>
        </w:tc>
      </w:tr>
      <w:tr w:rsidRPr="00DE4A81" w:rsidR="00062E8C" w:rsidTr="006C4935" w14:paraId="69F7290A" w14:textId="77777777">
        <w:tc>
          <w:tcPr>
            <w:tcW w:w="1525" w:type="dxa"/>
          </w:tcPr>
          <w:p w:rsidRPr="00DE4A81" w:rsidR="00062E8C" w:rsidP="00C46481" w:rsidRDefault="00062E8C" w14:paraId="088F0370"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7183A405"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646" w:type="dxa"/>
          </w:tcPr>
          <w:p w:rsidRPr="00DE4A81" w:rsidR="00062E8C" w:rsidP="00C46481" w:rsidRDefault="00062E8C" w14:paraId="623846D4"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Certifications and licenses of the organization, the officer or director, management staff, contractor oversight team, and key technical personnel; and certification of processes and resources to employ continued skilled, credentialed workforce</w:t>
            </w:r>
          </w:p>
        </w:tc>
        <w:tc>
          <w:tcPr>
            <w:tcW w:w="1029" w:type="dxa"/>
          </w:tcPr>
          <w:p w:rsidRPr="00DE4A81" w:rsidR="00062E8C" w:rsidP="00C46481" w:rsidRDefault="00062E8C" w14:paraId="24022C54"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5.3.1</w:t>
            </w:r>
          </w:p>
          <w:p w:rsidRPr="00DE4A81" w:rsidR="00062E8C" w:rsidP="00C46481" w:rsidRDefault="00062E8C" w14:paraId="026B48EB"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5.12.</w:t>
            </w:r>
            <w:r>
              <w:rPr>
                <w:rFonts w:ascii="Gill Sans MT" w:hAnsi="Gill Sans MT" w:cs="Arial"/>
                <w:color w:val="242424"/>
                <w:sz w:val="22"/>
                <w:szCs w:val="22"/>
                <w:bdr w:val="none" w:color="auto" w:sz="0" w:space="0" w:frame="1"/>
              </w:rPr>
              <w:t>6</w:t>
            </w:r>
            <w:r w:rsidRPr="00DE4A81">
              <w:rPr>
                <w:rFonts w:ascii="Gill Sans MT" w:hAnsi="Gill Sans MT" w:cs="Arial"/>
                <w:color w:val="242424"/>
                <w:sz w:val="22"/>
                <w:szCs w:val="22"/>
                <w:bdr w:val="none" w:color="auto" w:sz="0" w:space="0" w:frame="1"/>
              </w:rPr>
              <w:t>.1</w:t>
            </w:r>
          </w:p>
          <w:p w:rsidRPr="00DE4A81" w:rsidR="00062E8C" w:rsidP="00C46481" w:rsidRDefault="00062E8C" w14:paraId="68D90DE6"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5.12.</w:t>
            </w:r>
            <w:r>
              <w:rPr>
                <w:rFonts w:ascii="Gill Sans MT" w:hAnsi="Gill Sans MT" w:cs="Arial"/>
                <w:color w:val="242424"/>
                <w:sz w:val="22"/>
                <w:szCs w:val="22"/>
                <w:bdr w:val="none" w:color="auto" w:sz="0" w:space="0" w:frame="1"/>
              </w:rPr>
              <w:t>6</w:t>
            </w:r>
            <w:r w:rsidRPr="00DE4A81">
              <w:rPr>
                <w:rFonts w:ascii="Gill Sans MT" w:hAnsi="Gill Sans MT" w:cs="Arial"/>
                <w:color w:val="242424"/>
                <w:sz w:val="22"/>
                <w:szCs w:val="22"/>
                <w:bdr w:val="none" w:color="auto" w:sz="0" w:space="0" w:frame="1"/>
              </w:rPr>
              <w:t>.2</w:t>
            </w:r>
          </w:p>
        </w:tc>
      </w:tr>
      <w:tr w:rsidRPr="00DE4A81" w:rsidR="00062E8C" w:rsidTr="006C4935" w14:paraId="16A75790" w14:textId="77777777">
        <w:tc>
          <w:tcPr>
            <w:tcW w:w="1525" w:type="dxa"/>
          </w:tcPr>
          <w:p w:rsidRPr="00DE4A81" w:rsidR="00062E8C" w:rsidP="00C46481" w:rsidRDefault="00062E8C" w14:paraId="49EE5879"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57C4ECC0"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646" w:type="dxa"/>
          </w:tcPr>
          <w:p w:rsidRPr="00DE4A81" w:rsidR="00062E8C" w:rsidP="00C46481" w:rsidRDefault="00062E8C" w14:paraId="38BB76F0"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Description of planned contractors and consultants, and certification that any future contracted resources will have the relevant and necessary skills</w:t>
            </w:r>
          </w:p>
        </w:tc>
        <w:tc>
          <w:tcPr>
            <w:tcW w:w="1029" w:type="dxa"/>
          </w:tcPr>
          <w:p w:rsidRPr="00DE4A81" w:rsidR="00062E8C" w:rsidP="00C46481" w:rsidRDefault="00062E8C" w14:paraId="0ACEB254"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5.3.1</w:t>
            </w:r>
          </w:p>
          <w:p w:rsidRPr="00DE4A81" w:rsidR="00062E8C" w:rsidP="00C46481" w:rsidRDefault="00062E8C" w14:paraId="369BEB86"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5.12.</w:t>
            </w:r>
            <w:r>
              <w:rPr>
                <w:rFonts w:ascii="Gill Sans MT" w:hAnsi="Gill Sans MT" w:cs="Arial"/>
                <w:color w:val="242424"/>
                <w:sz w:val="22"/>
                <w:szCs w:val="22"/>
                <w:bdr w:val="none" w:color="auto" w:sz="0" w:space="0" w:frame="1"/>
              </w:rPr>
              <w:t>5</w:t>
            </w:r>
            <w:r w:rsidRPr="00DE4A81">
              <w:rPr>
                <w:rFonts w:ascii="Gill Sans MT" w:hAnsi="Gill Sans MT" w:cs="Arial"/>
                <w:color w:val="242424"/>
                <w:sz w:val="22"/>
                <w:szCs w:val="22"/>
                <w:bdr w:val="none" w:color="auto" w:sz="0" w:space="0" w:frame="1"/>
              </w:rPr>
              <w:t>.3</w:t>
            </w:r>
          </w:p>
        </w:tc>
      </w:tr>
      <w:tr w:rsidRPr="00DE4A81" w:rsidR="00062E8C" w:rsidTr="006C4935" w14:paraId="001B3EEF" w14:textId="77777777">
        <w:tc>
          <w:tcPr>
            <w:tcW w:w="1525" w:type="dxa"/>
          </w:tcPr>
          <w:p w:rsidRPr="00DE4A81" w:rsidR="00062E8C" w:rsidP="00C46481" w:rsidRDefault="00062E8C" w14:paraId="2CD6E7A9"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4B8208A6"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646" w:type="dxa"/>
          </w:tcPr>
          <w:p w:rsidRPr="00DE4A81" w:rsidR="00062E8C" w:rsidP="00C46481" w:rsidRDefault="00062E8C" w14:paraId="5692A25E"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Organizational chart and narrative description of applicants’ processes and structure</w:t>
            </w:r>
          </w:p>
        </w:tc>
        <w:tc>
          <w:tcPr>
            <w:tcW w:w="1029" w:type="dxa"/>
          </w:tcPr>
          <w:p w:rsidRPr="00DE4A81" w:rsidR="00062E8C" w:rsidP="00C46481" w:rsidRDefault="00062E8C" w14:paraId="526BD6B9"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5.3.1</w:t>
            </w:r>
          </w:p>
          <w:p w:rsidRPr="00DE4A81" w:rsidR="00062E8C" w:rsidP="00C46481" w:rsidRDefault="00062E8C" w14:paraId="0E196A9A"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5.12.</w:t>
            </w:r>
            <w:r>
              <w:rPr>
                <w:rFonts w:ascii="Gill Sans MT" w:hAnsi="Gill Sans MT" w:cs="Arial"/>
                <w:color w:val="242424"/>
                <w:sz w:val="22"/>
                <w:szCs w:val="22"/>
                <w:bdr w:val="none" w:color="auto" w:sz="0" w:space="0" w:frame="1"/>
              </w:rPr>
              <w:t>5</w:t>
            </w:r>
            <w:r w:rsidRPr="00DE4A81">
              <w:rPr>
                <w:rFonts w:ascii="Gill Sans MT" w:hAnsi="Gill Sans MT" w:cs="Arial"/>
                <w:color w:val="242424"/>
                <w:sz w:val="22"/>
                <w:szCs w:val="22"/>
                <w:bdr w:val="none" w:color="auto" w:sz="0" w:space="0" w:frame="1"/>
              </w:rPr>
              <w:t>.2</w:t>
            </w:r>
          </w:p>
        </w:tc>
      </w:tr>
      <w:tr w:rsidRPr="00DE4A81" w:rsidR="00062E8C" w:rsidTr="006C4935" w14:paraId="3926E4F9" w14:textId="77777777">
        <w:tc>
          <w:tcPr>
            <w:tcW w:w="1525" w:type="dxa"/>
          </w:tcPr>
          <w:p w:rsidRPr="00DE4A81" w:rsidR="00062E8C" w:rsidP="00C46481" w:rsidRDefault="00062E8C" w14:paraId="304A1803"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258805FB"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646" w:type="dxa"/>
          </w:tcPr>
          <w:p w:rsidRPr="00DE4A81" w:rsidR="00062E8C" w:rsidP="00C46481" w:rsidRDefault="00062E8C" w14:paraId="6E5A3CB5" w14:textId="05D418BC">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Narrative description of the entity’s experience, resources, and readiness in managing and carrying out th</w:t>
            </w:r>
            <w:r w:rsidR="00372A63">
              <w:rPr>
                <w:rFonts w:ascii="Gill Sans MT" w:hAnsi="Gill Sans MT" w:cs="Arial"/>
                <w:color w:val="242424"/>
                <w:sz w:val="22"/>
                <w:szCs w:val="22"/>
                <w:bdr w:val="none" w:color="auto" w:sz="0" w:space="0" w:frame="1"/>
              </w:rPr>
              <w:t>e</w:t>
            </w:r>
            <w:r w:rsidRPr="00DE4A81">
              <w:rPr>
                <w:rFonts w:ascii="Gill Sans MT" w:hAnsi="Gill Sans MT" w:cs="Arial"/>
                <w:color w:val="242424"/>
                <w:sz w:val="22"/>
                <w:szCs w:val="22"/>
                <w:bdr w:val="none" w:color="auto" w:sz="0" w:space="0" w:frame="1"/>
              </w:rPr>
              <w:t xml:space="preserve"> broadband project, referencing key personnel</w:t>
            </w:r>
          </w:p>
        </w:tc>
        <w:tc>
          <w:tcPr>
            <w:tcW w:w="1029" w:type="dxa"/>
          </w:tcPr>
          <w:p w:rsidRPr="00DE4A81" w:rsidR="00062E8C" w:rsidP="00C46481" w:rsidRDefault="00062E8C" w14:paraId="16D7D362"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5.12.</w:t>
            </w:r>
            <w:r>
              <w:rPr>
                <w:rFonts w:ascii="Gill Sans MT" w:hAnsi="Gill Sans MT" w:cs="Arial"/>
                <w:color w:val="242424"/>
                <w:sz w:val="22"/>
                <w:szCs w:val="22"/>
                <w:bdr w:val="none" w:color="auto" w:sz="0" w:space="0" w:frame="1"/>
              </w:rPr>
              <w:t>5</w:t>
            </w:r>
            <w:r w:rsidRPr="00DE4A81">
              <w:rPr>
                <w:rFonts w:ascii="Gill Sans MT" w:hAnsi="Gill Sans MT" w:cs="Arial"/>
                <w:color w:val="242424"/>
                <w:sz w:val="22"/>
                <w:szCs w:val="22"/>
                <w:bdr w:val="none" w:color="auto" w:sz="0" w:space="0" w:frame="1"/>
              </w:rPr>
              <w:t>.3</w:t>
            </w:r>
          </w:p>
          <w:p w:rsidRPr="00DE4A81" w:rsidR="00062E8C" w:rsidP="00C46481" w:rsidRDefault="00062E8C" w14:paraId="70D5122B"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5.12.</w:t>
            </w:r>
            <w:r>
              <w:rPr>
                <w:rFonts w:ascii="Gill Sans MT" w:hAnsi="Gill Sans MT" w:cs="Arial"/>
                <w:color w:val="242424"/>
                <w:sz w:val="22"/>
                <w:szCs w:val="22"/>
                <w:bdr w:val="none" w:color="auto" w:sz="0" w:space="0" w:frame="1"/>
              </w:rPr>
              <w:t>6</w:t>
            </w:r>
            <w:r w:rsidRPr="00DE4A81">
              <w:rPr>
                <w:rFonts w:ascii="Gill Sans MT" w:hAnsi="Gill Sans MT" w:cs="Arial"/>
                <w:color w:val="242424"/>
                <w:sz w:val="22"/>
                <w:szCs w:val="22"/>
                <w:bdr w:val="none" w:color="auto" w:sz="0" w:space="0" w:frame="1"/>
              </w:rPr>
              <w:t>.3</w:t>
            </w:r>
          </w:p>
        </w:tc>
      </w:tr>
      <w:tr w:rsidRPr="00DE4A81" w:rsidR="00062E8C" w:rsidTr="006C4935" w14:paraId="52EFA68E" w14:textId="77777777">
        <w:tc>
          <w:tcPr>
            <w:tcW w:w="1525" w:type="dxa"/>
          </w:tcPr>
          <w:p w:rsidRPr="00DE4A81" w:rsidR="00062E8C" w:rsidP="00C46481" w:rsidRDefault="00062E8C" w14:paraId="242AE6EC"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1CE9A3A2"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646" w:type="dxa"/>
          </w:tcPr>
          <w:p w:rsidRPr="00DE4A81" w:rsidR="00062E8C" w:rsidP="00C46481" w:rsidRDefault="00062E8C" w14:paraId="4A3744A9"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Certification of history of providing telecommunications or electric service</w:t>
            </w:r>
          </w:p>
        </w:tc>
        <w:tc>
          <w:tcPr>
            <w:tcW w:w="1029" w:type="dxa"/>
          </w:tcPr>
          <w:p w:rsidRPr="00DE4A81" w:rsidR="00062E8C" w:rsidP="00C46481" w:rsidRDefault="00062E8C" w14:paraId="4551D3D2"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5.3.1</w:t>
            </w:r>
          </w:p>
          <w:p w:rsidRPr="00DE4A81" w:rsidR="00062E8C" w:rsidP="00C46481" w:rsidRDefault="00062E8C" w14:paraId="6F38039E"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5.12.</w:t>
            </w:r>
            <w:r>
              <w:rPr>
                <w:rFonts w:ascii="Gill Sans MT" w:hAnsi="Gill Sans MT" w:cs="Arial"/>
                <w:color w:val="242424"/>
                <w:sz w:val="22"/>
                <w:szCs w:val="22"/>
                <w:bdr w:val="none" w:color="auto" w:sz="0" w:space="0" w:frame="1"/>
              </w:rPr>
              <w:t>8</w:t>
            </w:r>
            <w:r w:rsidRPr="00DE4A81">
              <w:rPr>
                <w:rFonts w:ascii="Gill Sans MT" w:hAnsi="Gill Sans MT" w:cs="Arial"/>
                <w:color w:val="242424"/>
                <w:sz w:val="22"/>
                <w:szCs w:val="22"/>
                <w:bdr w:val="none" w:color="auto" w:sz="0" w:space="0" w:frame="1"/>
              </w:rPr>
              <w:t>.1</w:t>
            </w:r>
          </w:p>
        </w:tc>
      </w:tr>
      <w:tr w:rsidRPr="00DE4A81" w:rsidR="00062E8C" w:rsidTr="006C4935" w14:paraId="022EC664" w14:textId="77777777">
        <w:tc>
          <w:tcPr>
            <w:tcW w:w="1525" w:type="dxa"/>
          </w:tcPr>
          <w:p w:rsidRPr="00DE4A81" w:rsidR="00062E8C" w:rsidP="00C46481" w:rsidRDefault="00062E8C" w14:paraId="4ED56DA0"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6CDB7D5F"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646" w:type="dxa"/>
          </w:tcPr>
          <w:p w:rsidRPr="00DE4A81" w:rsidR="00062E8C" w:rsidP="00C46481" w:rsidRDefault="00062E8C" w14:paraId="3B659515"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 xml:space="preserve">Certification of FCC Form 477s and Broadband DATA Act submissions </w:t>
            </w:r>
            <w:r w:rsidRPr="00DE4A81">
              <w:rPr>
                <w:rFonts w:ascii="Gill Sans MT" w:hAnsi="Gill Sans MT" w:cs="Arial"/>
                <w:b/>
                <w:bCs/>
                <w:color w:val="242424"/>
                <w:sz w:val="22"/>
                <w:szCs w:val="22"/>
                <w:bdr w:val="none" w:color="auto" w:sz="0" w:space="0" w:frame="1"/>
              </w:rPr>
              <w:t>OR</w:t>
            </w:r>
            <w:r w:rsidRPr="00DE4A81">
              <w:rPr>
                <w:rFonts w:ascii="Gill Sans MT" w:hAnsi="Gill Sans MT" w:cs="Arial"/>
                <w:color w:val="242424"/>
                <w:sz w:val="22"/>
                <w:szCs w:val="22"/>
                <w:bdr w:val="none" w:color="auto" w:sz="0" w:space="0" w:frame="1"/>
              </w:rPr>
              <w:t xml:space="preserve"> Qualified operating or financial reports and certification that submission is accurate</w:t>
            </w:r>
          </w:p>
        </w:tc>
        <w:tc>
          <w:tcPr>
            <w:tcW w:w="1029" w:type="dxa"/>
          </w:tcPr>
          <w:p w:rsidRPr="00DE4A81" w:rsidR="00062E8C" w:rsidP="00C46481" w:rsidRDefault="00062E8C" w14:paraId="43150BF0"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5.3.1</w:t>
            </w:r>
          </w:p>
          <w:p w:rsidRPr="00DE4A81" w:rsidR="00062E8C" w:rsidP="00C46481" w:rsidRDefault="00062E8C" w14:paraId="1977D0B4"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5.12.</w:t>
            </w:r>
            <w:r>
              <w:rPr>
                <w:rFonts w:ascii="Gill Sans MT" w:hAnsi="Gill Sans MT" w:cs="Arial"/>
                <w:color w:val="242424"/>
                <w:sz w:val="22"/>
                <w:szCs w:val="22"/>
                <w:bdr w:val="none" w:color="auto" w:sz="0" w:space="0" w:frame="1"/>
              </w:rPr>
              <w:t>8</w:t>
            </w:r>
            <w:r w:rsidRPr="00DE4A81">
              <w:rPr>
                <w:rFonts w:ascii="Gill Sans MT" w:hAnsi="Gill Sans MT" w:cs="Arial"/>
                <w:color w:val="242424"/>
                <w:sz w:val="22"/>
                <w:szCs w:val="22"/>
                <w:bdr w:val="none" w:color="auto" w:sz="0" w:space="0" w:frame="1"/>
              </w:rPr>
              <w:t>.2</w:t>
            </w:r>
          </w:p>
          <w:p w:rsidRPr="00DE4A81" w:rsidR="00062E8C" w:rsidP="00C46481" w:rsidRDefault="00062E8C" w14:paraId="248E4D0E"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5.12.</w:t>
            </w:r>
            <w:r>
              <w:rPr>
                <w:rFonts w:ascii="Gill Sans MT" w:hAnsi="Gill Sans MT" w:cs="Arial"/>
                <w:color w:val="242424"/>
                <w:sz w:val="22"/>
                <w:szCs w:val="22"/>
                <w:bdr w:val="none" w:color="auto" w:sz="0" w:space="0" w:frame="1"/>
              </w:rPr>
              <w:t>8</w:t>
            </w:r>
            <w:r w:rsidRPr="00DE4A81">
              <w:rPr>
                <w:rFonts w:ascii="Gill Sans MT" w:hAnsi="Gill Sans MT" w:cs="Arial"/>
                <w:color w:val="242424"/>
                <w:sz w:val="22"/>
                <w:szCs w:val="22"/>
                <w:bdr w:val="none" w:color="auto" w:sz="0" w:space="0" w:frame="1"/>
              </w:rPr>
              <w:t>.3</w:t>
            </w:r>
          </w:p>
        </w:tc>
      </w:tr>
      <w:tr w:rsidRPr="00DE4A81" w:rsidR="00062E8C" w:rsidTr="006C4935" w14:paraId="0521C343" w14:textId="77777777">
        <w:tc>
          <w:tcPr>
            <w:tcW w:w="1525" w:type="dxa"/>
          </w:tcPr>
          <w:p w:rsidRPr="00DE4A81" w:rsidR="00062E8C" w:rsidP="00C46481" w:rsidRDefault="00062E8C" w14:paraId="577D9590"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07DF87BD"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646" w:type="dxa"/>
          </w:tcPr>
          <w:p w:rsidRPr="00DE4A81" w:rsidR="00062E8C" w:rsidP="00C46481" w:rsidRDefault="00062E8C" w14:paraId="256720A6" w14:textId="6F5CC36E">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 xml:space="preserve">Legal opinion from legal counsel attesting to preparation for compliance </w:t>
            </w:r>
            <w:r w:rsidR="009B2D83">
              <w:rPr>
                <w:rFonts w:ascii="Gill Sans MT" w:hAnsi="Gill Sans MT" w:cs="Arial"/>
                <w:color w:val="242424"/>
                <w:sz w:val="22"/>
                <w:szCs w:val="22"/>
                <w:bdr w:val="none" w:color="auto" w:sz="0" w:space="0" w:frame="1"/>
              </w:rPr>
              <w:t>with</w:t>
            </w:r>
            <w:r w:rsidRPr="00DE4A81">
              <w:rPr>
                <w:rFonts w:ascii="Gill Sans MT" w:hAnsi="Gill Sans MT" w:cs="Arial"/>
                <w:color w:val="242424"/>
                <w:sz w:val="22"/>
                <w:szCs w:val="22"/>
                <w:bdr w:val="none" w:color="auto" w:sz="0" w:space="0" w:frame="1"/>
              </w:rPr>
              <w:t xml:space="preserve"> all applicable laws for BEAD-funded projects</w:t>
            </w:r>
          </w:p>
        </w:tc>
        <w:tc>
          <w:tcPr>
            <w:tcW w:w="1029" w:type="dxa"/>
          </w:tcPr>
          <w:p w:rsidRPr="00DE4A81" w:rsidR="00062E8C" w:rsidP="00C46481" w:rsidRDefault="00062E8C" w14:paraId="005C429F"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5.3.1</w:t>
            </w:r>
          </w:p>
          <w:p w:rsidRPr="00DE4A81" w:rsidR="00062E8C" w:rsidP="00C46481" w:rsidRDefault="00062E8C" w14:paraId="6E7477B8"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5.12.</w:t>
            </w:r>
            <w:r>
              <w:rPr>
                <w:rFonts w:ascii="Gill Sans MT" w:hAnsi="Gill Sans MT" w:cs="Arial"/>
                <w:color w:val="242424"/>
                <w:sz w:val="22"/>
                <w:szCs w:val="22"/>
                <w:bdr w:val="none" w:color="auto" w:sz="0" w:space="0" w:frame="1"/>
              </w:rPr>
              <w:t>7</w:t>
            </w:r>
          </w:p>
        </w:tc>
      </w:tr>
      <w:tr w:rsidRPr="00DE4A81" w:rsidR="00062E8C" w:rsidTr="006C4935" w14:paraId="2B6A1596" w14:textId="77777777">
        <w:tc>
          <w:tcPr>
            <w:tcW w:w="1525" w:type="dxa"/>
          </w:tcPr>
          <w:p w:rsidRPr="00DE4A81" w:rsidR="00062E8C" w:rsidP="00C46481" w:rsidRDefault="00062E8C" w14:paraId="7B4C951D"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44016715"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646" w:type="dxa"/>
          </w:tcPr>
          <w:p w:rsidRPr="00DE4A81" w:rsidR="00062E8C" w:rsidP="00C46481" w:rsidRDefault="00062E8C" w14:paraId="04DC59B0" w14:textId="2A50DEAE">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 xml:space="preserve">Narrative description of processes in place to conduct funding activities in compliance with federal and </w:t>
            </w:r>
            <w:r w:rsidRPr="00DE4A81" w:rsidR="153E7EAE">
              <w:rPr>
                <w:rFonts w:ascii="Gill Sans MT" w:hAnsi="Gill Sans MT" w:cs="Arial"/>
                <w:color w:val="242424"/>
                <w:sz w:val="22"/>
                <w:szCs w:val="22"/>
                <w:bdr w:val="none" w:color="auto" w:sz="0" w:space="0" w:frame="1"/>
              </w:rPr>
              <w:t>s</w:t>
            </w:r>
            <w:r w:rsidRPr="00DE4A81">
              <w:rPr>
                <w:rFonts w:ascii="Gill Sans MT" w:hAnsi="Gill Sans MT" w:cs="Arial"/>
                <w:color w:val="242424"/>
                <w:sz w:val="22"/>
                <w:szCs w:val="22"/>
                <w:bdr w:val="none" w:color="auto" w:sz="0" w:space="0" w:frame="1"/>
              </w:rPr>
              <w:t>tate law, including procurement practices</w:t>
            </w:r>
          </w:p>
        </w:tc>
        <w:tc>
          <w:tcPr>
            <w:tcW w:w="1029" w:type="dxa"/>
          </w:tcPr>
          <w:p w:rsidRPr="00DE4A81" w:rsidR="00062E8C" w:rsidP="00C46481" w:rsidRDefault="00062E8C" w14:paraId="14696C3D"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5.12.</w:t>
            </w:r>
            <w:r>
              <w:rPr>
                <w:rFonts w:ascii="Gill Sans MT" w:hAnsi="Gill Sans MT" w:cs="Arial"/>
                <w:color w:val="242424"/>
                <w:sz w:val="22"/>
                <w:szCs w:val="22"/>
                <w:bdr w:val="none" w:color="auto" w:sz="0" w:space="0" w:frame="1"/>
              </w:rPr>
              <w:t>7</w:t>
            </w:r>
          </w:p>
        </w:tc>
      </w:tr>
      <w:tr w:rsidRPr="00DE4A81" w:rsidR="00062E8C" w:rsidTr="006C4935" w14:paraId="30EDE72E" w14:textId="77777777">
        <w:tc>
          <w:tcPr>
            <w:tcW w:w="1525" w:type="dxa"/>
          </w:tcPr>
          <w:p w:rsidRPr="00DE4A81" w:rsidR="00062E8C" w:rsidP="00C46481" w:rsidRDefault="00062E8C" w14:paraId="1FCAE287"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45611003"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646" w:type="dxa"/>
          </w:tcPr>
          <w:p w:rsidRPr="00DE4A81" w:rsidR="00062E8C" w:rsidP="00C46481" w:rsidRDefault="00062E8C" w14:paraId="37B01B0E"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 xml:space="preserve">Ownership information, including ownership structure, corporate entity type, and other information, </w:t>
            </w:r>
            <w:proofErr w:type="gramStart"/>
            <w:r w:rsidRPr="00DE4A81">
              <w:rPr>
                <w:rFonts w:ascii="Gill Sans MT" w:hAnsi="Gill Sans MT" w:cs="Arial"/>
                <w:color w:val="242424"/>
                <w:sz w:val="22"/>
                <w:szCs w:val="22"/>
                <w:bdr w:val="none" w:color="auto" w:sz="0" w:space="0" w:frame="1"/>
              </w:rPr>
              <w:t>referencing</w:t>
            </w:r>
            <w:proofErr w:type="gramEnd"/>
            <w:r w:rsidRPr="00DE4A81">
              <w:rPr>
                <w:rFonts w:ascii="Gill Sans MT" w:hAnsi="Gill Sans MT" w:cs="Arial"/>
                <w:color w:val="242424"/>
                <w:sz w:val="22"/>
                <w:szCs w:val="22"/>
                <w:bdr w:val="none" w:color="auto" w:sz="0" w:space="0" w:frame="1"/>
              </w:rPr>
              <w:t xml:space="preserve"> and corresponding to other information provided</w:t>
            </w:r>
          </w:p>
        </w:tc>
        <w:tc>
          <w:tcPr>
            <w:tcW w:w="1029" w:type="dxa"/>
          </w:tcPr>
          <w:p w:rsidRPr="00DE4A81" w:rsidR="00062E8C" w:rsidP="00C46481" w:rsidRDefault="00062E8C" w14:paraId="7A0ACB5D"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5.3.1</w:t>
            </w:r>
          </w:p>
          <w:p w:rsidRPr="00DE4A81" w:rsidR="00062E8C" w:rsidP="00C46481" w:rsidRDefault="00062E8C" w14:paraId="0B28A27A"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5.12.</w:t>
            </w:r>
            <w:r>
              <w:rPr>
                <w:rFonts w:ascii="Gill Sans MT" w:hAnsi="Gill Sans MT" w:cs="Arial"/>
                <w:color w:val="242424"/>
                <w:sz w:val="22"/>
                <w:szCs w:val="22"/>
                <w:bdr w:val="none" w:color="auto" w:sz="0" w:space="0" w:frame="1"/>
              </w:rPr>
              <w:t>9</w:t>
            </w:r>
          </w:p>
        </w:tc>
      </w:tr>
      <w:tr w:rsidRPr="00DE4A81" w:rsidR="00062E8C" w:rsidTr="006C4935" w14:paraId="0BE15529" w14:textId="77777777">
        <w:tc>
          <w:tcPr>
            <w:tcW w:w="1525" w:type="dxa"/>
          </w:tcPr>
          <w:p w:rsidRPr="00DE4A81" w:rsidR="00062E8C" w:rsidP="00C46481" w:rsidRDefault="00062E8C" w14:paraId="31CAA6C7"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466CFCAE"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646" w:type="dxa"/>
          </w:tcPr>
          <w:p w:rsidRPr="00DE4A81" w:rsidR="00062E8C" w:rsidP="00C46481" w:rsidRDefault="00062E8C" w14:paraId="5E2677A0"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Certification of history of compliance and of intention to comply with environmental and historic preservation requirements and BABA</w:t>
            </w:r>
          </w:p>
        </w:tc>
        <w:tc>
          <w:tcPr>
            <w:tcW w:w="1029" w:type="dxa"/>
          </w:tcPr>
          <w:p w:rsidRPr="00DE4A81" w:rsidR="00062E8C" w:rsidP="00C46481" w:rsidRDefault="00062E8C" w14:paraId="04C81BDB"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w:t>
            </w:r>
            <w:r>
              <w:rPr>
                <w:rFonts w:ascii="Gill Sans MT" w:hAnsi="Gill Sans MT" w:cs="Arial"/>
                <w:color w:val="242424"/>
                <w:sz w:val="22"/>
                <w:szCs w:val="22"/>
                <w:bdr w:val="none" w:color="auto" w:sz="0" w:space="0" w:frame="1"/>
              </w:rPr>
              <w:t>6</w:t>
            </w:r>
          </w:p>
        </w:tc>
      </w:tr>
      <w:tr w:rsidRPr="00DE4A81" w:rsidR="00062E8C" w:rsidTr="006C4935" w14:paraId="7BC94914" w14:textId="77777777">
        <w:tc>
          <w:tcPr>
            <w:tcW w:w="1525" w:type="dxa"/>
          </w:tcPr>
          <w:p w:rsidRPr="00DE4A81" w:rsidR="00062E8C" w:rsidP="00C46481" w:rsidRDefault="00062E8C" w14:paraId="5E8CCD00"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5AA1614D"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646" w:type="dxa"/>
          </w:tcPr>
          <w:p w:rsidRPr="00DE4A81" w:rsidR="00062E8C" w:rsidP="00C46481" w:rsidRDefault="00062E8C" w14:paraId="7C1E9AD0" w14:textId="6C6861AD">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Certifications: of cybersecurity risk management plan; that the plan reflects NIST framework and E</w:t>
            </w:r>
            <w:r w:rsidR="00456967">
              <w:rPr>
                <w:rFonts w:ascii="Gill Sans MT" w:hAnsi="Gill Sans MT" w:cs="Arial"/>
                <w:color w:val="242424"/>
                <w:sz w:val="22"/>
                <w:szCs w:val="22"/>
                <w:bdr w:val="none" w:color="auto" w:sz="0" w:space="0" w:frame="1"/>
              </w:rPr>
              <w:t>.</w:t>
            </w:r>
            <w:r w:rsidRPr="00DE4A81">
              <w:rPr>
                <w:rFonts w:ascii="Gill Sans MT" w:hAnsi="Gill Sans MT" w:cs="Arial"/>
                <w:color w:val="242424"/>
                <w:sz w:val="22"/>
                <w:szCs w:val="22"/>
                <w:bdr w:val="none" w:color="auto" w:sz="0" w:space="0" w:frame="1"/>
              </w:rPr>
              <w:t>O</w:t>
            </w:r>
            <w:r w:rsidR="00456967">
              <w:rPr>
                <w:rFonts w:ascii="Gill Sans MT" w:hAnsi="Gill Sans MT" w:cs="Arial"/>
                <w:color w:val="242424"/>
                <w:sz w:val="22"/>
                <w:szCs w:val="22"/>
                <w:bdr w:val="none" w:color="auto" w:sz="0" w:space="0" w:frame="1"/>
              </w:rPr>
              <w:t>.</w:t>
            </w:r>
            <w:r w:rsidRPr="00DE4A81">
              <w:rPr>
                <w:rFonts w:ascii="Gill Sans MT" w:hAnsi="Gill Sans MT" w:cs="Arial"/>
                <w:color w:val="242424"/>
                <w:sz w:val="22"/>
                <w:szCs w:val="22"/>
                <w:bdr w:val="none" w:color="auto" w:sz="0" w:space="0" w:frame="1"/>
              </w:rPr>
              <w:t xml:space="preserve"> 14028; and that the plan will be updated periodically; and that the plan will be submitted to </w:t>
            </w:r>
            <w:r w:rsidR="00BD23D2">
              <w:rPr>
                <w:rFonts w:ascii="Gill Sans MT" w:hAnsi="Gill Sans MT" w:cs="Arial"/>
                <w:color w:val="242424"/>
                <w:sz w:val="22"/>
                <w:szCs w:val="22"/>
                <w:bdr w:val="none" w:color="auto" w:sz="0" w:space="0" w:frame="1"/>
              </w:rPr>
              <w:t>ADECA</w:t>
            </w:r>
          </w:p>
        </w:tc>
        <w:tc>
          <w:tcPr>
            <w:tcW w:w="1029" w:type="dxa"/>
          </w:tcPr>
          <w:p w:rsidRPr="00DE4A81" w:rsidR="00062E8C" w:rsidP="00C46481" w:rsidRDefault="00062E8C" w14:paraId="3D262795"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5.3.1</w:t>
            </w:r>
          </w:p>
        </w:tc>
      </w:tr>
      <w:tr w:rsidRPr="00DE4A81" w:rsidR="00062E8C" w:rsidTr="006C4935" w14:paraId="44D914BB" w14:textId="77777777">
        <w:tc>
          <w:tcPr>
            <w:tcW w:w="1525" w:type="dxa"/>
          </w:tcPr>
          <w:p w:rsidRPr="00DE4A81" w:rsidR="00062E8C" w:rsidP="00C46481" w:rsidRDefault="00062E8C" w14:paraId="74058F2E"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1452CEED"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646" w:type="dxa"/>
          </w:tcPr>
          <w:p w:rsidRPr="00DE4A81" w:rsidR="00062E8C" w:rsidP="00C46481" w:rsidRDefault="00062E8C" w14:paraId="47D90D46" w14:textId="5F04A514">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 xml:space="preserve">Certifications: of supply chain risk management plan; that supply chain plan reflects NISTIR 8276 and other guidance including NIST 800-161 and specifying the controls being implemented; and that the plan will be updated periodically; and that the plan will be submitted to </w:t>
            </w:r>
            <w:r w:rsidR="00BD23D2">
              <w:rPr>
                <w:rFonts w:ascii="Gill Sans MT" w:hAnsi="Gill Sans MT" w:cs="Arial"/>
                <w:color w:val="242424"/>
                <w:sz w:val="22"/>
                <w:szCs w:val="22"/>
                <w:bdr w:val="none" w:color="auto" w:sz="0" w:space="0" w:frame="1"/>
              </w:rPr>
              <w:t>ADECA</w:t>
            </w:r>
          </w:p>
        </w:tc>
        <w:tc>
          <w:tcPr>
            <w:tcW w:w="1029" w:type="dxa"/>
          </w:tcPr>
          <w:p w:rsidRPr="00DE4A81" w:rsidR="00062E8C" w:rsidP="00C46481" w:rsidRDefault="00062E8C" w14:paraId="6CDF1297"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5.3.1</w:t>
            </w:r>
          </w:p>
        </w:tc>
      </w:tr>
      <w:tr w:rsidRPr="00DE4A81" w:rsidR="00062E8C" w:rsidTr="006C4935" w14:paraId="2D0E0197" w14:textId="77777777">
        <w:tc>
          <w:tcPr>
            <w:tcW w:w="1525" w:type="dxa"/>
          </w:tcPr>
          <w:p w:rsidRPr="00DE4A81" w:rsidR="00062E8C" w:rsidP="00C46481" w:rsidRDefault="00062E8C" w14:paraId="56FD16BC"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465E0B1B"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646" w:type="dxa"/>
          </w:tcPr>
          <w:p w:rsidRPr="00DE4A81" w:rsidR="00062E8C" w:rsidP="00C46481" w:rsidRDefault="00062E8C" w14:paraId="20DCD85D" w14:textId="0E238556">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 xml:space="preserve">List of present or planned applications to federal or </w:t>
            </w:r>
            <w:r w:rsidR="004F59E6">
              <w:rPr>
                <w:rFonts w:ascii="Gill Sans MT" w:hAnsi="Gill Sans MT" w:cs="Arial"/>
                <w:color w:val="242424"/>
                <w:sz w:val="22"/>
                <w:szCs w:val="22"/>
                <w:bdr w:val="none" w:color="auto" w:sz="0" w:space="0" w:frame="1"/>
              </w:rPr>
              <w:t>s</w:t>
            </w:r>
            <w:r w:rsidRPr="00DE4A81">
              <w:rPr>
                <w:rFonts w:ascii="Gill Sans MT" w:hAnsi="Gill Sans MT" w:cs="Arial"/>
                <w:color w:val="242424"/>
                <w:sz w:val="22"/>
                <w:szCs w:val="22"/>
                <w:bdr w:val="none" w:color="auto" w:sz="0" w:space="0" w:frame="1"/>
              </w:rPr>
              <w:t xml:space="preserve">tate broadband funding, and of every broadband deployment project the applicant is undertaking or will undertake, with details on each project, using </w:t>
            </w:r>
            <w:r w:rsidR="00BD23D2">
              <w:rPr>
                <w:rFonts w:ascii="Gill Sans MT" w:hAnsi="Gill Sans MT" w:cs="Arial"/>
                <w:color w:val="242424"/>
                <w:sz w:val="22"/>
                <w:szCs w:val="22"/>
                <w:bdr w:val="none" w:color="auto" w:sz="0" w:space="0" w:frame="1"/>
              </w:rPr>
              <w:t>ADECA</w:t>
            </w:r>
            <w:r w:rsidRPr="00DE4A81" w:rsidR="00BD23D2">
              <w:rPr>
                <w:rFonts w:ascii="Gill Sans MT" w:hAnsi="Gill Sans MT" w:cs="Arial"/>
                <w:color w:val="242424"/>
                <w:sz w:val="22"/>
                <w:szCs w:val="22"/>
                <w:bdr w:val="none" w:color="auto" w:sz="0" w:space="0" w:frame="1"/>
              </w:rPr>
              <w:t xml:space="preserve"> </w:t>
            </w:r>
            <w:r w:rsidRPr="00DE4A81">
              <w:rPr>
                <w:rFonts w:ascii="Gill Sans MT" w:hAnsi="Gill Sans MT" w:cs="Arial"/>
                <w:color w:val="242424"/>
                <w:sz w:val="22"/>
                <w:szCs w:val="22"/>
                <w:bdr w:val="none" w:color="auto" w:sz="0" w:space="0" w:frame="1"/>
              </w:rPr>
              <w:t>template</w:t>
            </w:r>
          </w:p>
        </w:tc>
        <w:tc>
          <w:tcPr>
            <w:tcW w:w="1029" w:type="dxa"/>
          </w:tcPr>
          <w:p w:rsidRPr="00DE4A81" w:rsidR="00062E8C" w:rsidP="00C46481" w:rsidRDefault="00062E8C" w14:paraId="53651B2F"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5.3.1</w:t>
            </w:r>
          </w:p>
          <w:p w:rsidRPr="00DE4A81" w:rsidR="00062E8C" w:rsidP="00C46481" w:rsidRDefault="00062E8C" w14:paraId="68D0CB24"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5.12.</w:t>
            </w:r>
            <w:r>
              <w:rPr>
                <w:rFonts w:ascii="Gill Sans MT" w:hAnsi="Gill Sans MT" w:cs="Arial"/>
                <w:color w:val="242424"/>
                <w:sz w:val="22"/>
                <w:szCs w:val="22"/>
                <w:bdr w:val="none" w:color="auto" w:sz="0" w:space="0" w:frame="1"/>
              </w:rPr>
              <w:t>10</w:t>
            </w:r>
          </w:p>
        </w:tc>
      </w:tr>
      <w:tr w:rsidRPr="00DE4A81" w:rsidR="00062E8C" w:rsidTr="006C4935" w14:paraId="53F1A010" w14:textId="77777777">
        <w:tc>
          <w:tcPr>
            <w:tcW w:w="1525" w:type="dxa"/>
          </w:tcPr>
          <w:p w:rsidRPr="00DE4A81" w:rsidR="00062E8C" w:rsidP="00C46481" w:rsidRDefault="00062E8C" w14:paraId="0D5FCBB6"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2F16AE08"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646" w:type="dxa"/>
          </w:tcPr>
          <w:p w:rsidRPr="00DE4A81" w:rsidR="00062E8C" w:rsidP="00C46481" w:rsidRDefault="00062E8C" w14:paraId="141F2321" w14:textId="7E5EA04D">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 xml:space="preserve">Materials on </w:t>
            </w:r>
            <w:r w:rsidR="00BE6507">
              <w:rPr>
                <w:rFonts w:ascii="Gill Sans MT" w:hAnsi="Gill Sans MT" w:cs="Arial"/>
                <w:color w:val="242424"/>
                <w:sz w:val="22"/>
                <w:szCs w:val="22"/>
                <w:bdr w:val="none" w:color="auto" w:sz="0" w:space="0" w:frame="1"/>
              </w:rPr>
              <w:t>f</w:t>
            </w:r>
            <w:r w:rsidRPr="00DE4A81">
              <w:rPr>
                <w:rFonts w:ascii="Gill Sans MT" w:hAnsi="Gill Sans MT" w:cs="Arial"/>
                <w:color w:val="242424"/>
                <w:sz w:val="22"/>
                <w:szCs w:val="22"/>
                <w:bdr w:val="none" w:color="auto" w:sz="0" w:space="0" w:frame="1"/>
              </w:rPr>
              <w:t xml:space="preserve">air </w:t>
            </w:r>
            <w:r w:rsidR="00BE6507">
              <w:rPr>
                <w:rFonts w:ascii="Gill Sans MT" w:hAnsi="Gill Sans MT" w:cs="Arial"/>
                <w:color w:val="242424"/>
                <w:sz w:val="22"/>
                <w:szCs w:val="22"/>
                <w:bdr w:val="none" w:color="auto" w:sz="0" w:space="0" w:frame="1"/>
              </w:rPr>
              <w:t>l</w:t>
            </w:r>
            <w:r w:rsidRPr="00DE4A81">
              <w:rPr>
                <w:rFonts w:ascii="Gill Sans MT" w:hAnsi="Gill Sans MT" w:cs="Arial"/>
                <w:color w:val="242424"/>
                <w:sz w:val="22"/>
                <w:szCs w:val="22"/>
                <w:bdr w:val="none" w:color="auto" w:sz="0" w:space="0" w:frame="1"/>
              </w:rPr>
              <w:t xml:space="preserve">abor </w:t>
            </w:r>
            <w:r w:rsidR="00BE6507">
              <w:rPr>
                <w:rFonts w:ascii="Gill Sans MT" w:hAnsi="Gill Sans MT" w:cs="Arial"/>
                <w:color w:val="242424"/>
                <w:sz w:val="22"/>
                <w:szCs w:val="22"/>
                <w:bdr w:val="none" w:color="auto" w:sz="0" w:space="0" w:frame="1"/>
              </w:rPr>
              <w:t>p</w:t>
            </w:r>
            <w:r w:rsidRPr="00DE4A81">
              <w:rPr>
                <w:rFonts w:ascii="Gill Sans MT" w:hAnsi="Gill Sans MT" w:cs="Arial"/>
                <w:color w:val="242424"/>
                <w:sz w:val="22"/>
                <w:szCs w:val="22"/>
                <w:bdr w:val="none" w:color="auto" w:sz="0" w:space="0" w:frame="1"/>
              </w:rPr>
              <w:t>ractices and compliance (including certification of compliance with labor and employment laws; yearly recertification of labor and employment practices; discussions of workforce plans, commitments, and development; compliance with workplace safety and processes to monitor and support future compliance)</w:t>
            </w:r>
          </w:p>
        </w:tc>
        <w:tc>
          <w:tcPr>
            <w:tcW w:w="1029" w:type="dxa"/>
          </w:tcPr>
          <w:p w:rsidRPr="00DE4A81" w:rsidR="00062E8C" w:rsidP="00C46481" w:rsidRDefault="00062E8C" w14:paraId="099361A3"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5.3.1</w:t>
            </w:r>
          </w:p>
          <w:p w:rsidR="00062E8C" w:rsidP="00C46481" w:rsidRDefault="00062E8C" w14:paraId="761569FA"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5.12.</w:t>
            </w:r>
            <w:r>
              <w:rPr>
                <w:rFonts w:ascii="Gill Sans MT" w:hAnsi="Gill Sans MT" w:cs="Arial"/>
                <w:color w:val="242424"/>
                <w:sz w:val="22"/>
                <w:szCs w:val="22"/>
                <w:bdr w:val="none" w:color="auto" w:sz="0" w:space="0" w:frame="1"/>
              </w:rPr>
              <w:t>7</w:t>
            </w:r>
          </w:p>
          <w:p w:rsidRPr="00DE4A81" w:rsidR="00062E8C" w:rsidP="00C46481" w:rsidRDefault="00062E8C" w14:paraId="2E8F8BC4"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Pr>
                <w:rFonts w:ascii="Gill Sans MT" w:hAnsi="Gill Sans MT" w:cs="Arial"/>
                <w:color w:val="242424"/>
                <w:sz w:val="22"/>
                <w:szCs w:val="22"/>
                <w:bdr w:val="none" w:color="auto" w:sz="0" w:space="0" w:frame="1"/>
              </w:rPr>
              <w:t>8.1</w:t>
            </w:r>
          </w:p>
        </w:tc>
      </w:tr>
      <w:tr w:rsidRPr="00DE4A81" w:rsidR="00062E8C" w:rsidTr="006C4935" w14:paraId="68383304" w14:textId="77777777">
        <w:tc>
          <w:tcPr>
            <w:tcW w:w="1525" w:type="dxa"/>
          </w:tcPr>
          <w:p w:rsidRPr="00DE4A81" w:rsidR="00062E8C" w:rsidP="00C46481" w:rsidRDefault="00062E8C" w14:paraId="7796790D"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62AECF7F"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646" w:type="dxa"/>
          </w:tcPr>
          <w:p w:rsidRPr="00DE4A81" w:rsidR="00062E8C" w:rsidP="00C46481" w:rsidRDefault="00062E8C" w14:paraId="675B2B01"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Documentation of communications with and outreach to workers and worker representative labor organizations</w:t>
            </w:r>
          </w:p>
        </w:tc>
        <w:tc>
          <w:tcPr>
            <w:tcW w:w="1029" w:type="dxa"/>
          </w:tcPr>
          <w:p w:rsidRPr="00DE4A81" w:rsidR="00062E8C" w:rsidP="00C46481" w:rsidRDefault="00062E8C" w14:paraId="2F8DA679"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5.12.</w:t>
            </w:r>
            <w:r>
              <w:rPr>
                <w:rFonts w:ascii="Gill Sans MT" w:hAnsi="Gill Sans MT" w:cs="Arial"/>
                <w:color w:val="242424"/>
                <w:sz w:val="22"/>
                <w:szCs w:val="22"/>
                <w:bdr w:val="none" w:color="auto" w:sz="0" w:space="0" w:frame="1"/>
              </w:rPr>
              <w:t>7</w:t>
            </w:r>
          </w:p>
        </w:tc>
      </w:tr>
      <w:tr w:rsidRPr="00DE4A81" w:rsidR="00062E8C" w:rsidTr="006C4935" w14:paraId="539FCE36" w14:textId="77777777">
        <w:tc>
          <w:tcPr>
            <w:tcW w:w="1525" w:type="dxa"/>
          </w:tcPr>
          <w:p w:rsidRPr="00DE4A81" w:rsidR="00062E8C" w:rsidP="00C46481" w:rsidRDefault="00062E8C" w14:paraId="4F0A1018"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50185B49"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646" w:type="dxa"/>
          </w:tcPr>
          <w:p w:rsidRPr="00DE4A81" w:rsidR="00062E8C" w:rsidP="00C46481" w:rsidRDefault="00062E8C" w14:paraId="5172CEF1"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Certification of worker-led health and safety committees</w:t>
            </w:r>
          </w:p>
        </w:tc>
        <w:tc>
          <w:tcPr>
            <w:tcW w:w="1029" w:type="dxa"/>
          </w:tcPr>
          <w:p w:rsidRPr="00DE4A81" w:rsidR="00062E8C" w:rsidP="00C46481" w:rsidRDefault="00062E8C" w14:paraId="3C79E212"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5.3.1</w:t>
            </w:r>
          </w:p>
          <w:p w:rsidRPr="00DE4A81" w:rsidR="00062E8C" w:rsidP="00C46481" w:rsidRDefault="00062E8C" w14:paraId="2AE2A34F"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5.12.</w:t>
            </w:r>
            <w:r>
              <w:rPr>
                <w:rFonts w:ascii="Gill Sans MT" w:hAnsi="Gill Sans MT" w:cs="Arial"/>
                <w:color w:val="242424"/>
                <w:sz w:val="22"/>
                <w:szCs w:val="22"/>
                <w:bdr w:val="none" w:color="auto" w:sz="0" w:space="0" w:frame="1"/>
              </w:rPr>
              <w:t>7</w:t>
            </w:r>
          </w:p>
        </w:tc>
      </w:tr>
      <w:tr w:rsidRPr="00DE4A81" w:rsidR="00062E8C" w:rsidTr="006C4935" w14:paraId="09365164" w14:textId="77777777">
        <w:tc>
          <w:tcPr>
            <w:tcW w:w="1525" w:type="dxa"/>
          </w:tcPr>
          <w:p w:rsidRPr="00DE4A81" w:rsidR="00062E8C" w:rsidP="00C46481" w:rsidRDefault="00062E8C" w14:paraId="34B6D685"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65506B2E"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646" w:type="dxa"/>
          </w:tcPr>
          <w:p w:rsidRPr="00DE4A81" w:rsidR="00062E8C" w:rsidP="00C46481" w:rsidRDefault="00062E8C" w14:paraId="592CACC2" w14:textId="76F6EF86">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 xml:space="preserve">Certifications: of awareness of </w:t>
            </w:r>
            <w:r w:rsidR="00D5386C">
              <w:rPr>
                <w:rFonts w:ascii="Gill Sans MT" w:hAnsi="Gill Sans MT" w:cs="Arial"/>
                <w:color w:val="242424"/>
                <w:sz w:val="22"/>
                <w:szCs w:val="22"/>
                <w:bdr w:val="none" w:color="auto" w:sz="0" w:space="0" w:frame="1"/>
              </w:rPr>
              <w:t>LOC/performance bond</w:t>
            </w:r>
            <w:r w:rsidRPr="00DE4A81">
              <w:rPr>
                <w:rFonts w:ascii="Gill Sans MT" w:hAnsi="Gill Sans MT" w:cs="Arial"/>
                <w:color w:val="242424"/>
                <w:sz w:val="22"/>
                <w:szCs w:val="22"/>
                <w:bdr w:val="none" w:color="auto" w:sz="0" w:space="0" w:frame="1"/>
              </w:rPr>
              <w:t xml:space="preserve"> obligations; of qualifications and resources to obtain letter of commitment and </w:t>
            </w:r>
            <w:r w:rsidR="00D5386C">
              <w:rPr>
                <w:rFonts w:ascii="Gill Sans MT" w:hAnsi="Gill Sans MT" w:cs="Arial"/>
                <w:color w:val="242424"/>
                <w:sz w:val="22"/>
                <w:szCs w:val="22"/>
                <w:bdr w:val="none" w:color="auto" w:sz="0" w:space="0" w:frame="1"/>
              </w:rPr>
              <w:t>LOC/performance bond</w:t>
            </w:r>
          </w:p>
        </w:tc>
        <w:tc>
          <w:tcPr>
            <w:tcW w:w="1029" w:type="dxa"/>
          </w:tcPr>
          <w:p w:rsidRPr="00DE4A81" w:rsidR="00062E8C" w:rsidP="00C46481" w:rsidRDefault="00062E8C" w14:paraId="21EC81A5"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5.12.2</w:t>
            </w:r>
          </w:p>
        </w:tc>
      </w:tr>
      <w:tr w:rsidRPr="00DE4A81" w:rsidR="00062E8C" w14:paraId="52CF71B7" w14:textId="77777777">
        <w:tc>
          <w:tcPr>
            <w:tcW w:w="9350" w:type="dxa"/>
            <w:gridSpan w:val="4"/>
            <w:shd w:val="clear" w:color="auto" w:fill="DBE5F1" w:themeFill="accent1" w:themeFillTint="33"/>
          </w:tcPr>
          <w:p w:rsidRPr="00DE4A81" w:rsidR="00062E8C" w:rsidP="00C46481" w:rsidRDefault="00062E8C" w14:paraId="03DD1085" w14:textId="7BF60ABF">
            <w:pPr>
              <w:pStyle w:val="xmsonormal"/>
              <w:widowControl/>
              <w:spacing w:before="0" w:beforeAutospacing="0" w:after="0" w:afterAutospacing="0"/>
              <w:jc w:val="center"/>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 xml:space="preserve">Prequalification </w:t>
            </w:r>
            <w:r w:rsidR="00D5386C">
              <w:rPr>
                <w:rFonts w:ascii="Gill Sans MT" w:hAnsi="Gill Sans MT" w:cs="Arial"/>
                <w:color w:val="242424"/>
                <w:sz w:val="22"/>
                <w:szCs w:val="22"/>
                <w:bdr w:val="none" w:color="auto" w:sz="0" w:space="0" w:frame="1"/>
              </w:rPr>
              <w:t xml:space="preserve">Phase </w:t>
            </w:r>
            <w:r w:rsidRPr="00DE4A81">
              <w:rPr>
                <w:rFonts w:ascii="Gill Sans MT" w:hAnsi="Gill Sans MT" w:cs="Arial"/>
                <w:color w:val="242424"/>
                <w:sz w:val="22"/>
                <w:szCs w:val="22"/>
                <w:bdr w:val="none" w:color="auto" w:sz="0" w:space="0" w:frame="1"/>
              </w:rPr>
              <w:t>submission window closes</w:t>
            </w:r>
          </w:p>
        </w:tc>
      </w:tr>
      <w:tr w:rsidRPr="00DE4A81" w:rsidR="00062E8C" w:rsidTr="006C4935" w14:paraId="798FFEE6" w14:textId="77777777">
        <w:tc>
          <w:tcPr>
            <w:tcW w:w="1525" w:type="dxa"/>
            <w:shd w:val="clear" w:color="auto" w:fill="FFFFFF" w:themeFill="background1"/>
          </w:tcPr>
          <w:p w:rsidRPr="00DE4A81" w:rsidR="00062E8C" w:rsidP="00C46481" w:rsidRDefault="00062E8C" w14:paraId="7B4A6A8B" w14:textId="77777777">
            <w:pPr>
              <w:pStyle w:val="xmsonormal"/>
              <w:widowControl/>
              <w:spacing w:before="0" w:beforeAutospacing="0" w:after="0" w:afterAutospacing="0"/>
              <w:jc w:val="center"/>
              <w:rPr>
                <w:rFonts w:ascii="Gill Sans MT" w:hAnsi="Gill Sans MT" w:cs="Arial"/>
                <w:color w:val="242424"/>
                <w:sz w:val="22"/>
                <w:szCs w:val="22"/>
                <w:bdr w:val="none" w:color="auto" w:sz="0" w:space="0" w:frame="1"/>
              </w:rPr>
            </w:pPr>
          </w:p>
        </w:tc>
        <w:tc>
          <w:tcPr>
            <w:tcW w:w="3150" w:type="dxa"/>
            <w:shd w:val="clear" w:color="auto" w:fill="FFFFFF" w:themeFill="background1"/>
          </w:tcPr>
          <w:p w:rsidRPr="00DE4A81" w:rsidR="00062E8C" w:rsidP="00C46481" w:rsidRDefault="00062E8C" w14:paraId="70E65A5E" w14:textId="404740C8">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Reasonable curing</w:t>
            </w:r>
          </w:p>
        </w:tc>
        <w:tc>
          <w:tcPr>
            <w:tcW w:w="3646" w:type="dxa"/>
            <w:shd w:val="clear" w:color="auto" w:fill="FFFFFF" w:themeFill="background1"/>
          </w:tcPr>
          <w:p w:rsidRPr="00DE4A81" w:rsidR="00062E8C" w:rsidP="00C46481" w:rsidRDefault="00062E8C" w14:paraId="5025BC5D" w14:textId="77777777">
            <w:pPr>
              <w:pStyle w:val="xmsonormal"/>
              <w:widowControl/>
              <w:spacing w:before="0" w:beforeAutospacing="0" w:after="0" w:afterAutospacing="0"/>
              <w:jc w:val="center"/>
              <w:rPr>
                <w:rFonts w:ascii="Gill Sans MT" w:hAnsi="Gill Sans MT" w:cs="Arial"/>
                <w:color w:val="242424"/>
                <w:sz w:val="22"/>
                <w:szCs w:val="22"/>
                <w:bdr w:val="none" w:color="auto" w:sz="0" w:space="0" w:frame="1"/>
              </w:rPr>
            </w:pPr>
          </w:p>
        </w:tc>
        <w:tc>
          <w:tcPr>
            <w:tcW w:w="1029" w:type="dxa"/>
            <w:shd w:val="clear" w:color="auto" w:fill="FFFFFF" w:themeFill="background1"/>
          </w:tcPr>
          <w:p w:rsidRPr="00DE4A81" w:rsidR="00062E8C" w:rsidP="00C46481" w:rsidRDefault="00062E8C" w14:paraId="52B80B22" w14:textId="77777777">
            <w:pPr>
              <w:pStyle w:val="xmsonormal"/>
              <w:widowControl/>
              <w:spacing w:before="0" w:beforeAutospacing="0" w:after="0" w:afterAutospacing="0"/>
              <w:jc w:val="center"/>
              <w:rPr>
                <w:rFonts w:ascii="Gill Sans MT" w:hAnsi="Gill Sans MT" w:cs="Arial"/>
                <w:color w:val="242424"/>
                <w:sz w:val="22"/>
                <w:szCs w:val="22"/>
                <w:bdr w:val="none" w:color="auto" w:sz="0" w:space="0" w:frame="1"/>
              </w:rPr>
            </w:pPr>
          </w:p>
        </w:tc>
      </w:tr>
      <w:tr w:rsidRPr="00DE4A81" w:rsidR="00062E8C" w:rsidTr="006C4935" w14:paraId="41725F73" w14:textId="77777777">
        <w:tc>
          <w:tcPr>
            <w:tcW w:w="1525" w:type="dxa"/>
            <w:shd w:val="clear" w:color="auto" w:fill="FFFFFF" w:themeFill="background1"/>
          </w:tcPr>
          <w:p w:rsidRPr="00DE4A81" w:rsidR="00062E8C" w:rsidP="00C46481" w:rsidRDefault="00062E8C" w14:paraId="2432BECF" w14:textId="77777777">
            <w:pPr>
              <w:pStyle w:val="xmsonormal"/>
              <w:widowControl/>
              <w:spacing w:before="0" w:beforeAutospacing="0" w:after="0" w:afterAutospacing="0"/>
              <w:jc w:val="center"/>
              <w:rPr>
                <w:rFonts w:ascii="Gill Sans MT" w:hAnsi="Gill Sans MT" w:cs="Arial"/>
                <w:color w:val="242424"/>
                <w:sz w:val="22"/>
                <w:szCs w:val="22"/>
                <w:bdr w:val="none" w:color="auto" w:sz="0" w:space="0" w:frame="1"/>
              </w:rPr>
            </w:pPr>
          </w:p>
        </w:tc>
        <w:tc>
          <w:tcPr>
            <w:tcW w:w="3150" w:type="dxa"/>
            <w:shd w:val="clear" w:color="auto" w:fill="FFFFFF" w:themeFill="background1"/>
          </w:tcPr>
          <w:p w:rsidRPr="00DE4A81" w:rsidR="00062E8C" w:rsidP="00C46481" w:rsidRDefault="00062E8C" w14:paraId="49CECB6A"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Announcement of prequalification determinations</w:t>
            </w:r>
          </w:p>
        </w:tc>
        <w:tc>
          <w:tcPr>
            <w:tcW w:w="3646" w:type="dxa"/>
            <w:shd w:val="clear" w:color="auto" w:fill="FFFFFF" w:themeFill="background1"/>
          </w:tcPr>
          <w:p w:rsidRPr="00DE4A81" w:rsidR="00062E8C" w:rsidP="00C46481" w:rsidRDefault="00062E8C" w14:paraId="1D5E6E89" w14:textId="77777777">
            <w:pPr>
              <w:pStyle w:val="xmsonormal"/>
              <w:widowControl/>
              <w:spacing w:before="0" w:beforeAutospacing="0" w:after="0" w:afterAutospacing="0"/>
              <w:jc w:val="center"/>
              <w:rPr>
                <w:rFonts w:ascii="Gill Sans MT" w:hAnsi="Gill Sans MT" w:cs="Arial"/>
                <w:color w:val="242424"/>
                <w:sz w:val="22"/>
                <w:szCs w:val="22"/>
                <w:bdr w:val="none" w:color="auto" w:sz="0" w:space="0" w:frame="1"/>
              </w:rPr>
            </w:pPr>
          </w:p>
        </w:tc>
        <w:tc>
          <w:tcPr>
            <w:tcW w:w="1029" w:type="dxa"/>
            <w:shd w:val="clear" w:color="auto" w:fill="FFFFFF" w:themeFill="background1"/>
          </w:tcPr>
          <w:p w:rsidRPr="00DE4A81" w:rsidR="00062E8C" w:rsidP="00C46481" w:rsidRDefault="00062E8C" w14:paraId="4AC34D1E" w14:textId="77777777">
            <w:pPr>
              <w:pStyle w:val="xmsonormal"/>
              <w:widowControl/>
              <w:spacing w:before="0" w:beforeAutospacing="0" w:after="0" w:afterAutospacing="0"/>
              <w:jc w:val="center"/>
              <w:rPr>
                <w:rFonts w:ascii="Gill Sans MT" w:hAnsi="Gill Sans MT" w:cs="Arial"/>
                <w:color w:val="242424"/>
                <w:sz w:val="22"/>
                <w:szCs w:val="22"/>
                <w:bdr w:val="none" w:color="auto" w:sz="0" w:space="0" w:frame="1"/>
              </w:rPr>
            </w:pPr>
          </w:p>
        </w:tc>
      </w:tr>
      <w:tr w:rsidRPr="00DE4A81" w:rsidR="00062E8C" w14:paraId="2047F543" w14:textId="77777777">
        <w:tc>
          <w:tcPr>
            <w:tcW w:w="9350" w:type="dxa"/>
            <w:gridSpan w:val="4"/>
            <w:shd w:val="clear" w:color="auto" w:fill="DBE5F1" w:themeFill="accent1" w:themeFillTint="33"/>
          </w:tcPr>
          <w:p w:rsidRPr="00DE4A81" w:rsidR="00062E8C" w:rsidP="00C46481" w:rsidRDefault="00062E8C" w14:paraId="5BC499AA" w14:textId="59CED457">
            <w:pPr>
              <w:pStyle w:val="xmsonormal"/>
              <w:widowControl/>
              <w:spacing w:before="0" w:beforeAutospacing="0" w:after="0" w:afterAutospacing="0"/>
              <w:jc w:val="center"/>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 xml:space="preserve">NTIA approval of Initial Proposal Volume </w:t>
            </w:r>
            <w:r w:rsidR="00CC484B">
              <w:rPr>
                <w:rFonts w:ascii="Gill Sans MT" w:hAnsi="Gill Sans MT" w:cs="Arial"/>
                <w:color w:val="242424"/>
                <w:sz w:val="22"/>
                <w:szCs w:val="22"/>
                <w:bdr w:val="none" w:color="auto" w:sz="0" w:space="0" w:frame="1"/>
              </w:rPr>
              <w:t>2</w:t>
            </w:r>
          </w:p>
        </w:tc>
      </w:tr>
      <w:tr w:rsidRPr="00DE4A81" w:rsidR="00062E8C" w14:paraId="18A60987" w14:textId="77777777">
        <w:tc>
          <w:tcPr>
            <w:tcW w:w="9350" w:type="dxa"/>
            <w:gridSpan w:val="4"/>
            <w:shd w:val="clear" w:color="auto" w:fill="DBE5F1" w:themeFill="accent1" w:themeFillTint="33"/>
          </w:tcPr>
          <w:p w:rsidRPr="00DE4A81" w:rsidR="00062E8C" w:rsidP="00C46481" w:rsidRDefault="00062E8C" w14:paraId="0398D167" w14:textId="77777777">
            <w:pPr>
              <w:pStyle w:val="xmsonormal"/>
              <w:widowControl/>
              <w:spacing w:before="0" w:beforeAutospacing="0" w:after="0" w:afterAutospacing="0"/>
              <w:jc w:val="center"/>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Completion of Challenge Process</w:t>
            </w:r>
          </w:p>
        </w:tc>
      </w:tr>
      <w:tr w:rsidRPr="00DE4A81" w:rsidR="00062E8C" w14:paraId="016CEFF9" w14:textId="77777777">
        <w:tc>
          <w:tcPr>
            <w:tcW w:w="9350" w:type="dxa"/>
            <w:gridSpan w:val="4"/>
            <w:shd w:val="clear" w:color="auto" w:fill="DBE5F1" w:themeFill="accent1" w:themeFillTint="33"/>
          </w:tcPr>
          <w:p w:rsidRPr="00DE4A81" w:rsidR="00062E8C" w:rsidP="00C46481" w:rsidRDefault="00062E8C" w14:paraId="34C840DB" w14:textId="77777777">
            <w:pPr>
              <w:pStyle w:val="xmsonormal"/>
              <w:widowControl/>
              <w:spacing w:before="0" w:beforeAutospacing="0" w:after="0" w:afterAutospacing="0"/>
              <w:jc w:val="center"/>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NTIA Challenge Process Validation</w:t>
            </w:r>
          </w:p>
        </w:tc>
      </w:tr>
      <w:tr w:rsidRPr="00DE4A81" w:rsidR="00062E8C" w:rsidTr="00A729BC" w14:paraId="39D80500" w14:textId="77777777">
        <w:tc>
          <w:tcPr>
            <w:tcW w:w="1525" w:type="dxa"/>
          </w:tcPr>
          <w:p w:rsidRPr="00DE4A81" w:rsidR="00062E8C" w:rsidP="00C46481" w:rsidRDefault="00062E8C" w14:paraId="4B3ED1D6"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Pr>
                <w:rFonts w:ascii="Gill Sans MT" w:hAnsi="Gill Sans MT" w:cs="Arial"/>
                <w:color w:val="242424"/>
                <w:sz w:val="22"/>
                <w:szCs w:val="22"/>
                <w:bdr w:val="none" w:color="auto" w:sz="0" w:space="0" w:frame="1"/>
              </w:rPr>
              <w:t>Scoring</w:t>
            </w:r>
          </w:p>
        </w:tc>
        <w:tc>
          <w:tcPr>
            <w:tcW w:w="3150" w:type="dxa"/>
          </w:tcPr>
          <w:p w:rsidRPr="00DE4A81" w:rsidR="00062E8C" w:rsidP="00C46481" w:rsidRDefault="00062E8C" w14:paraId="4404E94B"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Grant and application materials (Application, Program Guide, FAQ documents, sample engineer certification)</w:t>
            </w:r>
          </w:p>
        </w:tc>
        <w:tc>
          <w:tcPr>
            <w:tcW w:w="3646" w:type="dxa"/>
          </w:tcPr>
          <w:p w:rsidRPr="00DE4A81" w:rsidR="00062E8C" w:rsidP="00C46481" w:rsidRDefault="00062E8C" w14:paraId="0B76AC6E"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1029" w:type="dxa"/>
          </w:tcPr>
          <w:p w:rsidRPr="00DE4A81" w:rsidR="00062E8C" w:rsidP="00C46481" w:rsidRDefault="00062E8C" w14:paraId="62C1A4B1"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r>
      <w:tr w:rsidRPr="00DE4A81" w:rsidR="00062E8C" w:rsidTr="00A729BC" w14:paraId="37EF183A" w14:textId="77777777">
        <w:tc>
          <w:tcPr>
            <w:tcW w:w="1525" w:type="dxa"/>
          </w:tcPr>
          <w:p w:rsidRPr="00DE4A81" w:rsidR="00062E8C" w:rsidP="00C46481" w:rsidRDefault="00062E8C" w14:paraId="2F449DA7"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7660E289"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Template for budget narrative, proposed budget, and business case analysis</w:t>
            </w:r>
          </w:p>
        </w:tc>
        <w:tc>
          <w:tcPr>
            <w:tcW w:w="3646" w:type="dxa"/>
          </w:tcPr>
          <w:p w:rsidRPr="00DE4A81" w:rsidR="00062E8C" w:rsidP="00C46481" w:rsidRDefault="00062E8C" w14:paraId="7DDF9DEC"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1029" w:type="dxa"/>
          </w:tcPr>
          <w:p w:rsidRPr="00DE4A81" w:rsidR="00062E8C" w:rsidP="00C46481" w:rsidRDefault="00062E8C" w14:paraId="06BA6631"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r>
      <w:tr w:rsidRPr="00DE4A81" w:rsidR="00062E8C" w:rsidTr="00A729BC" w14:paraId="7BF696C8" w14:textId="77777777">
        <w:tc>
          <w:tcPr>
            <w:tcW w:w="1525" w:type="dxa"/>
          </w:tcPr>
          <w:p w:rsidRPr="00DE4A81" w:rsidR="00062E8C" w:rsidP="00C46481" w:rsidRDefault="00062E8C" w14:paraId="6A814C46"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7D580626"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Pr>
                <w:rFonts w:ascii="Gill Sans MT" w:hAnsi="Gill Sans MT" w:cs="Arial"/>
                <w:color w:val="242424"/>
                <w:sz w:val="22"/>
                <w:szCs w:val="22"/>
                <w:bdr w:val="none" w:color="auto" w:sz="0" w:space="0" w:frame="1"/>
              </w:rPr>
              <w:t>Technical Specifications Template, Project Timeline Template</w:t>
            </w:r>
          </w:p>
        </w:tc>
        <w:tc>
          <w:tcPr>
            <w:tcW w:w="3646" w:type="dxa"/>
          </w:tcPr>
          <w:p w:rsidRPr="00DE4A81" w:rsidR="00062E8C" w:rsidP="00C46481" w:rsidRDefault="00062E8C" w14:paraId="34F0CF26"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1029" w:type="dxa"/>
          </w:tcPr>
          <w:p w:rsidRPr="00DE4A81" w:rsidR="00062E8C" w:rsidP="00C46481" w:rsidRDefault="00062E8C" w14:paraId="1547BBA6"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r>
      <w:tr w:rsidRPr="00DE4A81" w:rsidR="00062E8C" w:rsidTr="00A729BC" w14:paraId="5A820075" w14:textId="77777777">
        <w:tc>
          <w:tcPr>
            <w:tcW w:w="1525" w:type="dxa"/>
          </w:tcPr>
          <w:p w:rsidRPr="00DE4A81" w:rsidR="00062E8C" w:rsidP="00C46481" w:rsidRDefault="00062E8C" w14:paraId="3E0381CC"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279754CA"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Website information (also directing to third-party resources)</w:t>
            </w:r>
          </w:p>
        </w:tc>
        <w:tc>
          <w:tcPr>
            <w:tcW w:w="3646" w:type="dxa"/>
          </w:tcPr>
          <w:p w:rsidRPr="00DE4A81" w:rsidR="00062E8C" w:rsidP="00C46481" w:rsidRDefault="00062E8C" w14:paraId="739C8F83"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1029" w:type="dxa"/>
          </w:tcPr>
          <w:p w:rsidRPr="00DE4A81" w:rsidR="00062E8C" w:rsidP="00C46481" w:rsidRDefault="00062E8C" w14:paraId="583A9564"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r>
      <w:tr w:rsidRPr="00DE4A81" w:rsidR="00062E8C" w:rsidTr="00A729BC" w14:paraId="14F3C44A" w14:textId="77777777">
        <w:tc>
          <w:tcPr>
            <w:tcW w:w="1525" w:type="dxa"/>
          </w:tcPr>
          <w:p w:rsidRPr="00DE4A81" w:rsidR="00062E8C" w:rsidP="00C46481" w:rsidRDefault="00062E8C" w14:paraId="48586E42"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038AA715"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Online application workshop and workshop materials</w:t>
            </w:r>
          </w:p>
        </w:tc>
        <w:tc>
          <w:tcPr>
            <w:tcW w:w="3646" w:type="dxa"/>
          </w:tcPr>
          <w:p w:rsidRPr="00DE4A81" w:rsidR="00062E8C" w:rsidP="00C46481" w:rsidRDefault="00062E8C" w14:paraId="79388094"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1029" w:type="dxa"/>
          </w:tcPr>
          <w:p w:rsidRPr="00DE4A81" w:rsidR="00062E8C" w:rsidP="00C46481" w:rsidRDefault="00062E8C" w14:paraId="07A9B790"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r>
      <w:tr w:rsidRPr="00DE4A81" w:rsidR="00062E8C" w14:paraId="243DE54A" w14:textId="77777777">
        <w:tc>
          <w:tcPr>
            <w:tcW w:w="9350" w:type="dxa"/>
            <w:gridSpan w:val="4"/>
            <w:shd w:val="clear" w:color="auto" w:fill="DBE5F1" w:themeFill="accent1" w:themeFillTint="33"/>
          </w:tcPr>
          <w:p w:rsidRPr="00DE4A81" w:rsidR="00062E8C" w:rsidP="00C46481" w:rsidRDefault="00062E8C" w14:paraId="66BE0E77" w14:textId="77777777">
            <w:pPr>
              <w:pStyle w:val="xmsonormal"/>
              <w:widowControl/>
              <w:spacing w:before="0" w:beforeAutospacing="0" w:after="0" w:afterAutospacing="0"/>
              <w:jc w:val="center"/>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Scoring Phase submission window opens</w:t>
            </w:r>
          </w:p>
        </w:tc>
      </w:tr>
      <w:tr w:rsidRPr="00DE4A81" w:rsidR="00062E8C" w:rsidTr="00A729BC" w14:paraId="558B75D4" w14:textId="77777777">
        <w:tc>
          <w:tcPr>
            <w:tcW w:w="1525" w:type="dxa"/>
          </w:tcPr>
          <w:p w:rsidRPr="00DE4A81" w:rsidR="00062E8C" w:rsidP="00C46481" w:rsidRDefault="00062E8C" w14:paraId="75921D99"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01866EFF"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Dedicated email address for questions and technical assistance</w:t>
            </w:r>
          </w:p>
        </w:tc>
        <w:tc>
          <w:tcPr>
            <w:tcW w:w="3646" w:type="dxa"/>
          </w:tcPr>
          <w:p w:rsidRPr="00DE4A81" w:rsidR="00062E8C" w:rsidP="00C46481" w:rsidRDefault="00062E8C" w14:paraId="1D5CDC38"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Detailed description of specific proposed project, including network design, descriptions of location and community, descriptions of technical specifications, timelines and milestones, and documentation of costs</w:t>
            </w:r>
          </w:p>
        </w:tc>
        <w:tc>
          <w:tcPr>
            <w:tcW w:w="1029" w:type="dxa"/>
          </w:tcPr>
          <w:p w:rsidRPr="00DE4A81" w:rsidR="00062E8C" w:rsidP="00C46481" w:rsidRDefault="00062E8C" w14:paraId="0E7910F0"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5.12.</w:t>
            </w:r>
            <w:r>
              <w:rPr>
                <w:rFonts w:ascii="Gill Sans MT" w:hAnsi="Gill Sans MT" w:cs="Arial"/>
                <w:color w:val="242424"/>
                <w:sz w:val="22"/>
                <w:szCs w:val="22"/>
                <w:bdr w:val="none" w:color="auto" w:sz="0" w:space="0" w:frame="1"/>
              </w:rPr>
              <w:t>6</w:t>
            </w:r>
            <w:r w:rsidRPr="00DE4A81">
              <w:rPr>
                <w:rFonts w:ascii="Gill Sans MT" w:hAnsi="Gill Sans MT" w:cs="Arial"/>
                <w:color w:val="242424"/>
                <w:sz w:val="22"/>
                <w:szCs w:val="22"/>
                <w:bdr w:val="none" w:color="auto" w:sz="0" w:space="0" w:frame="1"/>
              </w:rPr>
              <w:t>.5</w:t>
            </w:r>
          </w:p>
        </w:tc>
      </w:tr>
      <w:tr w:rsidRPr="00DE4A81" w:rsidR="00062E8C" w:rsidTr="00A729BC" w14:paraId="07B358F9" w14:textId="77777777">
        <w:tc>
          <w:tcPr>
            <w:tcW w:w="1525" w:type="dxa"/>
          </w:tcPr>
          <w:p w:rsidRPr="00DE4A81" w:rsidR="00062E8C" w:rsidP="00C46481" w:rsidRDefault="00062E8C" w14:paraId="623435C5"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07FFB05E"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Continual updates to FAQ document as questions are received and answered</w:t>
            </w:r>
          </w:p>
        </w:tc>
        <w:tc>
          <w:tcPr>
            <w:tcW w:w="3646" w:type="dxa"/>
          </w:tcPr>
          <w:p w:rsidRPr="00DE4A81" w:rsidR="00062E8C" w:rsidP="00C46481" w:rsidRDefault="00062E8C" w14:paraId="771DCBE7" w14:textId="33F6E624">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 xml:space="preserve">Budget narrative and proposed budget using </w:t>
            </w:r>
            <w:r w:rsidR="00BD23D2">
              <w:rPr>
                <w:rFonts w:ascii="Gill Sans MT" w:hAnsi="Gill Sans MT" w:cs="Arial"/>
                <w:color w:val="242424"/>
                <w:sz w:val="22"/>
                <w:szCs w:val="22"/>
                <w:bdr w:val="none" w:color="auto" w:sz="0" w:space="0" w:frame="1"/>
              </w:rPr>
              <w:t>ADECA</w:t>
            </w:r>
            <w:r w:rsidRPr="00DE4A81" w:rsidR="00BD23D2">
              <w:rPr>
                <w:rFonts w:ascii="Gill Sans MT" w:hAnsi="Gill Sans MT" w:cs="Arial"/>
                <w:color w:val="242424"/>
                <w:sz w:val="22"/>
                <w:szCs w:val="22"/>
                <w:bdr w:val="none" w:color="auto" w:sz="0" w:space="0" w:frame="1"/>
              </w:rPr>
              <w:t xml:space="preserve"> </w:t>
            </w:r>
            <w:r w:rsidRPr="00DE4A81">
              <w:rPr>
                <w:rFonts w:ascii="Gill Sans MT" w:hAnsi="Gill Sans MT" w:cs="Arial"/>
                <w:color w:val="242424"/>
                <w:sz w:val="22"/>
                <w:szCs w:val="22"/>
                <w:bdr w:val="none" w:color="auto" w:sz="0" w:space="0" w:frame="1"/>
              </w:rPr>
              <w:t>templates, specifying expenses, team responsible for each expense, and relation to project objective</w:t>
            </w:r>
          </w:p>
        </w:tc>
        <w:tc>
          <w:tcPr>
            <w:tcW w:w="1029" w:type="dxa"/>
          </w:tcPr>
          <w:p w:rsidRPr="00DE4A81" w:rsidR="00062E8C" w:rsidP="00C46481" w:rsidRDefault="00062E8C" w14:paraId="4D24613E"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5.12.</w:t>
            </w:r>
            <w:r>
              <w:rPr>
                <w:rFonts w:ascii="Gill Sans MT" w:hAnsi="Gill Sans MT" w:cs="Arial"/>
                <w:color w:val="242424"/>
                <w:sz w:val="22"/>
                <w:szCs w:val="22"/>
                <w:bdr w:val="none" w:color="auto" w:sz="0" w:space="0" w:frame="1"/>
              </w:rPr>
              <w:t>4</w:t>
            </w:r>
          </w:p>
        </w:tc>
      </w:tr>
      <w:tr w:rsidRPr="00DE4A81" w:rsidR="00062E8C" w:rsidTr="00A729BC" w14:paraId="57661E94" w14:textId="77777777">
        <w:tc>
          <w:tcPr>
            <w:tcW w:w="1525" w:type="dxa"/>
          </w:tcPr>
          <w:p w:rsidRPr="00DE4A81" w:rsidR="00062E8C" w:rsidP="00C46481" w:rsidRDefault="00062E8C" w14:paraId="06690CF2"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07225425"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646" w:type="dxa"/>
          </w:tcPr>
          <w:p w:rsidRPr="00DE4A81" w:rsidR="00062E8C" w:rsidP="00C46481" w:rsidRDefault="00062E8C" w14:paraId="4B02B3B5" w14:textId="485E84E3">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 xml:space="preserve">Business case analysis using </w:t>
            </w:r>
            <w:r w:rsidR="00BD23D2">
              <w:rPr>
                <w:rFonts w:ascii="Gill Sans MT" w:hAnsi="Gill Sans MT" w:cs="Arial"/>
                <w:color w:val="242424"/>
                <w:sz w:val="22"/>
                <w:szCs w:val="22"/>
                <w:bdr w:val="none" w:color="auto" w:sz="0" w:space="0" w:frame="1"/>
              </w:rPr>
              <w:t>ADECA</w:t>
            </w:r>
            <w:r w:rsidRPr="00DE4A81" w:rsidR="00BD23D2">
              <w:rPr>
                <w:rFonts w:ascii="Gill Sans MT" w:hAnsi="Gill Sans MT" w:cs="Arial"/>
                <w:color w:val="242424"/>
                <w:sz w:val="22"/>
                <w:szCs w:val="22"/>
                <w:bdr w:val="none" w:color="auto" w:sz="0" w:space="0" w:frame="1"/>
              </w:rPr>
              <w:t xml:space="preserve"> </w:t>
            </w:r>
            <w:r w:rsidRPr="00DE4A81">
              <w:rPr>
                <w:rFonts w:ascii="Gill Sans MT" w:hAnsi="Gill Sans MT" w:cs="Arial"/>
                <w:color w:val="242424"/>
                <w:sz w:val="22"/>
                <w:szCs w:val="22"/>
                <w:bdr w:val="none" w:color="auto" w:sz="0" w:space="0" w:frame="1"/>
              </w:rPr>
              <w:t>template, involving take rates, churn, revenue, cash flow, expenditures</w:t>
            </w:r>
          </w:p>
        </w:tc>
        <w:tc>
          <w:tcPr>
            <w:tcW w:w="1029" w:type="dxa"/>
          </w:tcPr>
          <w:p w:rsidRPr="00DE4A81" w:rsidR="00062E8C" w:rsidP="00C46481" w:rsidRDefault="00062E8C" w14:paraId="41B4FD4C"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5.12.</w:t>
            </w:r>
            <w:r>
              <w:rPr>
                <w:rFonts w:ascii="Gill Sans MT" w:hAnsi="Gill Sans MT" w:cs="Arial"/>
                <w:color w:val="242424"/>
                <w:sz w:val="22"/>
                <w:szCs w:val="22"/>
                <w:bdr w:val="none" w:color="auto" w:sz="0" w:space="0" w:frame="1"/>
              </w:rPr>
              <w:t>4</w:t>
            </w:r>
          </w:p>
        </w:tc>
      </w:tr>
      <w:tr w:rsidRPr="00DE4A81" w:rsidR="00062E8C" w:rsidTr="00A729BC" w14:paraId="6E62904A" w14:textId="77777777">
        <w:tc>
          <w:tcPr>
            <w:tcW w:w="1525" w:type="dxa"/>
          </w:tcPr>
          <w:p w:rsidRPr="00DE4A81" w:rsidR="00062E8C" w:rsidP="00C46481" w:rsidRDefault="00062E8C" w14:paraId="03B00908"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135735A6"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646" w:type="dxa"/>
          </w:tcPr>
          <w:p w:rsidRPr="00DE4A81" w:rsidR="00062E8C" w:rsidP="00C46481" w:rsidRDefault="00062E8C" w14:paraId="13B1EE8F"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Descriptions of managerial capability connected to unique needs of specific proposed project</w:t>
            </w:r>
          </w:p>
        </w:tc>
        <w:tc>
          <w:tcPr>
            <w:tcW w:w="1029" w:type="dxa"/>
          </w:tcPr>
          <w:p w:rsidRPr="00DE4A81" w:rsidR="00062E8C" w:rsidP="00C46481" w:rsidRDefault="00062E8C" w14:paraId="2C19A1D7"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5.12.</w:t>
            </w:r>
            <w:r>
              <w:rPr>
                <w:rFonts w:ascii="Gill Sans MT" w:hAnsi="Gill Sans MT" w:cs="Arial"/>
                <w:color w:val="242424"/>
                <w:sz w:val="22"/>
                <w:szCs w:val="22"/>
                <w:bdr w:val="none" w:color="auto" w:sz="0" w:space="0" w:frame="1"/>
              </w:rPr>
              <w:t>5</w:t>
            </w:r>
          </w:p>
        </w:tc>
      </w:tr>
      <w:tr w:rsidRPr="00DE4A81" w:rsidR="00062E8C" w:rsidTr="00A729BC" w14:paraId="2140B75D" w14:textId="77777777">
        <w:tc>
          <w:tcPr>
            <w:tcW w:w="1525" w:type="dxa"/>
          </w:tcPr>
          <w:p w:rsidRPr="00DE4A81" w:rsidR="00062E8C" w:rsidP="00C46481" w:rsidRDefault="00062E8C" w14:paraId="56466942"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6640E4E9"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646" w:type="dxa"/>
          </w:tcPr>
          <w:p w:rsidRPr="00DE4A81" w:rsidR="00062E8C" w:rsidP="00C46481" w:rsidRDefault="00062E8C" w14:paraId="629AB9FA"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List of job categories, titles, and descriptions to complete the specific project; certifications or licenses necessary for the specific project; demonstration of completion of requirements to be qualified for the project</w:t>
            </w:r>
          </w:p>
        </w:tc>
        <w:tc>
          <w:tcPr>
            <w:tcW w:w="1029" w:type="dxa"/>
          </w:tcPr>
          <w:p w:rsidRPr="00DE4A81" w:rsidR="00062E8C" w:rsidP="00C46481" w:rsidRDefault="00062E8C" w14:paraId="64DD84E8"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5.12.</w:t>
            </w:r>
            <w:r>
              <w:rPr>
                <w:rFonts w:ascii="Gill Sans MT" w:hAnsi="Gill Sans MT" w:cs="Arial"/>
                <w:color w:val="242424"/>
                <w:sz w:val="22"/>
                <w:szCs w:val="22"/>
                <w:bdr w:val="none" w:color="auto" w:sz="0" w:space="0" w:frame="1"/>
              </w:rPr>
              <w:t>6</w:t>
            </w:r>
            <w:r w:rsidRPr="00DE4A81">
              <w:rPr>
                <w:rFonts w:ascii="Gill Sans MT" w:hAnsi="Gill Sans MT" w:cs="Arial"/>
                <w:color w:val="242424"/>
                <w:sz w:val="22"/>
                <w:szCs w:val="22"/>
                <w:bdr w:val="none" w:color="auto" w:sz="0" w:space="0" w:frame="1"/>
              </w:rPr>
              <w:t>.4</w:t>
            </w:r>
          </w:p>
        </w:tc>
      </w:tr>
      <w:tr w:rsidRPr="00DE4A81" w:rsidR="00062E8C" w:rsidTr="00A729BC" w14:paraId="500BE434" w14:textId="77777777">
        <w:tc>
          <w:tcPr>
            <w:tcW w:w="1525" w:type="dxa"/>
          </w:tcPr>
          <w:p w:rsidRPr="00DE4A81" w:rsidR="00062E8C" w:rsidP="00C46481" w:rsidRDefault="00062E8C" w14:paraId="4AC720A9"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543CBDDF"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646" w:type="dxa"/>
          </w:tcPr>
          <w:p w:rsidR="001A5FB9" w:rsidP="00C46481" w:rsidRDefault="001A5FB9" w14:paraId="4E8E90C1" w14:textId="0B316EAC">
            <w:pPr>
              <w:pStyle w:val="xmsonormal"/>
              <w:widowControl/>
              <w:spacing w:before="0" w:beforeAutospacing="0" w:after="0" w:afterAutospacing="0"/>
              <w:rPr>
                <w:rFonts w:ascii="Gill Sans MT" w:hAnsi="Gill Sans MT" w:cs="Arial"/>
                <w:color w:val="242424"/>
                <w:sz w:val="22"/>
                <w:szCs w:val="22"/>
                <w:bdr w:val="none" w:color="auto" w:sz="0" w:space="0" w:frame="1"/>
              </w:rPr>
            </w:pPr>
            <w:r>
              <w:rPr>
                <w:rFonts w:ascii="Gill Sans MT" w:hAnsi="Gill Sans MT" w:cs="Arial"/>
                <w:color w:val="242424"/>
                <w:sz w:val="22"/>
                <w:szCs w:val="22"/>
                <w:bdr w:val="none" w:color="auto" w:sz="0" w:space="0" w:frame="1"/>
              </w:rPr>
              <w:t xml:space="preserve">Professional Engineer </w:t>
            </w:r>
            <w:r w:rsidRPr="00DE4A81" w:rsidR="00062E8C">
              <w:rPr>
                <w:rFonts w:ascii="Gill Sans MT" w:hAnsi="Gill Sans MT" w:cs="Arial"/>
                <w:color w:val="242424"/>
                <w:sz w:val="22"/>
                <w:szCs w:val="22"/>
                <w:bdr w:val="none" w:color="auto" w:sz="0" w:space="0" w:frame="1"/>
              </w:rPr>
              <w:t>Certification of the project</w:t>
            </w:r>
          </w:p>
          <w:p w:rsidRPr="00DE4A81" w:rsidR="00062E8C" w:rsidP="00C46481" w:rsidRDefault="00E4555C" w14:paraId="394D02FB" w14:textId="6E2CCF9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 xml:space="preserve"> </w:t>
            </w:r>
          </w:p>
        </w:tc>
        <w:tc>
          <w:tcPr>
            <w:tcW w:w="1029" w:type="dxa"/>
          </w:tcPr>
          <w:p w:rsidRPr="00DE4A81" w:rsidR="00062E8C" w:rsidP="00C46481" w:rsidRDefault="00062E8C" w14:paraId="5A783165"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5.12.</w:t>
            </w:r>
            <w:r>
              <w:rPr>
                <w:rFonts w:ascii="Gill Sans MT" w:hAnsi="Gill Sans MT" w:cs="Arial"/>
                <w:color w:val="242424"/>
                <w:sz w:val="22"/>
                <w:szCs w:val="22"/>
                <w:bdr w:val="none" w:color="auto" w:sz="0" w:space="0" w:frame="1"/>
              </w:rPr>
              <w:t>6</w:t>
            </w:r>
            <w:r w:rsidRPr="00DE4A81">
              <w:rPr>
                <w:rFonts w:ascii="Gill Sans MT" w:hAnsi="Gill Sans MT" w:cs="Arial"/>
                <w:color w:val="242424"/>
                <w:sz w:val="22"/>
                <w:szCs w:val="22"/>
                <w:bdr w:val="none" w:color="auto" w:sz="0" w:space="0" w:frame="1"/>
              </w:rPr>
              <w:t>.6</w:t>
            </w:r>
          </w:p>
        </w:tc>
      </w:tr>
      <w:tr w:rsidRPr="00DE4A81" w:rsidR="00062E8C" w:rsidTr="00A729BC" w14:paraId="3F30DC7F" w14:textId="77777777">
        <w:tc>
          <w:tcPr>
            <w:tcW w:w="1525" w:type="dxa"/>
          </w:tcPr>
          <w:p w:rsidRPr="00DE4A81" w:rsidR="00062E8C" w:rsidP="00C46481" w:rsidRDefault="00062E8C" w14:paraId="733E8A09"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414271BB"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646" w:type="dxa"/>
          </w:tcPr>
          <w:p w:rsidRPr="00DE4A81" w:rsidR="00062E8C" w:rsidP="00C46481" w:rsidRDefault="00062E8C" w14:paraId="2D11F385" w14:textId="4CD37F0A">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 xml:space="preserve">Project-specific certification by </w:t>
            </w:r>
            <w:r w:rsidR="001A5FB9">
              <w:rPr>
                <w:rFonts w:ascii="Gill Sans MT" w:hAnsi="Gill Sans MT" w:cs="Arial"/>
                <w:color w:val="242424"/>
                <w:sz w:val="22"/>
                <w:szCs w:val="22"/>
                <w:bdr w:val="none" w:color="auto" w:sz="0" w:space="0" w:frame="1"/>
              </w:rPr>
              <w:t>o</w:t>
            </w:r>
            <w:r w:rsidRPr="00DE4A81">
              <w:rPr>
                <w:rFonts w:ascii="Gill Sans MT" w:hAnsi="Gill Sans MT" w:cs="Arial"/>
                <w:color w:val="242424"/>
                <w:sz w:val="22"/>
                <w:szCs w:val="22"/>
                <w:bdr w:val="none" w:color="auto" w:sz="0" w:space="0" w:frame="1"/>
              </w:rPr>
              <w:t xml:space="preserve">fficer or </w:t>
            </w:r>
            <w:r w:rsidR="001A5FB9">
              <w:rPr>
                <w:rFonts w:ascii="Gill Sans MT" w:hAnsi="Gill Sans MT" w:cs="Arial"/>
                <w:color w:val="242424"/>
                <w:sz w:val="22"/>
                <w:szCs w:val="22"/>
                <w:bdr w:val="none" w:color="auto" w:sz="0" w:space="0" w:frame="1"/>
              </w:rPr>
              <w:t>d</w:t>
            </w:r>
            <w:r w:rsidRPr="00DE4A81">
              <w:rPr>
                <w:rFonts w:ascii="Gill Sans MT" w:hAnsi="Gill Sans MT" w:cs="Arial"/>
                <w:color w:val="242424"/>
                <w:sz w:val="22"/>
                <w:szCs w:val="22"/>
                <w:bdr w:val="none" w:color="auto" w:sz="0" w:space="0" w:frame="1"/>
              </w:rPr>
              <w:t>irector: that it has financial resources to complete the project with reimbursement model; that it has financial resources to provide pledged matching funding; that it has financial resources to support all costs of the project, even if it exceeds the grant award and matching funds</w:t>
            </w:r>
          </w:p>
        </w:tc>
        <w:tc>
          <w:tcPr>
            <w:tcW w:w="1029" w:type="dxa"/>
          </w:tcPr>
          <w:p w:rsidRPr="00DE4A81" w:rsidR="00062E8C" w:rsidP="00C46481" w:rsidRDefault="00062E8C" w14:paraId="24B7EDF7"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5.12.1</w:t>
            </w:r>
          </w:p>
        </w:tc>
      </w:tr>
      <w:tr w:rsidRPr="00DE4A81" w:rsidR="00062E8C" w:rsidTr="00A729BC" w14:paraId="10FC95BC" w14:textId="77777777">
        <w:tc>
          <w:tcPr>
            <w:tcW w:w="1525" w:type="dxa"/>
          </w:tcPr>
          <w:p w:rsidRPr="00DE4A81" w:rsidR="00062E8C" w:rsidP="00C46481" w:rsidRDefault="00062E8C" w14:paraId="5087BDB7"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0285FD8F"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646" w:type="dxa"/>
          </w:tcPr>
          <w:p w:rsidRPr="00DE4A81" w:rsidR="00062E8C" w:rsidP="00C46481" w:rsidRDefault="00062E8C" w14:paraId="695D15E3" w14:textId="7E50FE6D">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 xml:space="preserve">Letter of commitment from qualified financial institution describing the institution, stating that they stand ready to issue a </w:t>
            </w:r>
            <w:r w:rsidR="001A5FB9">
              <w:rPr>
                <w:rFonts w:ascii="Gill Sans MT" w:hAnsi="Gill Sans MT" w:cs="Arial"/>
                <w:color w:val="242424"/>
                <w:sz w:val="22"/>
                <w:szCs w:val="22"/>
                <w:bdr w:val="none" w:color="auto" w:sz="0" w:space="0" w:frame="1"/>
              </w:rPr>
              <w:t>LOC</w:t>
            </w:r>
            <w:r w:rsidRPr="00DE4A81">
              <w:rPr>
                <w:rFonts w:ascii="Gill Sans MT" w:hAnsi="Gill Sans MT" w:cs="Arial"/>
                <w:color w:val="242424"/>
                <w:sz w:val="22"/>
                <w:szCs w:val="22"/>
                <w:bdr w:val="none" w:color="auto" w:sz="0" w:space="0" w:frame="1"/>
              </w:rPr>
              <w:t xml:space="preserve"> for the proposed project and specified amount, and stating that it has reviewed the model letter and is prepared to comply with terms</w:t>
            </w:r>
            <w:r w:rsidR="00F64F05">
              <w:rPr>
                <w:rFonts w:ascii="Gill Sans MT" w:hAnsi="Gill Sans MT" w:cs="Arial"/>
                <w:color w:val="242424"/>
                <w:sz w:val="22"/>
                <w:szCs w:val="22"/>
                <w:bdr w:val="none" w:color="auto" w:sz="0" w:space="0" w:frame="1"/>
              </w:rPr>
              <w:t xml:space="preserve"> (or appropriate performance bond documentation)</w:t>
            </w:r>
          </w:p>
        </w:tc>
        <w:tc>
          <w:tcPr>
            <w:tcW w:w="1029" w:type="dxa"/>
          </w:tcPr>
          <w:p w:rsidRPr="00DE4A81" w:rsidR="00062E8C" w:rsidP="00C46481" w:rsidRDefault="00062E8C" w14:paraId="331D957C"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5.12.2</w:t>
            </w:r>
          </w:p>
        </w:tc>
      </w:tr>
      <w:tr w:rsidRPr="00DE4A81" w:rsidR="00062E8C" w14:paraId="052D6094" w14:textId="77777777">
        <w:tc>
          <w:tcPr>
            <w:tcW w:w="9350" w:type="dxa"/>
            <w:gridSpan w:val="4"/>
            <w:shd w:val="clear" w:color="auto" w:fill="DBE5F1" w:themeFill="accent1" w:themeFillTint="33"/>
          </w:tcPr>
          <w:p w:rsidRPr="00DE4A81" w:rsidR="00062E8C" w:rsidP="00C46481" w:rsidRDefault="00062E8C" w14:paraId="4508FF0D" w14:textId="77777777">
            <w:pPr>
              <w:pStyle w:val="xmsonormal"/>
              <w:widowControl/>
              <w:spacing w:before="0" w:beforeAutospacing="0" w:after="0" w:afterAutospacing="0"/>
              <w:jc w:val="center"/>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Scoring Phase submission window closes</w:t>
            </w:r>
          </w:p>
        </w:tc>
      </w:tr>
      <w:tr w:rsidRPr="00DE4A81" w:rsidR="00062E8C" w:rsidTr="00B674C7" w14:paraId="5A55B807" w14:textId="77777777">
        <w:tc>
          <w:tcPr>
            <w:tcW w:w="1525" w:type="dxa"/>
          </w:tcPr>
          <w:p w:rsidRPr="00DE4A81" w:rsidR="00062E8C" w:rsidP="00C46481" w:rsidRDefault="00062E8C" w14:paraId="38DED2DA"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574BBACD"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Scoring, according to guidelines in 5.3.2</w:t>
            </w:r>
            <w:r>
              <w:rPr>
                <w:rFonts w:ascii="Gill Sans MT" w:hAnsi="Gill Sans MT" w:cs="Arial"/>
                <w:color w:val="242424"/>
                <w:sz w:val="22"/>
                <w:szCs w:val="22"/>
                <w:bdr w:val="none" w:color="auto" w:sz="0" w:space="0" w:frame="1"/>
              </w:rPr>
              <w:t xml:space="preserve"> and 5.3.3</w:t>
            </w:r>
          </w:p>
        </w:tc>
        <w:tc>
          <w:tcPr>
            <w:tcW w:w="3646" w:type="dxa"/>
          </w:tcPr>
          <w:p w:rsidRPr="00DE4A81" w:rsidR="00062E8C" w:rsidP="00C46481" w:rsidRDefault="00062E8C" w14:paraId="0F4A40DD"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1029" w:type="dxa"/>
          </w:tcPr>
          <w:p w:rsidRPr="00DE4A81" w:rsidR="00062E8C" w:rsidP="00C46481" w:rsidRDefault="00062E8C" w14:paraId="2EA71176"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r>
      <w:tr w:rsidRPr="00DE4A81" w:rsidR="00062E8C" w:rsidTr="00B674C7" w14:paraId="2A91138B" w14:textId="77777777">
        <w:tc>
          <w:tcPr>
            <w:tcW w:w="1525" w:type="dxa"/>
          </w:tcPr>
          <w:p w:rsidRPr="00DE4A81" w:rsidR="00062E8C" w:rsidP="00C46481" w:rsidRDefault="00062E8C" w14:paraId="2581CE6B"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7FD8AB98"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Curing, as necessary</w:t>
            </w:r>
          </w:p>
        </w:tc>
        <w:tc>
          <w:tcPr>
            <w:tcW w:w="3646" w:type="dxa"/>
          </w:tcPr>
          <w:p w:rsidRPr="00DE4A81" w:rsidR="00062E8C" w:rsidP="00C46481" w:rsidRDefault="00062E8C" w14:paraId="363BE66C"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1029" w:type="dxa"/>
          </w:tcPr>
          <w:p w:rsidRPr="00DE4A81" w:rsidR="00062E8C" w:rsidP="00C46481" w:rsidRDefault="00062E8C" w14:paraId="33038EFB"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r>
      <w:tr w:rsidRPr="00DE4A81" w:rsidR="00062E8C" w:rsidTr="00B674C7" w14:paraId="460A286B" w14:textId="77777777">
        <w:tc>
          <w:tcPr>
            <w:tcW w:w="1525" w:type="dxa"/>
          </w:tcPr>
          <w:p w:rsidRPr="00DE4A81" w:rsidR="00062E8C" w:rsidP="00C46481" w:rsidRDefault="00062E8C" w14:paraId="1AA7859A"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Scoring (Negotiation)</w:t>
            </w:r>
          </w:p>
        </w:tc>
        <w:tc>
          <w:tcPr>
            <w:tcW w:w="3150" w:type="dxa"/>
          </w:tcPr>
          <w:p w:rsidRPr="00DE4A81" w:rsidR="00062E8C" w:rsidP="00C46481" w:rsidRDefault="00062E8C" w14:paraId="27BD3113"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Counteroffers to negotiate pricing and proposal area boundaries, if needed</w:t>
            </w:r>
          </w:p>
        </w:tc>
        <w:tc>
          <w:tcPr>
            <w:tcW w:w="3646" w:type="dxa"/>
          </w:tcPr>
          <w:p w:rsidRPr="00DE4A81" w:rsidR="00062E8C" w:rsidP="00C46481" w:rsidRDefault="00062E8C" w14:paraId="20106E5C"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1029" w:type="dxa"/>
          </w:tcPr>
          <w:p w:rsidRPr="00DE4A81" w:rsidR="00062E8C" w:rsidP="00C46481" w:rsidRDefault="00062E8C" w14:paraId="31668BB3"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r>
      <w:tr w:rsidRPr="00DE4A81" w:rsidR="00062E8C" w:rsidTr="00B674C7" w14:paraId="598193D5" w14:textId="77777777">
        <w:tc>
          <w:tcPr>
            <w:tcW w:w="1525" w:type="dxa"/>
          </w:tcPr>
          <w:p w:rsidRPr="00DE4A81" w:rsidR="00062E8C" w:rsidP="00C46481" w:rsidRDefault="00062E8C" w14:paraId="0EBD7B46"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162EDD36"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If necessary, second phase grant window for remaining needs</w:t>
            </w:r>
          </w:p>
        </w:tc>
        <w:tc>
          <w:tcPr>
            <w:tcW w:w="3646" w:type="dxa"/>
          </w:tcPr>
          <w:p w:rsidRPr="00DE4A81" w:rsidR="00062E8C" w:rsidP="00C46481" w:rsidRDefault="00062E8C" w14:paraId="1EE91D9C"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1029" w:type="dxa"/>
          </w:tcPr>
          <w:p w:rsidRPr="00DE4A81" w:rsidR="00062E8C" w:rsidP="00C46481" w:rsidRDefault="00062E8C" w14:paraId="7021BDF7"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r>
      <w:tr w:rsidRPr="00DE4A81" w:rsidR="00062E8C" w:rsidTr="00B674C7" w14:paraId="7109049B" w14:textId="77777777">
        <w:tc>
          <w:tcPr>
            <w:tcW w:w="1525" w:type="dxa"/>
          </w:tcPr>
          <w:p w:rsidRPr="00DE4A81" w:rsidR="00062E8C" w:rsidP="00C46481" w:rsidRDefault="00062E8C" w14:paraId="5B1129D2"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3C7E3628"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Curing, as necessary</w:t>
            </w:r>
          </w:p>
        </w:tc>
        <w:tc>
          <w:tcPr>
            <w:tcW w:w="3646" w:type="dxa"/>
          </w:tcPr>
          <w:p w:rsidRPr="00DE4A81" w:rsidR="00062E8C" w:rsidP="00C46481" w:rsidRDefault="00062E8C" w14:paraId="50F06057"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1029" w:type="dxa"/>
          </w:tcPr>
          <w:p w:rsidRPr="00DE4A81" w:rsidR="00062E8C" w:rsidP="00C46481" w:rsidRDefault="00062E8C" w14:paraId="30ACD235"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r>
      <w:tr w:rsidRPr="00DE4A81" w:rsidR="00062E8C" w14:paraId="3AEDD4EC" w14:textId="77777777">
        <w:tc>
          <w:tcPr>
            <w:tcW w:w="9350" w:type="dxa"/>
            <w:gridSpan w:val="4"/>
            <w:shd w:val="clear" w:color="auto" w:fill="DBE5F1" w:themeFill="accent1" w:themeFillTint="33"/>
          </w:tcPr>
          <w:p w:rsidRPr="00DE4A81" w:rsidR="00062E8C" w:rsidP="00C46481" w:rsidRDefault="00062E8C" w14:paraId="0202A7D9" w14:textId="77777777">
            <w:pPr>
              <w:pStyle w:val="xmsonormal"/>
              <w:widowControl/>
              <w:spacing w:before="0" w:beforeAutospacing="0" w:after="0" w:afterAutospacing="0"/>
              <w:jc w:val="center"/>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Negotiation Phase closes</w:t>
            </w:r>
          </w:p>
        </w:tc>
      </w:tr>
      <w:tr w:rsidRPr="00DE4A81" w:rsidR="00062E8C" w:rsidTr="00B674C7" w14:paraId="55096981" w14:textId="77777777">
        <w:tc>
          <w:tcPr>
            <w:tcW w:w="1525" w:type="dxa"/>
          </w:tcPr>
          <w:p w:rsidRPr="00DE4A81" w:rsidR="00062E8C" w:rsidP="00C46481" w:rsidRDefault="00062E8C" w14:paraId="510E3834"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Finalization</w:t>
            </w:r>
          </w:p>
        </w:tc>
        <w:tc>
          <w:tcPr>
            <w:tcW w:w="3150" w:type="dxa"/>
          </w:tcPr>
          <w:p w:rsidRPr="00DE4A81" w:rsidR="00062E8C" w:rsidP="00C46481" w:rsidRDefault="00062E8C" w14:paraId="298F04E6"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Announcement of provisional determinations, subject to NTIA approval</w:t>
            </w:r>
          </w:p>
        </w:tc>
        <w:tc>
          <w:tcPr>
            <w:tcW w:w="3646" w:type="dxa"/>
          </w:tcPr>
          <w:p w:rsidRPr="00DE4A81" w:rsidR="00062E8C" w:rsidP="00C46481" w:rsidRDefault="00062E8C" w14:paraId="6EBBB582" w14:textId="5F7883D2">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 xml:space="preserve">Irrevocable standby </w:t>
            </w:r>
            <w:r w:rsidR="00F64F05">
              <w:rPr>
                <w:rFonts w:ascii="Gill Sans MT" w:hAnsi="Gill Sans MT" w:cs="Arial"/>
                <w:color w:val="242424"/>
                <w:sz w:val="22"/>
                <w:szCs w:val="22"/>
                <w:bdr w:val="none" w:color="auto" w:sz="0" w:space="0" w:frame="1"/>
              </w:rPr>
              <w:t>LOC</w:t>
            </w:r>
            <w:r w:rsidRPr="00DE4A81">
              <w:rPr>
                <w:rFonts w:ascii="Gill Sans MT" w:hAnsi="Gill Sans MT" w:cs="Arial"/>
                <w:color w:val="242424"/>
                <w:sz w:val="22"/>
                <w:szCs w:val="22"/>
                <w:bdr w:val="none" w:color="auto" w:sz="0" w:space="0" w:frame="1"/>
              </w:rPr>
              <w:t xml:space="preserve"> from financial institution</w:t>
            </w:r>
            <w:r w:rsidR="00F64F05">
              <w:rPr>
                <w:rFonts w:ascii="Gill Sans MT" w:hAnsi="Gill Sans MT" w:cs="Arial"/>
                <w:color w:val="242424"/>
                <w:sz w:val="22"/>
                <w:szCs w:val="22"/>
                <w:bdr w:val="none" w:color="auto" w:sz="0" w:space="0" w:frame="1"/>
              </w:rPr>
              <w:t>/performance bond</w:t>
            </w:r>
          </w:p>
        </w:tc>
        <w:tc>
          <w:tcPr>
            <w:tcW w:w="1029" w:type="dxa"/>
          </w:tcPr>
          <w:p w:rsidRPr="00DE4A81" w:rsidR="00062E8C" w:rsidP="00C46481" w:rsidRDefault="00062E8C" w14:paraId="322F20C8"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5.12.2</w:t>
            </w:r>
          </w:p>
        </w:tc>
      </w:tr>
      <w:tr w:rsidRPr="00DE4A81" w:rsidR="00062E8C" w:rsidTr="00B674C7" w14:paraId="2892DBCF" w14:textId="77777777">
        <w:tc>
          <w:tcPr>
            <w:tcW w:w="1525" w:type="dxa"/>
          </w:tcPr>
          <w:p w:rsidRPr="00DE4A81" w:rsidR="00062E8C" w:rsidP="00C46481" w:rsidRDefault="00062E8C" w14:paraId="65215353"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p>
        </w:tc>
        <w:tc>
          <w:tcPr>
            <w:tcW w:w="3150" w:type="dxa"/>
          </w:tcPr>
          <w:p w:rsidRPr="00DE4A81" w:rsidR="00062E8C" w:rsidP="00C46481" w:rsidRDefault="00062E8C" w14:paraId="4A8692B5"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Submission of Final Proposal to NTIA</w:t>
            </w:r>
          </w:p>
        </w:tc>
        <w:tc>
          <w:tcPr>
            <w:tcW w:w="3646" w:type="dxa"/>
          </w:tcPr>
          <w:p w:rsidRPr="00DE4A81" w:rsidR="00062E8C" w:rsidP="00C46481" w:rsidRDefault="00062E8C" w14:paraId="27B717C0" w14:textId="3277820A">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 xml:space="preserve">Bankruptcy opinion letter from legal counsel confirming proceeds from </w:t>
            </w:r>
            <w:r w:rsidR="00460EBB">
              <w:rPr>
                <w:rFonts w:ascii="Gill Sans MT" w:hAnsi="Gill Sans MT" w:cs="Arial"/>
                <w:color w:val="242424"/>
                <w:sz w:val="22"/>
                <w:szCs w:val="22"/>
                <w:bdr w:val="none" w:color="auto" w:sz="0" w:space="0" w:frame="1"/>
              </w:rPr>
              <w:t>LOC</w:t>
            </w:r>
            <w:r w:rsidRPr="00DE4A81">
              <w:rPr>
                <w:rFonts w:ascii="Gill Sans MT" w:hAnsi="Gill Sans MT" w:cs="Arial"/>
                <w:color w:val="242424"/>
                <w:sz w:val="22"/>
                <w:szCs w:val="22"/>
                <w:bdr w:val="none" w:color="auto" w:sz="0" w:space="0" w:frame="1"/>
              </w:rPr>
              <w:t xml:space="preserve"> are not “property”</w:t>
            </w:r>
          </w:p>
        </w:tc>
        <w:tc>
          <w:tcPr>
            <w:tcW w:w="1029" w:type="dxa"/>
          </w:tcPr>
          <w:p w:rsidRPr="00DE4A81" w:rsidR="00062E8C" w:rsidP="00C46481" w:rsidRDefault="00062E8C" w14:paraId="3616ED1A" w14:textId="77777777">
            <w:pPr>
              <w:pStyle w:val="xmsonormal"/>
              <w:widowControl/>
              <w:spacing w:before="0" w:beforeAutospacing="0" w:after="0" w:afterAutospacing="0"/>
              <w:rPr>
                <w:rFonts w:ascii="Gill Sans MT" w:hAnsi="Gill Sans MT" w:cs="Arial"/>
                <w:color w:val="242424"/>
                <w:sz w:val="22"/>
                <w:szCs w:val="22"/>
                <w:bdr w:val="none" w:color="auto" w:sz="0" w:space="0" w:frame="1"/>
              </w:rPr>
            </w:pPr>
            <w:r w:rsidRPr="00DE4A81">
              <w:rPr>
                <w:rFonts w:ascii="Gill Sans MT" w:hAnsi="Gill Sans MT" w:cs="Arial"/>
                <w:color w:val="242424"/>
                <w:sz w:val="22"/>
                <w:szCs w:val="22"/>
                <w:bdr w:val="none" w:color="auto" w:sz="0" w:space="0" w:frame="1"/>
              </w:rPr>
              <w:t>5.12.2</w:t>
            </w:r>
          </w:p>
        </w:tc>
      </w:tr>
    </w:tbl>
    <w:p w:rsidR="00780792" w:rsidRDefault="00780792" w14:paraId="4F901BC5" w14:textId="77777777">
      <w:pPr>
        <w:jc w:val="left"/>
        <w:rPr>
          <w:rFonts w:eastAsiaTheme="majorEastAsia" w:cstheme="majorBidi"/>
          <w:b/>
          <w:bCs/>
          <w:color w:val="242451"/>
          <w:sz w:val="28"/>
          <w:szCs w:val="28"/>
        </w:rPr>
      </w:pPr>
      <w:bookmarkStart w:name="_Ref149725676" w:id="358"/>
      <w:bookmarkStart w:name="_Toc149821310" w:id="359"/>
      <w:bookmarkStart w:name="_Hlk149724577" w:id="360"/>
      <w:r>
        <w:br w:type="page"/>
      </w:r>
    </w:p>
    <w:p w:rsidR="00A44E53" w:rsidP="00180E8B" w:rsidRDefault="00A44E53" w14:paraId="5901897E" w14:textId="22AB008D">
      <w:pPr>
        <w:pStyle w:val="Heading1"/>
        <w:numPr>
          <w:ilvl w:val="0"/>
          <w:numId w:val="0"/>
        </w:numPr>
      </w:pPr>
      <w:bookmarkStart w:name="_Toc150852754" w:id="361"/>
      <w:r>
        <w:t xml:space="preserve">Appendix </w:t>
      </w:r>
      <w:r w:rsidR="00D12B94">
        <w:t>E</w:t>
      </w:r>
      <w:r>
        <w:t>: Proposed scoring rubric for subgrantee selection process</w:t>
      </w:r>
      <w:bookmarkEnd w:id="358"/>
      <w:bookmarkEnd w:id="359"/>
      <w:bookmarkEnd w:id="361"/>
    </w:p>
    <w:bookmarkEnd w:id="360"/>
    <w:p w:rsidRPr="002F6764" w:rsidR="00A44E53" w:rsidP="00180E8B" w:rsidRDefault="00A44E53" w14:paraId="6857D6B4" w14:textId="6DE7484A">
      <w:pPr>
        <w:pStyle w:val="xmsonormal"/>
        <w:shd w:val="clear" w:color="auto" w:fill="FFFFFF"/>
        <w:spacing w:before="0" w:beforeAutospacing="0" w:after="0" w:afterAutospacing="0"/>
        <w:rPr>
          <w:rFonts w:ascii="Gill Sans MT" w:hAnsi="Gill Sans MT"/>
        </w:rPr>
      </w:pPr>
    </w:p>
    <w:p w:rsidRPr="00A3285B" w:rsidR="00A3285B" w:rsidP="00A3285B" w:rsidRDefault="00A3285B" w14:paraId="7E5A9682" w14:textId="0D20AC00">
      <w:r w:rsidRPr="00A3285B">
        <w:rPr>
          <w:b/>
          <w:bCs/>
        </w:rPr>
        <w:t>Scoring Criteria for Priority Broadband Projects</w:t>
      </w:r>
      <w:r w:rsidR="000268E5">
        <w:rPr>
          <w:rStyle w:val="FootnoteReference"/>
          <w:b/>
          <w:bCs/>
        </w:rPr>
        <w:footnoteReference w:id="182"/>
      </w:r>
    </w:p>
    <w:tbl>
      <w:tblPr>
        <w:tblStyle w:val="TableGrid"/>
        <w:tblW w:w="0" w:type="auto"/>
        <w:tblLook w:val="04A0" w:firstRow="1" w:lastRow="0" w:firstColumn="1" w:lastColumn="0" w:noHBand="0" w:noVBand="1"/>
      </w:tblPr>
      <w:tblGrid>
        <w:gridCol w:w="6295"/>
        <w:gridCol w:w="3055"/>
      </w:tblGrid>
      <w:tr w:rsidRPr="00A3285B" w:rsidR="00A3285B" w14:paraId="6120A5B9" w14:textId="77777777">
        <w:trPr>
          <w:tblHeader/>
        </w:trPr>
        <w:tc>
          <w:tcPr>
            <w:tcW w:w="6295" w:type="dxa"/>
            <w:shd w:val="clear" w:color="auto" w:fill="0A2458"/>
          </w:tcPr>
          <w:p w:rsidRPr="00A3285B" w:rsidR="00A3285B" w:rsidP="00A3285B" w:rsidRDefault="00A3285B" w14:paraId="744CF00F" w14:textId="77777777">
            <w:pPr>
              <w:widowControl/>
              <w:spacing w:after="200" w:line="276" w:lineRule="auto"/>
              <w:rPr>
                <w:rFonts w:eastAsiaTheme="minorEastAsia"/>
              </w:rPr>
            </w:pPr>
            <w:r w:rsidRPr="00A3285B">
              <w:rPr>
                <w:rFonts w:eastAsiaTheme="minorEastAsia"/>
              </w:rPr>
              <w:t>Primary scoring criterion (all are mandatory under NTIA rules)</w:t>
            </w:r>
          </w:p>
        </w:tc>
        <w:tc>
          <w:tcPr>
            <w:tcW w:w="3055" w:type="dxa"/>
            <w:shd w:val="clear" w:color="auto" w:fill="0A2458"/>
          </w:tcPr>
          <w:p w:rsidRPr="00A3285B" w:rsidR="00A3285B" w:rsidP="00A3285B" w:rsidRDefault="00A3285B" w14:paraId="46A272F3" w14:textId="77777777">
            <w:pPr>
              <w:widowControl/>
              <w:spacing w:after="200" w:line="276" w:lineRule="auto"/>
              <w:rPr>
                <w:rFonts w:eastAsiaTheme="minorEastAsia"/>
              </w:rPr>
            </w:pPr>
            <w:r w:rsidRPr="00A3285B">
              <w:rPr>
                <w:rFonts w:eastAsiaTheme="minorEastAsia"/>
              </w:rPr>
              <w:t>Points available</w:t>
            </w:r>
          </w:p>
        </w:tc>
      </w:tr>
      <w:tr w:rsidRPr="00A3285B" w:rsidR="00A3285B" w14:paraId="3D2EFB7A" w14:textId="77777777">
        <w:tc>
          <w:tcPr>
            <w:tcW w:w="6295" w:type="dxa"/>
          </w:tcPr>
          <w:p w:rsidRPr="00A3285B" w:rsidR="00A3285B" w:rsidP="00A3285B" w:rsidRDefault="00A3285B" w14:paraId="3C82950E" w14:textId="77777777">
            <w:pPr>
              <w:widowControl/>
              <w:spacing w:after="200" w:line="276" w:lineRule="auto"/>
              <w:rPr>
                <w:rFonts w:eastAsiaTheme="minorEastAsia"/>
              </w:rPr>
            </w:pPr>
            <w:r w:rsidRPr="00A3285B">
              <w:rPr>
                <w:rFonts w:eastAsiaTheme="minorEastAsia"/>
              </w:rPr>
              <w:t>Minimum BEAD Program outlay</w:t>
            </w:r>
          </w:p>
        </w:tc>
        <w:tc>
          <w:tcPr>
            <w:tcW w:w="3055" w:type="dxa"/>
            <w:vAlign w:val="center"/>
          </w:tcPr>
          <w:p w:rsidRPr="00A3285B" w:rsidR="00A3285B" w:rsidP="00A3285B" w:rsidRDefault="00A3285B" w14:paraId="789D14AC" w14:textId="77777777">
            <w:pPr>
              <w:widowControl/>
              <w:spacing w:after="200" w:line="276" w:lineRule="auto"/>
              <w:rPr>
                <w:rFonts w:eastAsiaTheme="minorEastAsia"/>
              </w:rPr>
            </w:pPr>
            <w:r w:rsidRPr="00A3285B">
              <w:rPr>
                <w:rFonts w:eastAsiaTheme="minorEastAsia"/>
              </w:rPr>
              <w:t>40</w:t>
            </w:r>
          </w:p>
        </w:tc>
      </w:tr>
      <w:tr w:rsidRPr="00A3285B" w:rsidR="00A3285B" w14:paraId="39FE57E0" w14:textId="77777777">
        <w:tc>
          <w:tcPr>
            <w:tcW w:w="6295" w:type="dxa"/>
          </w:tcPr>
          <w:p w:rsidRPr="00A3285B" w:rsidR="00A3285B" w:rsidP="00A3285B" w:rsidRDefault="00A3285B" w14:paraId="4E724DDD" w14:textId="77777777">
            <w:pPr>
              <w:widowControl/>
              <w:spacing w:after="200" w:line="276" w:lineRule="auto"/>
              <w:rPr>
                <w:rFonts w:eastAsiaTheme="minorEastAsia"/>
              </w:rPr>
            </w:pPr>
            <w:r w:rsidRPr="00A3285B">
              <w:rPr>
                <w:rFonts w:eastAsiaTheme="minorEastAsia"/>
              </w:rPr>
              <w:t>Affordability</w:t>
            </w:r>
          </w:p>
        </w:tc>
        <w:tc>
          <w:tcPr>
            <w:tcW w:w="3055" w:type="dxa"/>
            <w:vAlign w:val="center"/>
          </w:tcPr>
          <w:p w:rsidRPr="00A3285B" w:rsidR="00A3285B" w:rsidP="00A3285B" w:rsidRDefault="00A3285B" w14:paraId="1221E943" w14:textId="77777777">
            <w:pPr>
              <w:widowControl/>
              <w:spacing w:after="200" w:line="276" w:lineRule="auto"/>
              <w:rPr>
                <w:rFonts w:eastAsiaTheme="minorEastAsia"/>
              </w:rPr>
            </w:pPr>
            <w:r w:rsidRPr="00A3285B">
              <w:rPr>
                <w:rFonts w:eastAsiaTheme="minorEastAsia"/>
              </w:rPr>
              <w:t>20</w:t>
            </w:r>
          </w:p>
        </w:tc>
      </w:tr>
      <w:tr w:rsidRPr="00A3285B" w:rsidR="00A3285B" w14:paraId="1215B428" w14:textId="77777777">
        <w:tc>
          <w:tcPr>
            <w:tcW w:w="6295" w:type="dxa"/>
          </w:tcPr>
          <w:p w:rsidRPr="00A3285B" w:rsidR="00A3285B" w:rsidP="00A3285B" w:rsidRDefault="00A3285B" w14:paraId="6D7E107A" w14:textId="77777777">
            <w:pPr>
              <w:widowControl/>
              <w:spacing w:after="200" w:line="276" w:lineRule="auto"/>
              <w:rPr>
                <w:rFonts w:eastAsiaTheme="minorEastAsia"/>
              </w:rPr>
            </w:pPr>
            <w:r w:rsidRPr="00A3285B">
              <w:rPr>
                <w:rFonts w:eastAsiaTheme="minorEastAsia"/>
              </w:rPr>
              <w:t xml:space="preserve">Fair labor practices </w:t>
            </w:r>
          </w:p>
        </w:tc>
        <w:tc>
          <w:tcPr>
            <w:tcW w:w="3055" w:type="dxa"/>
            <w:vAlign w:val="center"/>
          </w:tcPr>
          <w:p w:rsidRPr="00A3285B" w:rsidR="00A3285B" w:rsidP="00A3285B" w:rsidRDefault="00A3285B" w14:paraId="184B0BF0" w14:textId="77777777">
            <w:pPr>
              <w:widowControl/>
              <w:spacing w:after="200" w:line="276" w:lineRule="auto"/>
              <w:rPr>
                <w:rFonts w:eastAsiaTheme="minorEastAsia"/>
              </w:rPr>
            </w:pPr>
            <w:r w:rsidRPr="00A3285B">
              <w:rPr>
                <w:rFonts w:eastAsiaTheme="minorEastAsia"/>
              </w:rPr>
              <w:t>15</w:t>
            </w:r>
          </w:p>
        </w:tc>
      </w:tr>
      <w:tr w:rsidRPr="00A3285B" w:rsidR="00A3285B" w14:paraId="3A00384F" w14:textId="77777777">
        <w:tc>
          <w:tcPr>
            <w:tcW w:w="6295" w:type="dxa"/>
            <w:shd w:val="clear" w:color="auto" w:fill="95B3D7" w:themeFill="accent1" w:themeFillTint="99"/>
          </w:tcPr>
          <w:p w:rsidRPr="00A3285B" w:rsidR="00A3285B" w:rsidP="00A3285B" w:rsidRDefault="00A3285B" w14:paraId="65AD1E52" w14:textId="77777777">
            <w:pPr>
              <w:widowControl/>
              <w:spacing w:after="200" w:line="276" w:lineRule="auto"/>
              <w:rPr>
                <w:rFonts w:eastAsiaTheme="minorEastAsia"/>
              </w:rPr>
            </w:pPr>
            <w:r w:rsidRPr="00A3285B">
              <w:rPr>
                <w:rFonts w:eastAsiaTheme="minorEastAsia"/>
              </w:rPr>
              <w:t>Primary Criteria subtotal</w:t>
            </w:r>
          </w:p>
        </w:tc>
        <w:tc>
          <w:tcPr>
            <w:tcW w:w="3055" w:type="dxa"/>
            <w:shd w:val="clear" w:color="auto" w:fill="95B3D7" w:themeFill="accent1" w:themeFillTint="99"/>
            <w:vAlign w:val="center"/>
          </w:tcPr>
          <w:p w:rsidRPr="00A3285B" w:rsidR="00A3285B" w:rsidP="00A3285B" w:rsidRDefault="00A3285B" w14:paraId="3D712E0B" w14:textId="77777777">
            <w:pPr>
              <w:widowControl/>
              <w:spacing w:after="200" w:line="276" w:lineRule="auto"/>
              <w:rPr>
                <w:rFonts w:eastAsiaTheme="minorEastAsia"/>
              </w:rPr>
            </w:pPr>
            <w:r w:rsidRPr="00A3285B">
              <w:rPr>
                <w:rFonts w:eastAsiaTheme="minorEastAsia"/>
              </w:rPr>
              <w:t>75</w:t>
            </w:r>
          </w:p>
        </w:tc>
      </w:tr>
      <w:tr w:rsidRPr="00A3285B" w:rsidR="00A3285B" w14:paraId="7675CF78" w14:textId="77777777">
        <w:tc>
          <w:tcPr>
            <w:tcW w:w="6295" w:type="dxa"/>
            <w:shd w:val="clear" w:color="auto" w:fill="365F91" w:themeFill="accent1" w:themeFillShade="BF"/>
          </w:tcPr>
          <w:p w:rsidRPr="00A3285B" w:rsidR="00A3285B" w:rsidP="00A3285B" w:rsidRDefault="00A3285B" w14:paraId="357D0026" w14:textId="77777777">
            <w:pPr>
              <w:widowControl/>
              <w:spacing w:after="200" w:line="276" w:lineRule="auto"/>
              <w:rPr>
                <w:rFonts w:eastAsiaTheme="minorEastAsia"/>
              </w:rPr>
            </w:pPr>
            <w:r w:rsidRPr="00A3285B">
              <w:rPr>
                <w:rFonts w:eastAsiaTheme="minorEastAsia"/>
              </w:rPr>
              <w:t>Secondary Criteria</w:t>
            </w:r>
          </w:p>
        </w:tc>
        <w:tc>
          <w:tcPr>
            <w:tcW w:w="3055" w:type="dxa"/>
            <w:shd w:val="clear" w:color="auto" w:fill="365F91" w:themeFill="accent1" w:themeFillShade="BF"/>
            <w:vAlign w:val="center"/>
          </w:tcPr>
          <w:p w:rsidRPr="00A3285B" w:rsidR="00A3285B" w:rsidP="00A3285B" w:rsidRDefault="00A3285B" w14:paraId="177B764B" w14:textId="77777777">
            <w:pPr>
              <w:widowControl/>
              <w:spacing w:after="200" w:line="276" w:lineRule="auto"/>
              <w:rPr>
                <w:rFonts w:eastAsiaTheme="minorEastAsia"/>
              </w:rPr>
            </w:pPr>
          </w:p>
        </w:tc>
      </w:tr>
      <w:tr w:rsidRPr="00A3285B" w:rsidR="00A3285B" w14:paraId="5F70EF3D" w14:textId="77777777">
        <w:tc>
          <w:tcPr>
            <w:tcW w:w="6295" w:type="dxa"/>
          </w:tcPr>
          <w:p w:rsidRPr="00A3285B" w:rsidR="00A3285B" w:rsidP="00A3285B" w:rsidRDefault="00A3285B" w14:paraId="20A51F96" w14:textId="77777777">
            <w:pPr>
              <w:widowControl/>
              <w:spacing w:after="200" w:line="276" w:lineRule="auto"/>
              <w:rPr>
                <w:rFonts w:eastAsiaTheme="minorEastAsia"/>
              </w:rPr>
            </w:pPr>
            <w:r w:rsidRPr="00A3285B">
              <w:rPr>
                <w:rFonts w:eastAsiaTheme="minorEastAsia"/>
              </w:rPr>
              <w:t>Speed to deployment (mandatory under NTIA rules)</w:t>
            </w:r>
          </w:p>
        </w:tc>
        <w:tc>
          <w:tcPr>
            <w:tcW w:w="3055" w:type="dxa"/>
            <w:vAlign w:val="center"/>
          </w:tcPr>
          <w:p w:rsidRPr="00A3285B" w:rsidR="00A3285B" w:rsidP="00A3285B" w:rsidRDefault="00A3285B" w14:paraId="79B99408" w14:textId="77777777">
            <w:pPr>
              <w:widowControl/>
              <w:spacing w:after="200" w:line="276" w:lineRule="auto"/>
              <w:rPr>
                <w:rFonts w:eastAsiaTheme="minorEastAsia"/>
              </w:rPr>
            </w:pPr>
            <w:r w:rsidRPr="00A3285B">
              <w:rPr>
                <w:rFonts w:eastAsiaTheme="minorEastAsia"/>
              </w:rPr>
              <w:t>1</w:t>
            </w:r>
          </w:p>
        </w:tc>
      </w:tr>
      <w:tr w:rsidRPr="00A3285B" w:rsidR="00A3285B" w14:paraId="72C3DDA3" w14:textId="77777777">
        <w:tc>
          <w:tcPr>
            <w:tcW w:w="6295" w:type="dxa"/>
          </w:tcPr>
          <w:p w:rsidRPr="00A3285B" w:rsidR="00A3285B" w:rsidP="00A3285B" w:rsidRDefault="00A3285B" w14:paraId="0A96EC94" w14:textId="77777777">
            <w:pPr>
              <w:widowControl/>
              <w:spacing w:after="200" w:line="276" w:lineRule="auto"/>
              <w:rPr>
                <w:rFonts w:eastAsiaTheme="minorEastAsia"/>
              </w:rPr>
            </w:pPr>
            <w:r w:rsidRPr="00A3285B">
              <w:rPr>
                <w:rFonts w:eastAsiaTheme="minorEastAsia"/>
              </w:rPr>
              <w:t>Community/Local government/Tribal government support</w:t>
            </w:r>
          </w:p>
        </w:tc>
        <w:tc>
          <w:tcPr>
            <w:tcW w:w="3055" w:type="dxa"/>
            <w:vAlign w:val="center"/>
          </w:tcPr>
          <w:p w:rsidRPr="00A3285B" w:rsidR="00A3285B" w:rsidP="00A3285B" w:rsidRDefault="00A3285B" w14:paraId="5AFE8F14" w14:textId="77777777">
            <w:pPr>
              <w:widowControl/>
              <w:spacing w:after="200" w:line="276" w:lineRule="auto"/>
              <w:rPr>
                <w:rFonts w:eastAsiaTheme="minorEastAsia"/>
              </w:rPr>
            </w:pPr>
            <w:r w:rsidRPr="00A3285B">
              <w:rPr>
                <w:rFonts w:eastAsiaTheme="minorEastAsia"/>
              </w:rPr>
              <w:t>10</w:t>
            </w:r>
          </w:p>
        </w:tc>
      </w:tr>
      <w:tr w:rsidRPr="00A3285B" w:rsidR="00A3285B" w14:paraId="0D779F94" w14:textId="77777777">
        <w:tc>
          <w:tcPr>
            <w:tcW w:w="6295" w:type="dxa"/>
          </w:tcPr>
          <w:p w:rsidRPr="00A3285B" w:rsidR="00A3285B" w:rsidP="00A3285B" w:rsidRDefault="00A3285B" w14:paraId="5F1A9B37" w14:textId="77777777">
            <w:pPr>
              <w:widowControl/>
              <w:spacing w:after="200" w:line="276" w:lineRule="auto"/>
              <w:rPr>
                <w:rFonts w:eastAsiaTheme="minorEastAsia"/>
              </w:rPr>
            </w:pPr>
            <w:r w:rsidRPr="00A3285B">
              <w:rPr>
                <w:rFonts w:eastAsiaTheme="minorEastAsia"/>
              </w:rPr>
              <w:t>Percentage of unserved locations</w:t>
            </w:r>
          </w:p>
        </w:tc>
        <w:tc>
          <w:tcPr>
            <w:tcW w:w="3055" w:type="dxa"/>
            <w:vAlign w:val="center"/>
          </w:tcPr>
          <w:p w:rsidRPr="00A3285B" w:rsidR="00A3285B" w:rsidP="00A3285B" w:rsidRDefault="00A3285B" w14:paraId="1AC1877E" w14:textId="77777777">
            <w:pPr>
              <w:widowControl/>
              <w:spacing w:after="200" w:line="276" w:lineRule="auto"/>
              <w:rPr>
                <w:rFonts w:eastAsiaTheme="minorEastAsia"/>
              </w:rPr>
            </w:pPr>
            <w:r w:rsidRPr="00A3285B">
              <w:rPr>
                <w:rFonts w:eastAsiaTheme="minorEastAsia"/>
              </w:rPr>
              <w:t>10</w:t>
            </w:r>
          </w:p>
        </w:tc>
      </w:tr>
      <w:tr w:rsidRPr="00A3285B" w:rsidR="00A3285B" w14:paraId="05C68B07" w14:textId="77777777">
        <w:tc>
          <w:tcPr>
            <w:tcW w:w="6295" w:type="dxa"/>
          </w:tcPr>
          <w:p w:rsidRPr="00A3285B" w:rsidR="00A3285B" w:rsidP="00A3285B" w:rsidRDefault="00A3285B" w14:paraId="4131AA16" w14:textId="77777777">
            <w:pPr>
              <w:widowControl/>
              <w:spacing w:after="200" w:line="276" w:lineRule="auto"/>
              <w:rPr>
                <w:rFonts w:eastAsiaTheme="minorEastAsia"/>
              </w:rPr>
            </w:pPr>
            <w:r w:rsidRPr="00A3285B">
              <w:rPr>
                <w:rFonts w:eastAsiaTheme="minorEastAsia"/>
              </w:rPr>
              <w:t>Lower-cost residential service</w:t>
            </w:r>
          </w:p>
        </w:tc>
        <w:tc>
          <w:tcPr>
            <w:tcW w:w="3055" w:type="dxa"/>
            <w:vAlign w:val="center"/>
          </w:tcPr>
          <w:p w:rsidRPr="00A3285B" w:rsidR="00A3285B" w:rsidP="00A3285B" w:rsidRDefault="00A3285B" w14:paraId="2956E61C" w14:textId="77777777">
            <w:pPr>
              <w:widowControl/>
              <w:spacing w:after="200" w:line="276" w:lineRule="auto"/>
              <w:rPr>
                <w:rFonts w:eastAsiaTheme="minorEastAsia"/>
              </w:rPr>
            </w:pPr>
            <w:r w:rsidRPr="00A3285B">
              <w:rPr>
                <w:rFonts w:eastAsiaTheme="minorEastAsia"/>
              </w:rPr>
              <w:t>4</w:t>
            </w:r>
          </w:p>
        </w:tc>
      </w:tr>
      <w:tr w:rsidRPr="00A3285B" w:rsidR="00A3285B" w14:paraId="1C3AED1C" w14:textId="77777777">
        <w:tc>
          <w:tcPr>
            <w:tcW w:w="6295" w:type="dxa"/>
            <w:shd w:val="clear" w:color="auto" w:fill="95B3D7" w:themeFill="accent1" w:themeFillTint="99"/>
          </w:tcPr>
          <w:p w:rsidRPr="00A3285B" w:rsidR="00A3285B" w:rsidP="00A3285B" w:rsidRDefault="00A3285B" w14:paraId="2CD050A1" w14:textId="77777777">
            <w:pPr>
              <w:widowControl/>
              <w:spacing w:after="200" w:line="276" w:lineRule="auto"/>
              <w:rPr>
                <w:rFonts w:eastAsiaTheme="minorEastAsia"/>
              </w:rPr>
            </w:pPr>
            <w:r w:rsidRPr="00A3285B">
              <w:rPr>
                <w:rFonts w:eastAsiaTheme="minorEastAsia"/>
              </w:rPr>
              <w:t>Secondary Criteria subtotal</w:t>
            </w:r>
          </w:p>
        </w:tc>
        <w:tc>
          <w:tcPr>
            <w:tcW w:w="3055" w:type="dxa"/>
            <w:shd w:val="clear" w:color="auto" w:fill="95B3D7" w:themeFill="accent1" w:themeFillTint="99"/>
            <w:vAlign w:val="center"/>
          </w:tcPr>
          <w:p w:rsidRPr="00A3285B" w:rsidR="00A3285B" w:rsidP="00A3285B" w:rsidRDefault="00A3285B" w14:paraId="4EB1F619" w14:textId="77777777">
            <w:pPr>
              <w:widowControl/>
              <w:spacing w:after="200" w:line="276" w:lineRule="auto"/>
              <w:rPr>
                <w:rFonts w:eastAsiaTheme="minorEastAsia"/>
              </w:rPr>
            </w:pPr>
            <w:r w:rsidRPr="00A3285B">
              <w:rPr>
                <w:rFonts w:eastAsiaTheme="minorEastAsia"/>
              </w:rPr>
              <w:t>25</w:t>
            </w:r>
          </w:p>
        </w:tc>
      </w:tr>
      <w:tr w:rsidRPr="00A3285B" w:rsidR="00A3285B" w14:paraId="58B363A5" w14:textId="77777777">
        <w:tc>
          <w:tcPr>
            <w:tcW w:w="6295" w:type="dxa"/>
            <w:shd w:val="clear" w:color="auto" w:fill="DBE5F1" w:themeFill="accent1" w:themeFillTint="33"/>
          </w:tcPr>
          <w:p w:rsidRPr="00A3285B" w:rsidR="00A3285B" w:rsidP="00A3285B" w:rsidRDefault="00A3285B" w14:paraId="1BA6FE5A" w14:textId="77777777">
            <w:pPr>
              <w:widowControl/>
              <w:spacing w:after="200" w:line="276" w:lineRule="auto"/>
              <w:rPr>
                <w:rFonts w:eastAsiaTheme="minorEastAsia"/>
              </w:rPr>
            </w:pPr>
            <w:r w:rsidRPr="00A3285B">
              <w:rPr>
                <w:rFonts w:eastAsiaTheme="minorEastAsia"/>
              </w:rPr>
              <w:t>Total</w:t>
            </w:r>
          </w:p>
        </w:tc>
        <w:tc>
          <w:tcPr>
            <w:tcW w:w="3055" w:type="dxa"/>
            <w:shd w:val="clear" w:color="auto" w:fill="DBE5F1" w:themeFill="accent1" w:themeFillTint="33"/>
            <w:vAlign w:val="center"/>
          </w:tcPr>
          <w:p w:rsidRPr="00A3285B" w:rsidR="00A3285B" w:rsidP="00A3285B" w:rsidRDefault="00A3285B" w14:paraId="7078787E" w14:textId="77777777">
            <w:pPr>
              <w:widowControl/>
              <w:spacing w:after="200" w:line="276" w:lineRule="auto"/>
              <w:rPr>
                <w:rFonts w:eastAsiaTheme="minorEastAsia"/>
              </w:rPr>
            </w:pPr>
            <w:r w:rsidRPr="00A3285B">
              <w:rPr>
                <w:rFonts w:eastAsiaTheme="minorEastAsia"/>
              </w:rPr>
              <w:t>100</w:t>
            </w:r>
          </w:p>
        </w:tc>
      </w:tr>
    </w:tbl>
    <w:p w:rsidRPr="00A3285B" w:rsidR="00A3285B" w:rsidP="00A3285B" w:rsidRDefault="00A3285B" w14:paraId="7502A41A" w14:textId="77777777"/>
    <w:p w:rsidRPr="00A3285B" w:rsidR="00A3285B" w:rsidP="00A3285B" w:rsidRDefault="00A3285B" w14:paraId="015E809F" w14:textId="512E1641">
      <w:pPr>
        <w:rPr>
          <w:b/>
          <w:bCs/>
        </w:rPr>
      </w:pPr>
      <w:r w:rsidRPr="00A3285B">
        <w:rPr>
          <w:b/>
          <w:bCs/>
        </w:rPr>
        <w:t>Scoring Criteria for Other Last-Mile Broadband Deployment Projects</w:t>
      </w:r>
      <w:r w:rsidR="00B90BBD">
        <w:rPr>
          <w:rStyle w:val="FootnoteReference"/>
          <w:b/>
          <w:bCs/>
        </w:rPr>
        <w:footnoteReference w:id="183"/>
      </w:r>
    </w:p>
    <w:tbl>
      <w:tblPr>
        <w:tblStyle w:val="TableGrid"/>
        <w:tblW w:w="0" w:type="auto"/>
        <w:tblLook w:val="04A0" w:firstRow="1" w:lastRow="0" w:firstColumn="1" w:lastColumn="0" w:noHBand="0" w:noVBand="1"/>
      </w:tblPr>
      <w:tblGrid>
        <w:gridCol w:w="6295"/>
        <w:gridCol w:w="3055"/>
      </w:tblGrid>
      <w:tr w:rsidRPr="00A3285B" w:rsidR="00A3285B" w14:paraId="6A9A7A33" w14:textId="77777777">
        <w:trPr>
          <w:tblHeader/>
        </w:trPr>
        <w:tc>
          <w:tcPr>
            <w:tcW w:w="6295" w:type="dxa"/>
            <w:shd w:val="clear" w:color="auto" w:fill="0A2458"/>
          </w:tcPr>
          <w:p w:rsidRPr="00A3285B" w:rsidR="00A3285B" w:rsidP="00A3285B" w:rsidRDefault="00A3285B" w14:paraId="2178FAF4" w14:textId="77777777">
            <w:pPr>
              <w:widowControl/>
              <w:spacing w:after="200" w:line="276" w:lineRule="auto"/>
              <w:rPr>
                <w:rFonts w:eastAsiaTheme="minorEastAsia"/>
              </w:rPr>
            </w:pPr>
            <w:r w:rsidRPr="00A3285B">
              <w:rPr>
                <w:rFonts w:eastAsiaTheme="minorEastAsia"/>
              </w:rPr>
              <w:t>Primary scoring criterion (all are mandatory under NTIA rules)</w:t>
            </w:r>
          </w:p>
        </w:tc>
        <w:tc>
          <w:tcPr>
            <w:tcW w:w="3055" w:type="dxa"/>
            <w:shd w:val="clear" w:color="auto" w:fill="0A2458"/>
          </w:tcPr>
          <w:p w:rsidRPr="00A3285B" w:rsidR="00A3285B" w:rsidP="00A3285B" w:rsidRDefault="00A3285B" w14:paraId="3940160B" w14:textId="77777777">
            <w:pPr>
              <w:widowControl/>
              <w:spacing w:after="200" w:line="276" w:lineRule="auto"/>
              <w:rPr>
                <w:rFonts w:eastAsiaTheme="minorEastAsia"/>
              </w:rPr>
            </w:pPr>
            <w:r w:rsidRPr="00A3285B">
              <w:rPr>
                <w:rFonts w:eastAsiaTheme="minorEastAsia"/>
              </w:rPr>
              <w:t>Points available</w:t>
            </w:r>
          </w:p>
        </w:tc>
      </w:tr>
      <w:tr w:rsidRPr="00A3285B" w:rsidR="00A3285B" w14:paraId="3410E3E4" w14:textId="77777777">
        <w:tc>
          <w:tcPr>
            <w:tcW w:w="6295" w:type="dxa"/>
          </w:tcPr>
          <w:p w:rsidRPr="00A3285B" w:rsidR="00A3285B" w:rsidP="00A3285B" w:rsidRDefault="00A3285B" w14:paraId="434EE2B9" w14:textId="77777777">
            <w:pPr>
              <w:widowControl/>
              <w:spacing w:after="200" w:line="276" w:lineRule="auto"/>
              <w:rPr>
                <w:rFonts w:eastAsiaTheme="minorEastAsia"/>
              </w:rPr>
            </w:pPr>
            <w:r w:rsidRPr="00A3285B">
              <w:rPr>
                <w:rFonts w:eastAsiaTheme="minorEastAsia"/>
              </w:rPr>
              <w:t>Minimum BEAD Program outlay</w:t>
            </w:r>
          </w:p>
        </w:tc>
        <w:tc>
          <w:tcPr>
            <w:tcW w:w="3055" w:type="dxa"/>
            <w:vAlign w:val="center"/>
          </w:tcPr>
          <w:p w:rsidRPr="00A3285B" w:rsidR="00A3285B" w:rsidP="00A3285B" w:rsidRDefault="00A3285B" w14:paraId="445CB823" w14:textId="77777777">
            <w:pPr>
              <w:widowControl/>
              <w:spacing w:after="200" w:line="276" w:lineRule="auto"/>
              <w:rPr>
                <w:rFonts w:eastAsiaTheme="minorEastAsia"/>
              </w:rPr>
            </w:pPr>
            <w:r w:rsidRPr="00A3285B">
              <w:rPr>
                <w:rFonts w:eastAsiaTheme="minorEastAsia"/>
              </w:rPr>
              <w:t>40</w:t>
            </w:r>
          </w:p>
        </w:tc>
      </w:tr>
      <w:tr w:rsidRPr="00A3285B" w:rsidR="00A3285B" w14:paraId="5619EC1B" w14:textId="77777777">
        <w:tc>
          <w:tcPr>
            <w:tcW w:w="6295" w:type="dxa"/>
          </w:tcPr>
          <w:p w:rsidRPr="00A3285B" w:rsidR="00A3285B" w:rsidP="00A3285B" w:rsidRDefault="00A3285B" w14:paraId="07037F1E" w14:textId="77777777">
            <w:pPr>
              <w:widowControl/>
              <w:spacing w:after="200" w:line="276" w:lineRule="auto"/>
              <w:rPr>
                <w:rFonts w:eastAsiaTheme="minorEastAsia"/>
              </w:rPr>
            </w:pPr>
            <w:r w:rsidRPr="00A3285B">
              <w:rPr>
                <w:rFonts w:eastAsiaTheme="minorEastAsia"/>
              </w:rPr>
              <w:t>Affordability</w:t>
            </w:r>
          </w:p>
        </w:tc>
        <w:tc>
          <w:tcPr>
            <w:tcW w:w="3055" w:type="dxa"/>
            <w:vAlign w:val="center"/>
          </w:tcPr>
          <w:p w:rsidRPr="00A3285B" w:rsidR="00A3285B" w:rsidP="00A3285B" w:rsidRDefault="00A3285B" w14:paraId="2C305AD8" w14:textId="77777777">
            <w:pPr>
              <w:widowControl/>
              <w:spacing w:after="200" w:line="276" w:lineRule="auto"/>
              <w:rPr>
                <w:rFonts w:eastAsiaTheme="minorEastAsia"/>
              </w:rPr>
            </w:pPr>
            <w:r w:rsidRPr="00A3285B">
              <w:rPr>
                <w:rFonts w:eastAsiaTheme="minorEastAsia"/>
              </w:rPr>
              <w:t>20</w:t>
            </w:r>
          </w:p>
        </w:tc>
      </w:tr>
      <w:tr w:rsidRPr="00A3285B" w:rsidR="00A3285B" w14:paraId="66010C02" w14:textId="77777777">
        <w:tc>
          <w:tcPr>
            <w:tcW w:w="6295" w:type="dxa"/>
          </w:tcPr>
          <w:p w:rsidRPr="00A3285B" w:rsidR="00A3285B" w:rsidP="00A3285B" w:rsidRDefault="00A3285B" w14:paraId="3B83A745" w14:textId="77777777">
            <w:pPr>
              <w:widowControl/>
              <w:spacing w:after="200" w:line="276" w:lineRule="auto"/>
              <w:rPr>
                <w:rFonts w:eastAsiaTheme="minorEastAsia"/>
              </w:rPr>
            </w:pPr>
            <w:r w:rsidRPr="00A3285B">
              <w:rPr>
                <w:rFonts w:eastAsiaTheme="minorEastAsia"/>
              </w:rPr>
              <w:t xml:space="preserve">Fair labor practices </w:t>
            </w:r>
          </w:p>
        </w:tc>
        <w:tc>
          <w:tcPr>
            <w:tcW w:w="3055" w:type="dxa"/>
            <w:vAlign w:val="center"/>
          </w:tcPr>
          <w:p w:rsidRPr="00A3285B" w:rsidR="00A3285B" w:rsidP="00A3285B" w:rsidRDefault="00A3285B" w14:paraId="44B4C547" w14:textId="77777777">
            <w:pPr>
              <w:widowControl/>
              <w:spacing w:after="200" w:line="276" w:lineRule="auto"/>
              <w:rPr>
                <w:rFonts w:eastAsiaTheme="minorEastAsia"/>
              </w:rPr>
            </w:pPr>
            <w:r w:rsidRPr="00A3285B">
              <w:rPr>
                <w:rFonts w:eastAsiaTheme="minorEastAsia"/>
              </w:rPr>
              <w:t>15</w:t>
            </w:r>
          </w:p>
        </w:tc>
      </w:tr>
      <w:tr w:rsidRPr="00A3285B" w:rsidR="00A3285B" w14:paraId="5BB81DAA" w14:textId="77777777">
        <w:tc>
          <w:tcPr>
            <w:tcW w:w="6295" w:type="dxa"/>
            <w:shd w:val="clear" w:color="auto" w:fill="95B3D7" w:themeFill="accent1" w:themeFillTint="99"/>
          </w:tcPr>
          <w:p w:rsidRPr="00A3285B" w:rsidR="00A3285B" w:rsidP="00A3285B" w:rsidRDefault="00A3285B" w14:paraId="5136930D" w14:textId="77777777">
            <w:pPr>
              <w:widowControl/>
              <w:spacing w:after="200" w:line="276" w:lineRule="auto"/>
              <w:rPr>
                <w:rFonts w:eastAsiaTheme="minorEastAsia"/>
              </w:rPr>
            </w:pPr>
            <w:r w:rsidRPr="00A3285B">
              <w:rPr>
                <w:rFonts w:eastAsiaTheme="minorEastAsia"/>
              </w:rPr>
              <w:t>Primary Criteria subtotal</w:t>
            </w:r>
          </w:p>
        </w:tc>
        <w:tc>
          <w:tcPr>
            <w:tcW w:w="3055" w:type="dxa"/>
            <w:shd w:val="clear" w:color="auto" w:fill="95B3D7" w:themeFill="accent1" w:themeFillTint="99"/>
            <w:vAlign w:val="center"/>
          </w:tcPr>
          <w:p w:rsidRPr="00A3285B" w:rsidR="00A3285B" w:rsidP="00A3285B" w:rsidRDefault="00A3285B" w14:paraId="35B429E6" w14:textId="77777777">
            <w:pPr>
              <w:widowControl/>
              <w:spacing w:after="200" w:line="276" w:lineRule="auto"/>
              <w:rPr>
                <w:rFonts w:eastAsiaTheme="minorEastAsia"/>
              </w:rPr>
            </w:pPr>
            <w:r w:rsidRPr="00A3285B">
              <w:rPr>
                <w:rFonts w:eastAsiaTheme="minorEastAsia"/>
              </w:rPr>
              <w:t>75</w:t>
            </w:r>
          </w:p>
        </w:tc>
      </w:tr>
      <w:tr w:rsidRPr="00A3285B" w:rsidR="00A3285B" w14:paraId="5C24D0A9" w14:textId="77777777">
        <w:tc>
          <w:tcPr>
            <w:tcW w:w="6295" w:type="dxa"/>
            <w:shd w:val="clear" w:color="auto" w:fill="365F91" w:themeFill="accent1" w:themeFillShade="BF"/>
          </w:tcPr>
          <w:p w:rsidRPr="00A3285B" w:rsidR="00A3285B" w:rsidP="00A3285B" w:rsidRDefault="00A3285B" w14:paraId="4156FD0B" w14:textId="77777777">
            <w:pPr>
              <w:widowControl/>
              <w:spacing w:after="200" w:line="276" w:lineRule="auto"/>
              <w:rPr>
                <w:rFonts w:eastAsiaTheme="minorEastAsia"/>
              </w:rPr>
            </w:pPr>
            <w:r w:rsidRPr="00A3285B">
              <w:rPr>
                <w:rFonts w:eastAsiaTheme="minorEastAsia"/>
              </w:rPr>
              <w:t>Secondary Criteria</w:t>
            </w:r>
          </w:p>
        </w:tc>
        <w:tc>
          <w:tcPr>
            <w:tcW w:w="3055" w:type="dxa"/>
            <w:shd w:val="clear" w:color="auto" w:fill="365F91" w:themeFill="accent1" w:themeFillShade="BF"/>
            <w:vAlign w:val="center"/>
          </w:tcPr>
          <w:p w:rsidRPr="00A3285B" w:rsidR="00A3285B" w:rsidP="00A3285B" w:rsidRDefault="00A3285B" w14:paraId="41365342" w14:textId="77777777">
            <w:pPr>
              <w:widowControl/>
              <w:spacing w:after="200" w:line="276" w:lineRule="auto"/>
              <w:rPr>
                <w:rFonts w:eastAsiaTheme="minorEastAsia"/>
              </w:rPr>
            </w:pPr>
          </w:p>
        </w:tc>
      </w:tr>
      <w:tr w:rsidRPr="00A3285B" w:rsidR="00A3285B" w14:paraId="62BBB523" w14:textId="77777777">
        <w:tc>
          <w:tcPr>
            <w:tcW w:w="6295" w:type="dxa"/>
          </w:tcPr>
          <w:p w:rsidRPr="00A3285B" w:rsidR="00A3285B" w:rsidP="00A3285B" w:rsidRDefault="00A3285B" w14:paraId="0B65BA64" w14:textId="77777777">
            <w:pPr>
              <w:widowControl/>
              <w:spacing w:after="200" w:line="276" w:lineRule="auto"/>
              <w:rPr>
                <w:rFonts w:eastAsiaTheme="minorEastAsia"/>
              </w:rPr>
            </w:pPr>
            <w:r w:rsidRPr="00A3285B">
              <w:rPr>
                <w:rFonts w:eastAsiaTheme="minorEastAsia"/>
              </w:rPr>
              <w:t>Speed to deployment (mandatory under NTIA rules)</w:t>
            </w:r>
          </w:p>
        </w:tc>
        <w:tc>
          <w:tcPr>
            <w:tcW w:w="3055" w:type="dxa"/>
            <w:vAlign w:val="center"/>
          </w:tcPr>
          <w:p w:rsidRPr="00A3285B" w:rsidR="00A3285B" w:rsidP="00A3285B" w:rsidRDefault="00A3285B" w14:paraId="58AC3D62" w14:textId="77777777">
            <w:pPr>
              <w:widowControl/>
              <w:spacing w:after="200" w:line="276" w:lineRule="auto"/>
              <w:rPr>
                <w:rFonts w:eastAsiaTheme="minorEastAsia"/>
              </w:rPr>
            </w:pPr>
            <w:r w:rsidRPr="00A3285B">
              <w:rPr>
                <w:rFonts w:eastAsiaTheme="minorEastAsia"/>
              </w:rPr>
              <w:t>1</w:t>
            </w:r>
          </w:p>
        </w:tc>
      </w:tr>
      <w:tr w:rsidRPr="00A3285B" w:rsidR="00A3285B" w14:paraId="3D1E471B" w14:textId="77777777">
        <w:tc>
          <w:tcPr>
            <w:tcW w:w="6295" w:type="dxa"/>
          </w:tcPr>
          <w:p w:rsidRPr="00A3285B" w:rsidR="00A3285B" w:rsidP="00A3285B" w:rsidRDefault="00A3285B" w14:paraId="5620E611" w14:textId="77777777">
            <w:pPr>
              <w:widowControl/>
              <w:spacing w:after="200" w:line="276" w:lineRule="auto"/>
              <w:rPr>
                <w:rFonts w:eastAsiaTheme="minorEastAsia"/>
              </w:rPr>
            </w:pPr>
            <w:r w:rsidRPr="00A3285B">
              <w:rPr>
                <w:rFonts w:eastAsiaTheme="minorEastAsia"/>
              </w:rPr>
              <w:t>Speed of network and other technical capabilities (mandatory under NTIA rules)</w:t>
            </w:r>
          </w:p>
        </w:tc>
        <w:tc>
          <w:tcPr>
            <w:tcW w:w="3055" w:type="dxa"/>
            <w:vAlign w:val="center"/>
          </w:tcPr>
          <w:p w:rsidRPr="00A3285B" w:rsidR="00A3285B" w:rsidP="00A3285B" w:rsidRDefault="00A3285B" w14:paraId="4726F8A9" w14:textId="77777777">
            <w:pPr>
              <w:widowControl/>
              <w:spacing w:after="200" w:line="276" w:lineRule="auto"/>
              <w:rPr>
                <w:rFonts w:eastAsiaTheme="minorEastAsia"/>
              </w:rPr>
            </w:pPr>
            <w:r w:rsidRPr="00A3285B">
              <w:rPr>
                <w:rFonts w:eastAsiaTheme="minorEastAsia"/>
              </w:rPr>
              <w:t>10</w:t>
            </w:r>
          </w:p>
        </w:tc>
      </w:tr>
      <w:tr w:rsidRPr="00A3285B" w:rsidR="00A3285B" w14:paraId="60C34AD7" w14:textId="77777777">
        <w:tc>
          <w:tcPr>
            <w:tcW w:w="6295" w:type="dxa"/>
          </w:tcPr>
          <w:p w:rsidRPr="00A3285B" w:rsidR="00A3285B" w:rsidP="00A3285B" w:rsidRDefault="00A3285B" w14:paraId="4D9ABD3C" w14:textId="77777777">
            <w:pPr>
              <w:widowControl/>
              <w:spacing w:after="200" w:line="276" w:lineRule="auto"/>
              <w:rPr>
                <w:rFonts w:eastAsiaTheme="minorEastAsia"/>
              </w:rPr>
            </w:pPr>
            <w:r w:rsidRPr="00A3285B">
              <w:rPr>
                <w:rFonts w:eastAsiaTheme="minorEastAsia"/>
              </w:rPr>
              <w:t>Community/Local government/Tribal government support</w:t>
            </w:r>
          </w:p>
        </w:tc>
        <w:tc>
          <w:tcPr>
            <w:tcW w:w="3055" w:type="dxa"/>
            <w:vAlign w:val="center"/>
          </w:tcPr>
          <w:p w:rsidRPr="00A3285B" w:rsidR="00A3285B" w:rsidP="00A3285B" w:rsidRDefault="00A3285B" w14:paraId="445A8C40" w14:textId="77777777">
            <w:pPr>
              <w:widowControl/>
              <w:spacing w:after="200" w:line="276" w:lineRule="auto"/>
              <w:rPr>
                <w:rFonts w:eastAsiaTheme="minorEastAsia"/>
              </w:rPr>
            </w:pPr>
            <w:r w:rsidRPr="00A3285B">
              <w:rPr>
                <w:rFonts w:eastAsiaTheme="minorEastAsia"/>
              </w:rPr>
              <w:t>10</w:t>
            </w:r>
          </w:p>
        </w:tc>
      </w:tr>
      <w:tr w:rsidRPr="00A3285B" w:rsidR="00A3285B" w14:paraId="093B4EF8" w14:textId="77777777">
        <w:tc>
          <w:tcPr>
            <w:tcW w:w="6295" w:type="dxa"/>
          </w:tcPr>
          <w:p w:rsidRPr="00A3285B" w:rsidR="00A3285B" w:rsidP="00A3285B" w:rsidRDefault="00A3285B" w14:paraId="3F1B00E8" w14:textId="77777777">
            <w:pPr>
              <w:widowControl/>
              <w:spacing w:after="200" w:line="276" w:lineRule="auto"/>
              <w:rPr>
                <w:rFonts w:eastAsiaTheme="minorEastAsia"/>
              </w:rPr>
            </w:pPr>
            <w:r w:rsidRPr="00A3285B">
              <w:rPr>
                <w:rFonts w:eastAsiaTheme="minorEastAsia"/>
              </w:rPr>
              <w:t>Lower-cost residential service</w:t>
            </w:r>
          </w:p>
        </w:tc>
        <w:tc>
          <w:tcPr>
            <w:tcW w:w="3055" w:type="dxa"/>
            <w:vAlign w:val="center"/>
          </w:tcPr>
          <w:p w:rsidRPr="00A3285B" w:rsidR="00A3285B" w:rsidP="00A3285B" w:rsidRDefault="00A3285B" w14:paraId="09FEA637" w14:textId="77777777">
            <w:pPr>
              <w:widowControl/>
              <w:spacing w:after="200" w:line="276" w:lineRule="auto"/>
              <w:rPr>
                <w:rFonts w:eastAsiaTheme="minorEastAsia"/>
              </w:rPr>
            </w:pPr>
            <w:r w:rsidRPr="00A3285B">
              <w:rPr>
                <w:rFonts w:eastAsiaTheme="minorEastAsia"/>
              </w:rPr>
              <w:t>4</w:t>
            </w:r>
          </w:p>
        </w:tc>
      </w:tr>
      <w:tr w:rsidRPr="00A3285B" w:rsidR="00A3285B" w14:paraId="420CBADC" w14:textId="77777777">
        <w:tc>
          <w:tcPr>
            <w:tcW w:w="6295" w:type="dxa"/>
            <w:shd w:val="clear" w:color="auto" w:fill="95B3D7" w:themeFill="accent1" w:themeFillTint="99"/>
          </w:tcPr>
          <w:p w:rsidRPr="00A3285B" w:rsidR="00A3285B" w:rsidP="00A3285B" w:rsidRDefault="00A3285B" w14:paraId="43514268" w14:textId="77777777">
            <w:pPr>
              <w:widowControl/>
              <w:spacing w:after="200" w:line="276" w:lineRule="auto"/>
              <w:rPr>
                <w:rFonts w:eastAsiaTheme="minorEastAsia"/>
              </w:rPr>
            </w:pPr>
            <w:r w:rsidRPr="00A3285B">
              <w:rPr>
                <w:rFonts w:eastAsiaTheme="minorEastAsia"/>
              </w:rPr>
              <w:t>Secondary Criteria subtotal</w:t>
            </w:r>
          </w:p>
        </w:tc>
        <w:tc>
          <w:tcPr>
            <w:tcW w:w="3055" w:type="dxa"/>
            <w:shd w:val="clear" w:color="auto" w:fill="95B3D7" w:themeFill="accent1" w:themeFillTint="99"/>
            <w:vAlign w:val="center"/>
          </w:tcPr>
          <w:p w:rsidRPr="00A3285B" w:rsidR="00A3285B" w:rsidP="00A3285B" w:rsidRDefault="00A3285B" w14:paraId="1F6D601B" w14:textId="77777777">
            <w:pPr>
              <w:widowControl/>
              <w:spacing w:after="200" w:line="276" w:lineRule="auto"/>
              <w:rPr>
                <w:rFonts w:eastAsiaTheme="minorEastAsia"/>
              </w:rPr>
            </w:pPr>
            <w:r w:rsidRPr="00A3285B">
              <w:rPr>
                <w:rFonts w:eastAsiaTheme="minorEastAsia"/>
              </w:rPr>
              <w:t>25</w:t>
            </w:r>
          </w:p>
        </w:tc>
      </w:tr>
      <w:tr w:rsidRPr="00A3285B" w:rsidR="00A3285B" w14:paraId="6FBBAAB7" w14:textId="77777777">
        <w:tc>
          <w:tcPr>
            <w:tcW w:w="6295" w:type="dxa"/>
            <w:shd w:val="clear" w:color="auto" w:fill="DBE5F1" w:themeFill="accent1" w:themeFillTint="33"/>
          </w:tcPr>
          <w:p w:rsidRPr="00A3285B" w:rsidR="00A3285B" w:rsidP="00A3285B" w:rsidRDefault="00A3285B" w14:paraId="7D695599" w14:textId="77777777">
            <w:pPr>
              <w:widowControl/>
              <w:spacing w:after="200" w:line="276" w:lineRule="auto"/>
              <w:rPr>
                <w:rFonts w:eastAsiaTheme="minorEastAsia"/>
              </w:rPr>
            </w:pPr>
            <w:r w:rsidRPr="00A3285B">
              <w:rPr>
                <w:rFonts w:eastAsiaTheme="minorEastAsia"/>
              </w:rPr>
              <w:t>Total</w:t>
            </w:r>
          </w:p>
        </w:tc>
        <w:tc>
          <w:tcPr>
            <w:tcW w:w="3055" w:type="dxa"/>
            <w:shd w:val="clear" w:color="auto" w:fill="DBE5F1" w:themeFill="accent1" w:themeFillTint="33"/>
            <w:vAlign w:val="center"/>
          </w:tcPr>
          <w:p w:rsidRPr="00A3285B" w:rsidR="00A3285B" w:rsidP="00A3285B" w:rsidRDefault="00A3285B" w14:paraId="4D05B9F4" w14:textId="77777777">
            <w:pPr>
              <w:widowControl/>
              <w:spacing w:after="200" w:line="276" w:lineRule="auto"/>
              <w:rPr>
                <w:rFonts w:eastAsiaTheme="minorEastAsia"/>
              </w:rPr>
            </w:pPr>
            <w:r w:rsidRPr="00A3285B">
              <w:rPr>
                <w:rFonts w:eastAsiaTheme="minorEastAsia"/>
              </w:rPr>
              <w:t>100</w:t>
            </w:r>
          </w:p>
        </w:tc>
      </w:tr>
    </w:tbl>
    <w:p w:rsidR="00717B01" w:rsidP="00321FA1" w:rsidRDefault="00717B01" w14:paraId="0F1B80CE" w14:textId="77777777"/>
    <w:sectPr w:rsidR="00717B01" w:rsidSect="009109E3">
      <w:headerReference w:type="default" r:id="rId4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E0D9A" w:rsidP="006A5670" w:rsidRDefault="000E0D9A" w14:paraId="392BDC52" w14:textId="77777777">
      <w:r>
        <w:separator/>
      </w:r>
    </w:p>
  </w:endnote>
  <w:endnote w:type="continuationSeparator" w:id="0">
    <w:p w:rsidR="000E0D9A" w:rsidP="006A5670" w:rsidRDefault="000E0D9A" w14:paraId="1662F007" w14:textId="77777777">
      <w:r>
        <w:continuationSeparator/>
      </w:r>
    </w:p>
  </w:endnote>
  <w:endnote w:type="continuationNotice" w:id="1">
    <w:p w:rsidR="000E0D9A" w:rsidP="006A5670" w:rsidRDefault="000E0D9A" w14:paraId="287C00B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Calibri"/>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w Cen MT">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Nova">
    <w:altName w:val="Calibri"/>
    <w:charset w:val="00"/>
    <w:family w:val="swiss"/>
    <w:pitch w:val="variable"/>
    <w:sig w:usb0="80000287" w:usb1="00000002" w:usb2="00000000" w:usb3="00000000" w:csb0="0000009F" w:csb1="00000000"/>
  </w:font>
  <w:font w:name="Open Sans">
    <w:charset w:val="00"/>
    <w:family w:val="swiss"/>
    <w:pitch w:val="variable"/>
    <w:sig w:usb0="E00002EF" w:usb1="4000205B" w:usb2="00000028" w:usb3="00000000" w:csb0="0000019F" w:csb1="00000000"/>
  </w:font>
  <w:font w:name="Wingdings 2">
    <w:charset w:val="02"/>
    <w:family w:val="roman"/>
    <w:pitch w:val="variable"/>
    <w:sig w:usb0="00000000" w:usb1="10000000" w:usb2="00000000" w:usb3="00000000" w:csb0="80000000" w:csb1="00000000"/>
  </w:font>
  <w:font w:name="Roboto Slab">
    <w:charset w:val="00"/>
    <w:family w:val="auto"/>
    <w:pitch w:val="variable"/>
    <w:sig w:usb0="000004FF" w:usb1="8000405F" w:usb2="00000022"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sdt>
    <w:sdtPr>
      <w:rPr>
        <w:sz w:val="22"/>
        <w:szCs w:val="22"/>
      </w:rPr>
      <w:id w:val="-1601865051"/>
      <w:docPartObj>
        <w:docPartGallery w:val="Page Numbers (Bottom of Page)"/>
        <w:docPartUnique/>
      </w:docPartObj>
    </w:sdtPr>
    <w:sdtEndPr>
      <w:rPr>
        <w:noProof/>
      </w:rPr>
    </w:sdtEndPr>
    <w:sdtContent>
      <w:p w:rsidRPr="00254026" w:rsidR="009109E3" w:rsidP="00254026" w:rsidRDefault="00E012AE" w14:paraId="39945F14" w14:textId="41801528">
        <w:pPr>
          <w:pStyle w:val="Header"/>
          <w:rPr>
            <w:sz w:val="22"/>
            <w:szCs w:val="22"/>
          </w:rPr>
        </w:pPr>
        <w:r>
          <w:rPr>
            <w:noProof/>
          </w:rPr>
          <w:drawing>
            <wp:anchor distT="0" distB="0" distL="114300" distR="114300" simplePos="0" relativeHeight="251658240" behindDoc="0" locked="0" layoutInCell="1" allowOverlap="1" wp14:anchorId="4D6F4D97" wp14:editId="0038BDF6">
              <wp:simplePos x="0" y="0"/>
              <wp:positionH relativeFrom="column">
                <wp:posOffset>6240780</wp:posOffset>
              </wp:positionH>
              <wp:positionV relativeFrom="paragraph">
                <wp:posOffset>6985</wp:posOffset>
              </wp:positionV>
              <wp:extent cx="228600" cy="301752"/>
              <wp:effectExtent l="0" t="0" r="0" b="3175"/>
              <wp:wrapSquare wrapText="bothSides"/>
              <wp:docPr id="261240586" name="Picture 261240586" descr="A green symbol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40586" name="Picture 1" descr="A green symbol with a white background&#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8600" cy="301752"/>
                      </a:xfrm>
                      <a:prstGeom prst="rect">
                        <a:avLst/>
                      </a:prstGeom>
                      <a:noFill/>
                      <a:ln>
                        <a:noFill/>
                      </a:ln>
                    </pic:spPr>
                  </pic:pic>
                </a:graphicData>
              </a:graphic>
            </wp:anchor>
          </w:drawing>
        </w:r>
        <w:r w:rsidR="00E07017">
          <w:rPr>
            <w:noProof/>
          </w:rPr>
          <w:drawing>
            <wp:anchor distT="0" distB="0" distL="114300" distR="114300" simplePos="0" relativeHeight="251658241" behindDoc="0" locked="0" layoutInCell="1" allowOverlap="1" wp14:anchorId="692192A1" wp14:editId="48031629">
              <wp:simplePos x="0" y="0"/>
              <wp:positionH relativeFrom="column">
                <wp:posOffset>6240780</wp:posOffset>
              </wp:positionH>
              <wp:positionV relativeFrom="paragraph">
                <wp:posOffset>6985</wp:posOffset>
              </wp:positionV>
              <wp:extent cx="228600" cy="301752"/>
              <wp:effectExtent l="0" t="0" r="0" b="3175"/>
              <wp:wrapSquare wrapText="bothSides"/>
              <wp:docPr id="4" name="Picture 4" descr="A green symbol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40586" name="Picture 1" descr="A green symbol with a white background&#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8600" cy="301752"/>
                      </a:xfrm>
                      <a:prstGeom prst="rect">
                        <a:avLst/>
                      </a:prstGeom>
                      <a:noFill/>
                      <a:ln>
                        <a:noFill/>
                      </a:ln>
                    </pic:spPr>
                  </pic:pic>
                </a:graphicData>
              </a:graphic>
            </wp:anchor>
          </w:drawing>
        </w:r>
        <w:r w:rsidRPr="00254026" w:rsidR="00E07017">
          <w:rPr>
            <w:sz w:val="22"/>
            <w:szCs w:val="22"/>
          </w:rPr>
          <w:t xml:space="preserve">Alabama BEAD </w:t>
        </w:r>
        <w:r w:rsidR="00E07017">
          <w:rPr>
            <w:sz w:val="22"/>
            <w:szCs w:val="22"/>
          </w:rPr>
          <w:t xml:space="preserve">Initial Proposal Volume </w:t>
        </w:r>
        <w:r w:rsidR="00236786">
          <w:rPr>
            <w:sz w:val="22"/>
            <w:szCs w:val="22"/>
          </w:rPr>
          <w:t>2</w:t>
        </w:r>
        <w:r w:rsidRPr="00254026" w:rsidR="00E07017">
          <w:rPr>
            <w:sz w:val="22"/>
            <w:szCs w:val="22"/>
          </w:rPr>
          <w:t xml:space="preserve"> | DRAFT | </w:t>
        </w:r>
        <w:r w:rsidR="00E07017">
          <w:rPr>
            <w:i/>
            <w:iCs/>
            <w:sz w:val="22"/>
            <w:szCs w:val="22"/>
          </w:rPr>
          <w:t xml:space="preserve">November </w:t>
        </w:r>
        <w:r w:rsidRPr="00254026" w:rsidR="00E07017">
          <w:rPr>
            <w:i/>
            <w:iCs/>
            <w:sz w:val="22"/>
            <w:szCs w:val="22"/>
          </w:rPr>
          <w:t>2023</w:t>
        </w:r>
        <w:r w:rsidR="001139EF">
          <w:rPr>
            <w:i/>
            <w:iCs/>
            <w:sz w:val="22"/>
            <w:szCs w:val="22"/>
          </w:rPr>
          <w:tab/>
        </w:r>
        <w:r w:rsidRPr="00254026" w:rsidR="00717B01">
          <w:rPr>
            <w:sz w:val="22"/>
            <w:szCs w:val="22"/>
          </w:rPr>
          <w:fldChar w:fldCharType="begin"/>
        </w:r>
        <w:r w:rsidRPr="00254026" w:rsidR="00717B01">
          <w:rPr>
            <w:sz w:val="22"/>
            <w:szCs w:val="22"/>
          </w:rPr>
          <w:instrText xml:space="preserve"> PAGE   \* MERGEFORMAT </w:instrText>
        </w:r>
        <w:r w:rsidRPr="00254026" w:rsidR="00717B01">
          <w:rPr>
            <w:sz w:val="22"/>
            <w:szCs w:val="22"/>
          </w:rPr>
          <w:fldChar w:fldCharType="separate"/>
        </w:r>
        <w:r w:rsidRPr="00254026" w:rsidR="00717B01">
          <w:rPr>
            <w:noProof/>
            <w:sz w:val="22"/>
            <w:szCs w:val="22"/>
          </w:rPr>
          <w:t>2</w:t>
        </w:r>
        <w:r w:rsidRPr="00254026" w:rsidR="00717B01">
          <w:rPr>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E0D9A" w:rsidP="006A5670" w:rsidRDefault="000E0D9A" w14:paraId="7D5AAA46" w14:textId="77777777">
      <w:r>
        <w:separator/>
      </w:r>
    </w:p>
  </w:footnote>
  <w:footnote w:type="continuationSeparator" w:id="0">
    <w:p w:rsidR="000E0D9A" w:rsidP="006A5670" w:rsidRDefault="000E0D9A" w14:paraId="1F21104B" w14:textId="77777777">
      <w:r>
        <w:continuationSeparator/>
      </w:r>
    </w:p>
  </w:footnote>
  <w:footnote w:type="continuationNotice" w:id="1">
    <w:p w:rsidR="000E0D9A" w:rsidP="006A5670" w:rsidRDefault="000E0D9A" w14:paraId="4C4E5336" w14:textId="77777777"/>
  </w:footnote>
  <w:footnote w:id="2">
    <w:p w:rsidRPr="005666A0" w:rsidR="00D24552" w:rsidP="00D24552" w:rsidRDefault="005C5B3C" w14:paraId="31323B70" w14:textId="1DE705EB">
      <w:pPr>
        <w:pStyle w:val="FootnoteText"/>
        <w:rPr>
          <w:rFonts w:ascii="Gill Sans Nova" w:hAnsi="Gill Sans Nova"/>
        </w:rPr>
      </w:pPr>
      <w:r>
        <w:rPr>
          <w:rStyle w:val="FootnoteReference"/>
        </w:rPr>
        <w:footnoteRef/>
      </w:r>
      <w:r>
        <w:t xml:space="preserve"> </w:t>
      </w:r>
      <w:r w:rsidRPr="005666A0" w:rsidR="00D24552">
        <w:rPr>
          <w:rFonts w:ascii="Gill Sans Nova" w:hAnsi="Gill Sans Nova"/>
        </w:rPr>
        <w:t xml:space="preserve">“Notice of Funding Opportunity, Broadband Equity, Access, and Deployment Program,” </w:t>
      </w:r>
      <w:r w:rsidRPr="005666A0" w:rsidR="00476302">
        <w:rPr>
          <w:rFonts w:ascii="Gill Sans Nova" w:hAnsi="Gill Sans Nova"/>
        </w:rPr>
        <w:t xml:space="preserve">NTIA, </w:t>
      </w:r>
      <w:hyperlink w:history="1" r:id="rId1">
        <w:r w:rsidRPr="005666A0" w:rsidR="00D24552">
          <w:rPr>
            <w:rStyle w:val="Hyperlink"/>
            <w:rFonts w:ascii="Gill Sans Nova" w:hAnsi="Gill Sans Nova"/>
          </w:rPr>
          <w:t>https://broadbandusa.ntia.doc.gov/sites/default/files/2022-05/BEAD%20NOFO.pdf</w:t>
        </w:r>
      </w:hyperlink>
      <w:r w:rsidRPr="005666A0" w:rsidR="00D24552">
        <w:rPr>
          <w:rFonts w:ascii="Gill Sans Nova" w:hAnsi="Gill Sans Nova"/>
        </w:rPr>
        <w:t xml:space="preserve"> (BEAD NOFO).</w:t>
      </w:r>
    </w:p>
    <w:p w:rsidR="005C5B3C" w:rsidRDefault="005C5B3C" w14:paraId="254E1560" w14:textId="6F1F1785">
      <w:pPr>
        <w:pStyle w:val="FootnoteText"/>
      </w:pPr>
    </w:p>
  </w:footnote>
  <w:footnote w:id="3">
    <w:p w:rsidR="00A86C40" w:rsidRDefault="00A86C40" w14:paraId="656D9247" w14:textId="5ED79A1E">
      <w:pPr>
        <w:pStyle w:val="FootnoteText"/>
      </w:pPr>
      <w:r>
        <w:rPr>
          <w:rStyle w:val="FootnoteReference"/>
        </w:rPr>
        <w:footnoteRef/>
      </w:r>
      <w:r>
        <w:t xml:space="preserve"> </w:t>
      </w:r>
      <w:r w:rsidR="007A13F0">
        <w:t xml:space="preserve">“Alabama Connectivity Plan,” ADECA, December 2021, </w:t>
      </w:r>
      <w:hyperlink w:history="1" r:id="rId2">
        <w:r w:rsidRPr="00D12D1E" w:rsidR="007A13F0">
          <w:rPr>
            <w:rStyle w:val="Hyperlink"/>
          </w:rPr>
          <w:t>https://adeca.alabama.gov/wp-content/uploads/Alabama-Connectivity-Plan.pdf</w:t>
        </w:r>
      </w:hyperlink>
      <w:r w:rsidR="007A13F0">
        <w:t>.</w:t>
      </w:r>
    </w:p>
  </w:footnote>
  <w:footnote w:id="4">
    <w:p w:rsidR="00A741DE" w:rsidRDefault="00A741DE" w14:paraId="6EA7F3BF" w14:textId="06F03B7D">
      <w:pPr>
        <w:pStyle w:val="FootnoteText"/>
      </w:pPr>
      <w:r>
        <w:rPr>
          <w:rStyle w:val="FootnoteReference"/>
        </w:rPr>
        <w:footnoteRef/>
      </w:r>
      <w:r>
        <w:t xml:space="preserve"> “Five-Year Action Plan, Broadband Equity, Access, and Dep</w:t>
      </w:r>
      <w:r w:rsidR="00B44125">
        <w:t xml:space="preserve">loyment Program,” </w:t>
      </w:r>
      <w:r w:rsidR="00FD3FD5">
        <w:t xml:space="preserve">ADECA, </w:t>
      </w:r>
      <w:r w:rsidR="00B44125">
        <w:t>August 2023,</w:t>
      </w:r>
      <w:r w:rsidR="003B4D45">
        <w:t xml:space="preserve"> Sections 2.2</w:t>
      </w:r>
      <w:r w:rsidR="004B1031">
        <w:t>, 6,</w:t>
      </w:r>
      <w:r w:rsidR="003B4D45">
        <w:t xml:space="preserve"> </w:t>
      </w:r>
      <w:hyperlink w:history="1" r:id="rId3">
        <w:r w:rsidRPr="00864384" w:rsidR="00E40269">
          <w:rPr>
            <w:rStyle w:val="Hyperlink"/>
          </w:rPr>
          <w:t>https://adeca.alabama.gov/beadplan/</w:t>
        </w:r>
      </w:hyperlink>
      <w:r w:rsidR="00E40269">
        <w:t xml:space="preserve"> </w:t>
      </w:r>
      <w:r w:rsidR="005C0B57">
        <w:t>(Five-Year Action Plan)</w:t>
      </w:r>
      <w:r w:rsidR="00E9774F">
        <w:t>.</w:t>
      </w:r>
    </w:p>
  </w:footnote>
  <w:footnote w:id="5">
    <w:p w:rsidR="00960AAB" w:rsidP="006A5670" w:rsidRDefault="00960AAB" w14:paraId="353EBB76" w14:textId="14AB64E2">
      <w:pPr>
        <w:pStyle w:val="FootnoteText"/>
      </w:pPr>
      <w:r>
        <w:rPr>
          <w:rStyle w:val="FootnoteReference"/>
        </w:rPr>
        <w:footnoteRef/>
      </w:r>
      <w:r>
        <w:t xml:space="preserve"> </w:t>
      </w:r>
      <w:r w:rsidR="00CB71FE">
        <w:t>BEAD NOFO</w:t>
      </w:r>
      <w:r>
        <w:t>, p. 7.</w:t>
      </w:r>
    </w:p>
  </w:footnote>
  <w:footnote w:id="6">
    <w:p w:rsidRPr="00F70683" w:rsidR="00717B01" w:rsidP="006A5670" w:rsidRDefault="00717B01" w14:paraId="548B52DE" w14:textId="7606968B">
      <w:pPr>
        <w:pStyle w:val="FootnoteText"/>
      </w:pPr>
      <w:r>
        <w:rPr>
          <w:rStyle w:val="FootnoteReference"/>
        </w:rPr>
        <w:footnoteRef/>
      </w:r>
      <w:r w:rsidRPr="00F70683" w:rsidR="00584897">
        <w:t xml:space="preserve"> </w:t>
      </w:r>
      <w:r w:rsidRPr="00F70683">
        <w:t xml:space="preserve">“Alabama Broadband Map,” </w:t>
      </w:r>
      <w:r w:rsidRPr="00F70683" w:rsidDel="00584897">
        <w:t xml:space="preserve">ADECA, </w:t>
      </w:r>
      <w:hyperlink w:history="1" r:id="rId4">
        <w:r w:rsidRPr="00F70683" w:rsidR="00584897">
          <w:rPr>
            <w:rStyle w:val="Hyperlink"/>
          </w:rPr>
          <w:t>https://broadband.alabama.gov/broadband-maps/</w:t>
        </w:r>
      </w:hyperlink>
      <w:r w:rsidRPr="00F70683">
        <w:t>.</w:t>
      </w:r>
    </w:p>
  </w:footnote>
  <w:footnote w:id="7">
    <w:p w:rsidR="00D85535" w:rsidRDefault="00D85535" w14:paraId="27D208FB" w14:textId="4C56B17B">
      <w:pPr>
        <w:pStyle w:val="FootnoteText"/>
      </w:pPr>
      <w:r>
        <w:rPr>
          <w:rStyle w:val="FootnoteReference"/>
        </w:rPr>
        <w:footnoteRef/>
      </w:r>
      <w:r>
        <w:t xml:space="preserve"> </w:t>
      </w:r>
      <w:r w:rsidR="0009044E">
        <w:t xml:space="preserve">“Alabama Statewide Digital Opportunity Plan,” </w:t>
      </w:r>
      <w:r w:rsidR="00B303AF">
        <w:t xml:space="preserve">ADECA, </w:t>
      </w:r>
      <w:hyperlink w:history="1" r:id="rId5">
        <w:r w:rsidRPr="00864384" w:rsidR="0009044E">
          <w:rPr>
            <w:rStyle w:val="Hyperlink"/>
          </w:rPr>
          <w:t>https://adeca.alabama.gov/asdop/</w:t>
        </w:r>
      </w:hyperlink>
      <w:r w:rsidR="0009044E">
        <w:t xml:space="preserve">. </w:t>
      </w:r>
    </w:p>
  </w:footnote>
  <w:footnote w:id="8">
    <w:p w:rsidRPr="0028038E" w:rsidR="00717B01" w:rsidP="006A5670" w:rsidRDefault="00717B01" w14:paraId="7FF6F825" w14:textId="77777777">
      <w:pPr>
        <w:pStyle w:val="FootnoteText"/>
      </w:pPr>
      <w:r>
        <w:rPr>
          <w:rStyle w:val="FootnoteReference"/>
        </w:rPr>
        <w:footnoteRef/>
      </w:r>
      <w:r w:rsidRPr="0028038E">
        <w:t xml:space="preserve"> IIJA, </w:t>
      </w:r>
      <w:r w:rsidRPr="001F2954">
        <w:t>Section 60304(c)(1)(B)</w:t>
      </w:r>
      <w:r>
        <w:t xml:space="preserve">, </w:t>
      </w:r>
      <w:hyperlink w:history="1" r:id="rId6">
        <w:r w:rsidRPr="0028038E">
          <w:rPr>
            <w:rStyle w:val="Hyperlink"/>
          </w:rPr>
          <w:t>https://www.congress.gov/bill/117th-congress/house-bill/3684/text</w:t>
        </w:r>
      </w:hyperlink>
      <w:r>
        <w:t>.</w:t>
      </w:r>
    </w:p>
  </w:footnote>
  <w:footnote w:id="9">
    <w:p w:rsidR="00D00344" w:rsidRDefault="00D00344" w14:paraId="50F5B44A" w14:textId="74D8A4F6">
      <w:pPr>
        <w:pStyle w:val="FootnoteText"/>
      </w:pPr>
      <w:r>
        <w:rPr>
          <w:rStyle w:val="FootnoteReference"/>
        </w:rPr>
        <w:footnoteRef/>
      </w:r>
      <w:r>
        <w:t xml:space="preserve"> </w:t>
      </w:r>
      <w:r w:rsidR="00D267BB">
        <w:t>Five-Year Action Pl</w:t>
      </w:r>
      <w:r w:rsidR="00D34BA4">
        <w:t>an,</w:t>
      </w:r>
      <w:r w:rsidR="00F625E6">
        <w:t xml:space="preserve"> Section 5.1</w:t>
      </w:r>
      <w:r w:rsidR="00D33B19">
        <w:t>.</w:t>
      </w:r>
    </w:p>
  </w:footnote>
  <w:footnote w:id="10">
    <w:p w:rsidR="005A3855" w:rsidP="005A3855" w:rsidRDefault="005A3855" w14:paraId="096E38CD" w14:textId="7CDA2E61">
      <w:pPr>
        <w:pStyle w:val="FootnoteText"/>
      </w:pPr>
      <w:r>
        <w:rPr>
          <w:rStyle w:val="FootnoteReference"/>
        </w:rPr>
        <w:footnoteRef/>
      </w:r>
      <w:r>
        <w:t xml:space="preserve"> A table identifying ADECA’s current and potential future partners in the development </w:t>
      </w:r>
      <w:r w:rsidR="00E92089">
        <w:t xml:space="preserve">of this Initial Proposal </w:t>
      </w:r>
      <w:r>
        <w:t>and implementation of its BEAD efforts can be found in Section 3.2 of the Five-Year Action Plan.</w:t>
      </w:r>
    </w:p>
  </w:footnote>
  <w:footnote w:id="11">
    <w:p w:rsidR="00AF66DD" w:rsidRDefault="00AF66DD" w14:paraId="08A5003D" w14:textId="4278E371">
      <w:pPr>
        <w:pStyle w:val="FootnoteText"/>
      </w:pPr>
      <w:r>
        <w:rPr>
          <w:rStyle w:val="FootnoteReference"/>
        </w:rPr>
        <w:footnoteRef/>
      </w:r>
      <w:r>
        <w:t xml:space="preserve"> </w:t>
      </w:r>
      <w:r w:rsidR="00102EBC">
        <w:t>The survey</w:t>
      </w:r>
      <w:r w:rsidR="007D77EF">
        <w:t xml:space="preserve"> can be found in Appendix E of the Alabama Statewide Digital Opportunity Plan.</w:t>
      </w:r>
    </w:p>
  </w:footnote>
  <w:footnote w:id="12">
    <w:p w:rsidR="003E4DDF" w:rsidRDefault="003E4DDF" w14:paraId="69905E09" w14:textId="0F6AD827">
      <w:pPr>
        <w:pStyle w:val="FootnoteText"/>
      </w:pPr>
      <w:r>
        <w:rPr>
          <w:rStyle w:val="FootnoteReference"/>
        </w:rPr>
        <w:footnoteRef/>
      </w:r>
      <w:r>
        <w:t xml:space="preserve"> The questionnaires can be found in Appendix E </w:t>
      </w:r>
      <w:r w:rsidR="00673EA4">
        <w:t xml:space="preserve">of </w:t>
      </w:r>
      <w:r>
        <w:t>the Five-Year Action Plan.</w:t>
      </w:r>
    </w:p>
  </w:footnote>
  <w:footnote w:id="13">
    <w:p w:rsidRPr="007E03C1" w:rsidR="005679EC" w:rsidP="005679EC" w:rsidRDefault="005679EC" w14:paraId="27F0A9B5" w14:textId="4A9DFB6D">
      <w:pPr>
        <w:pStyle w:val="FootnoteText"/>
      </w:pPr>
      <w:r>
        <w:rPr>
          <w:rStyle w:val="FootnoteReference"/>
        </w:rPr>
        <w:footnoteRef/>
      </w:r>
      <w:r w:rsidR="00BD2711">
        <w:t>“</w:t>
      </w:r>
      <w:r w:rsidRPr="007E03C1">
        <w:t>Alabama Community Broadband Technical Assistance Program</w:t>
      </w:r>
      <w:r w:rsidR="007C749E">
        <w:t>,</w:t>
      </w:r>
      <w:r w:rsidR="00BD2711">
        <w:t>”</w:t>
      </w:r>
      <w:r w:rsidRPr="007E03C1">
        <w:t xml:space="preserve"> </w:t>
      </w:r>
      <w:r w:rsidR="00DF2C2D">
        <w:t>ADECA</w:t>
      </w:r>
      <w:r w:rsidR="007C749E">
        <w:t>,</w:t>
      </w:r>
      <w:r w:rsidRPr="007E03C1">
        <w:t xml:space="preserve"> </w:t>
      </w:r>
      <w:hyperlink w:history="1" r:id="rId7">
        <w:r w:rsidRPr="007E03C1">
          <w:rPr>
            <w:rStyle w:val="Hyperlink"/>
          </w:rPr>
          <w:t>https://adeca.alabama.gov/alabama-community-broadband-technical-assistance-program/</w:t>
        </w:r>
      </w:hyperlink>
      <w:r w:rsidRPr="00115289" w:rsidR="00115289">
        <w:t>.</w:t>
      </w:r>
      <w:r w:rsidRPr="007E03C1">
        <w:t xml:space="preserve"> </w:t>
      </w:r>
    </w:p>
  </w:footnote>
  <w:footnote w:id="14">
    <w:p w:rsidR="00EB78BB" w:rsidRDefault="00EB78BB" w14:paraId="74B6387F" w14:textId="0010E536">
      <w:pPr>
        <w:pStyle w:val="FootnoteText"/>
      </w:pPr>
      <w:r>
        <w:rPr>
          <w:rStyle w:val="FootnoteReference"/>
        </w:rPr>
        <w:footnoteRef/>
      </w:r>
      <w:r>
        <w:t xml:space="preserve"> The</w:t>
      </w:r>
      <w:r w:rsidR="004D462A">
        <w:t xml:space="preserve"> </w:t>
      </w:r>
      <w:r>
        <w:t xml:space="preserve">county profiles can be found on </w:t>
      </w:r>
      <w:r w:rsidR="00B17F4A">
        <w:t>the Be</w:t>
      </w:r>
      <w:r w:rsidR="003142C0">
        <w:t xml:space="preserve"> </w:t>
      </w:r>
      <w:r w:rsidR="00B17F4A">
        <w:t>L</w:t>
      </w:r>
      <w:r w:rsidR="00015F95">
        <w:t>i</w:t>
      </w:r>
      <w:r w:rsidR="00B17F4A">
        <w:t xml:space="preserve">nked Alabama website at </w:t>
      </w:r>
      <w:hyperlink w:history="1" r:id="rId8">
        <w:r w:rsidRPr="00864384" w:rsidR="003568A4">
          <w:rPr>
            <w:rStyle w:val="Hyperlink"/>
          </w:rPr>
          <w:t>https://broa</w:t>
        </w:r>
        <w:bookmarkStart w:name="_Hlt150340334" w:id="16"/>
        <w:bookmarkStart w:name="_Hlt150340335" w:id="17"/>
        <w:r w:rsidRPr="00864384" w:rsidR="003568A4">
          <w:rPr>
            <w:rStyle w:val="Hyperlink"/>
          </w:rPr>
          <w:t>d</w:t>
        </w:r>
        <w:bookmarkEnd w:id="16"/>
        <w:bookmarkEnd w:id="17"/>
        <w:r w:rsidRPr="00864384" w:rsidR="003568A4">
          <w:rPr>
            <w:rStyle w:val="Hyperlink"/>
          </w:rPr>
          <w:t>band.alabama.gov/profiles/</w:t>
        </w:r>
      </w:hyperlink>
      <w:r w:rsidR="003568A4">
        <w:t xml:space="preserve">. </w:t>
      </w:r>
    </w:p>
  </w:footnote>
  <w:footnote w:id="15">
    <w:p w:rsidR="005F35DC" w:rsidRDefault="005F35DC" w14:paraId="4709A8DF" w14:textId="569AD8CC">
      <w:pPr>
        <w:pStyle w:val="FootnoteText"/>
      </w:pPr>
      <w:r>
        <w:rPr>
          <w:rStyle w:val="FootnoteReference"/>
        </w:rPr>
        <w:footnoteRef/>
      </w:r>
      <w:r>
        <w:t xml:space="preserve"> More information on ADECA’s Tribal engagement efforts can be found in Section 5.1.2 of the Five-Year Action Plan</w:t>
      </w:r>
      <w:r w:rsidR="00CF0C34">
        <w:t xml:space="preserve"> and Section </w:t>
      </w:r>
      <w:r w:rsidR="0037537D">
        <w:t xml:space="preserve">4.1.5.1 of the </w:t>
      </w:r>
      <w:r w:rsidR="00471AD0">
        <w:t>Alabama Statewide Digital Opportunity Plan.</w:t>
      </w:r>
    </w:p>
  </w:footnote>
  <w:footnote w:id="16">
    <w:p w:rsidR="0046249B" w:rsidRDefault="0046249B" w14:paraId="0FB0FC26" w14:textId="1645AD6D">
      <w:pPr>
        <w:pStyle w:val="FootnoteText"/>
      </w:pPr>
      <w:r>
        <w:rPr>
          <w:rStyle w:val="FootnoteReference"/>
        </w:rPr>
        <w:footnoteRef/>
      </w:r>
      <w:r>
        <w:t xml:space="preserve"> BEAD NOFO</w:t>
      </w:r>
      <w:r w:rsidR="00AD5B02">
        <w:t>, pp. 51-56.</w:t>
      </w:r>
    </w:p>
  </w:footnote>
  <w:footnote w:id="17">
    <w:p w:rsidR="00080D43" w:rsidRDefault="00080D43" w14:paraId="72A934D7" w14:textId="71DFC93B">
      <w:pPr>
        <w:pStyle w:val="FootnoteText"/>
      </w:pPr>
      <w:r>
        <w:rPr>
          <w:rStyle w:val="FootnoteReference"/>
        </w:rPr>
        <w:footnoteRef/>
      </w:r>
      <w:r>
        <w:t xml:space="preserve"> A</w:t>
      </w:r>
      <w:r w:rsidR="005705E6">
        <w:t>s part of these meetings</w:t>
      </w:r>
      <w:r w:rsidR="009B306F">
        <w:t xml:space="preserve">, </w:t>
      </w:r>
      <w:r w:rsidR="005705E6">
        <w:t>political</w:t>
      </w:r>
      <w:r w:rsidR="009B306F">
        <w:t xml:space="preserve"> subdivisions </w:t>
      </w:r>
      <w:r w:rsidR="005705E6">
        <w:t xml:space="preserve">were given the </w:t>
      </w:r>
      <w:r w:rsidR="00961218">
        <w:t xml:space="preserve">opportunity to </w:t>
      </w:r>
      <w:r w:rsidR="00CC2282">
        <w:t xml:space="preserve">submit their own plans to ADECA </w:t>
      </w:r>
      <w:r w:rsidR="00D35C14">
        <w:t xml:space="preserve">regarding </w:t>
      </w:r>
      <w:r w:rsidR="006F3581">
        <w:t xml:space="preserve">broadband deployment, </w:t>
      </w:r>
      <w:r w:rsidR="009A10E0">
        <w:t>digital opportunity</w:t>
      </w:r>
      <w:r w:rsidR="006F3581">
        <w:t>, or other issues relevant to the BEAD Program goals</w:t>
      </w:r>
      <w:r w:rsidR="00F466ED">
        <w:t>.</w:t>
      </w:r>
      <w:r w:rsidR="00A36962">
        <w:t xml:space="preserve"> More information regarding </w:t>
      </w:r>
      <w:r w:rsidR="00A81FE5">
        <w:t>local plan</w:t>
      </w:r>
      <w:r w:rsidR="00A307FA">
        <w:t>s,</w:t>
      </w:r>
      <w:r w:rsidR="00A81FE5">
        <w:t xml:space="preserve"> </w:t>
      </w:r>
      <w:r w:rsidR="00A307FA">
        <w:t xml:space="preserve">as well as the strategies for addressing these plans, </w:t>
      </w:r>
      <w:r w:rsidR="00A81FE5">
        <w:t>can be found in the Local Coordination Tracker Tool</w:t>
      </w:r>
      <w:r w:rsidRPr="006063EE" w:rsidR="00A81FE5">
        <w:t xml:space="preserve"> included</w:t>
      </w:r>
      <w:r w:rsidR="00A81FE5">
        <w:t xml:space="preserve"> as Appendix A. </w:t>
      </w:r>
    </w:p>
  </w:footnote>
  <w:footnote w:id="18">
    <w:p w:rsidR="005679EC" w:rsidP="005679EC" w:rsidRDefault="005679EC" w14:paraId="56AB566D" w14:textId="77777777">
      <w:pPr>
        <w:pStyle w:val="FootnoteText"/>
      </w:pPr>
      <w:r>
        <w:rPr>
          <w:rStyle w:val="FootnoteReference"/>
        </w:rPr>
        <w:footnoteRef/>
      </w:r>
      <w:r>
        <w:t xml:space="preserve"> The attendees totaled 1,316 in the 68 sessions (67 county sessions plus one Tribal session). Some attended more than one session.</w:t>
      </w:r>
    </w:p>
  </w:footnote>
  <w:footnote w:id="19">
    <w:p w:rsidR="005679EC" w:rsidP="005679EC" w:rsidRDefault="005679EC" w14:paraId="061F6CFE" w14:textId="77777777">
      <w:pPr>
        <w:pStyle w:val="FootnoteText"/>
      </w:pPr>
      <w:r>
        <w:rPr>
          <w:rStyle w:val="FootnoteReference"/>
        </w:rPr>
        <w:footnoteRef/>
      </w:r>
      <w:r>
        <w:t xml:space="preserve"> Some organizations attended multiple sessions and were only counted once for this tally of organizations. Each local Alabama Department of Human Resources office was treated as a separate organization. Where county officials only stated that they worked for the county, they were treated as coming from the same entity, but where they named their department, each county department was treated as a separate entity.</w:t>
      </w:r>
    </w:p>
  </w:footnote>
  <w:footnote w:id="20">
    <w:p w:rsidR="00892FEF" w:rsidRDefault="00892FEF" w14:paraId="397D16C2" w14:textId="7D3A7A8B">
      <w:pPr>
        <w:pStyle w:val="FootnoteText"/>
      </w:pPr>
      <w:r>
        <w:rPr>
          <w:rStyle w:val="FootnoteReference"/>
        </w:rPr>
        <w:footnoteRef/>
      </w:r>
      <w:r>
        <w:t xml:space="preserve"> </w:t>
      </w:r>
      <w:r w:rsidR="005B36D9">
        <w:t>This input is captured in Appendices C-D of the Five-Year Action Plan.</w:t>
      </w:r>
    </w:p>
  </w:footnote>
  <w:footnote w:id="21">
    <w:p w:rsidR="00D6012D" w:rsidRDefault="00D6012D" w14:paraId="41B36B3C" w14:textId="0F36DED6">
      <w:pPr>
        <w:pStyle w:val="FootnoteText"/>
      </w:pPr>
      <w:r>
        <w:rPr>
          <w:rStyle w:val="FootnoteReference"/>
        </w:rPr>
        <w:footnoteRef/>
      </w:r>
      <w:r>
        <w:t xml:space="preserve"> </w:t>
      </w:r>
      <w:r w:rsidR="000D11EC">
        <w:t>The survey can be found in Appendix E of the Alabama Statewide Digital Opportunity Plan.</w:t>
      </w:r>
    </w:p>
  </w:footnote>
  <w:footnote w:id="22">
    <w:p w:rsidR="005679EC" w:rsidP="005679EC" w:rsidRDefault="005679EC" w14:paraId="7EA4F422" w14:textId="59F64AF8">
      <w:pPr>
        <w:pStyle w:val="FootnoteText"/>
      </w:pPr>
      <w:r>
        <w:rPr>
          <w:rStyle w:val="FootnoteReference"/>
        </w:rPr>
        <w:footnoteRef/>
      </w:r>
      <w:r>
        <w:t xml:space="preserve"> BEAD NOFO, p</w:t>
      </w:r>
      <w:r w:rsidR="00EE5598">
        <w:t>p</w:t>
      </w:r>
      <w:r>
        <w:t>.</w:t>
      </w:r>
      <w:r w:rsidR="00EE5598">
        <w:t xml:space="preserve"> </w:t>
      </w:r>
      <w:r>
        <w:t>53</w:t>
      </w:r>
      <w:r w:rsidR="00EE5598">
        <w:t>-54</w:t>
      </w:r>
      <w:r>
        <w:t>.</w:t>
      </w:r>
    </w:p>
  </w:footnote>
  <w:footnote w:id="23">
    <w:p w:rsidR="00E128CD" w:rsidP="00E128CD" w:rsidRDefault="00E128CD" w14:paraId="39C4D5E4" w14:textId="7E6A7EC8">
      <w:pPr>
        <w:pStyle w:val="FootnoteText"/>
      </w:pPr>
      <w:r>
        <w:rPr>
          <w:rStyle w:val="FootnoteReference"/>
        </w:rPr>
        <w:footnoteRef/>
      </w:r>
      <w:r>
        <w:t xml:space="preserve"> A table identifying ADECA’s current and potential future partners in the development and implementation of its BEAD efforts can be found in Section 3.2 of the Five-Year Action Plan.</w:t>
      </w:r>
      <w:r w:rsidR="007C3137">
        <w:t xml:space="preserve"> In addition, </w:t>
      </w:r>
      <w:r w:rsidR="005F601F">
        <w:t>Section 3.</w:t>
      </w:r>
      <w:r w:rsidR="00E27B63">
        <w:t xml:space="preserve">3 </w:t>
      </w:r>
      <w:r w:rsidR="005F601F">
        <w:t xml:space="preserve">of the Five-Year Action Plan contains </w:t>
      </w:r>
      <w:r w:rsidR="007C3137">
        <w:t xml:space="preserve">tables identifying </w:t>
      </w:r>
      <w:r w:rsidR="001B1C48">
        <w:t xml:space="preserve">state entities with existing broadband deployment, </w:t>
      </w:r>
      <w:r w:rsidR="005F601F">
        <w:t>adoption, affordability</w:t>
      </w:r>
      <w:r w:rsidR="00C358B0">
        <w:t>, access, and digital opportunity assets.</w:t>
      </w:r>
    </w:p>
    <w:p w:rsidR="00E128CD" w:rsidRDefault="00E128CD" w14:paraId="7C26BE75" w14:textId="4F4E6E49">
      <w:pPr>
        <w:pStyle w:val="FootnoteText"/>
      </w:pPr>
    </w:p>
  </w:footnote>
  <w:footnote w:id="24">
    <w:p w:rsidR="00471AD0" w:rsidRDefault="00471AD0" w14:paraId="53631215" w14:textId="189E4A39">
      <w:pPr>
        <w:pStyle w:val="FootnoteText"/>
      </w:pPr>
      <w:r>
        <w:rPr>
          <w:rStyle w:val="FootnoteReference"/>
        </w:rPr>
        <w:footnoteRef/>
      </w:r>
      <w:r>
        <w:t xml:space="preserve"> More information on ADECA’s Tribal engagement efforts can be found in Section 5.1.2 of the Five-Year Action Plan and Section 4.1.5.1 of the Alabama Statewide Digital Opportunity Plan.</w:t>
      </w:r>
    </w:p>
  </w:footnote>
  <w:footnote w:id="25">
    <w:p w:rsidR="00EC0DBC" w:rsidRDefault="00EC0DBC" w14:paraId="5128035F" w14:textId="49265B0E">
      <w:pPr>
        <w:pStyle w:val="FootnoteText"/>
      </w:pPr>
      <w:r>
        <w:rPr>
          <w:rStyle w:val="FootnoteReference"/>
        </w:rPr>
        <w:footnoteRef/>
      </w:r>
      <w:r>
        <w:t xml:space="preserve"> </w:t>
      </w:r>
      <w:r w:rsidR="000F2955">
        <w:t>The question</w:t>
      </w:r>
      <w:r w:rsidR="008C0001">
        <w:t>naires can be found in Appendix E of the Five-Year Action Plan.</w:t>
      </w:r>
    </w:p>
  </w:footnote>
  <w:footnote w:id="26">
    <w:p w:rsidR="001C1B06" w:rsidRDefault="001C1B06" w14:paraId="520C0896" w14:textId="5EB2FDAE">
      <w:pPr>
        <w:pStyle w:val="FootnoteText"/>
      </w:pPr>
      <w:r>
        <w:rPr>
          <w:rStyle w:val="FootnoteReference"/>
        </w:rPr>
        <w:footnoteRef/>
      </w:r>
      <w:r>
        <w:t xml:space="preserve"> “Broadband Alabama Mailing List,” </w:t>
      </w:r>
      <w:r w:rsidR="005A3A3E">
        <w:t xml:space="preserve">ADECA, </w:t>
      </w:r>
      <w:hyperlink w:history="1" r:id="rId9">
        <w:r w:rsidRPr="00864384">
          <w:rPr>
            <w:rStyle w:val="Hyperlink"/>
          </w:rPr>
          <w:t>https://adeca.alabama.gov/broadband-alabama-mailing-list/</w:t>
        </w:r>
      </w:hyperlink>
      <w:r>
        <w:t>.</w:t>
      </w:r>
    </w:p>
  </w:footnote>
  <w:footnote w:id="27">
    <w:p w:rsidR="005679EC" w:rsidP="005679EC" w:rsidRDefault="005679EC" w14:paraId="61CFFDA5" w14:textId="599F444E">
      <w:pPr>
        <w:pStyle w:val="FootnoteText"/>
      </w:pPr>
      <w:r>
        <w:rPr>
          <w:rStyle w:val="FootnoteReference"/>
        </w:rPr>
        <w:footnoteRef/>
      </w:r>
      <w:r w:rsidR="001C1B06">
        <w:t xml:space="preserve"> </w:t>
      </w:r>
      <w:r>
        <w:t>“</w:t>
      </w:r>
      <w:r w:rsidRPr="00F5021D">
        <w:t>Broadband Webinars and Workshops</w:t>
      </w:r>
      <w:r>
        <w:t xml:space="preserve">,” </w:t>
      </w:r>
      <w:r w:rsidDel="001C1B06">
        <w:t xml:space="preserve">ADECA, </w:t>
      </w:r>
      <w:hyperlink w:history="1" r:id="rId10">
        <w:r w:rsidRPr="001C1B06" w:rsidR="001C1B06">
          <w:rPr>
            <w:rStyle w:val="Hyperlink"/>
          </w:rPr>
          <w:t>https://adeca.alabama.gov/broadband-webinars-and-workshops/</w:t>
        </w:r>
      </w:hyperlink>
      <w:r>
        <w:t xml:space="preserve">. </w:t>
      </w:r>
    </w:p>
  </w:footnote>
  <w:footnote w:id="28">
    <w:p w:rsidR="006442D2" w:rsidRDefault="006442D2" w14:paraId="165F922C" w14:textId="4FC75ECE">
      <w:pPr>
        <w:pStyle w:val="FootnoteText"/>
      </w:pPr>
      <w:r>
        <w:rPr>
          <w:rStyle w:val="FootnoteReference"/>
        </w:rPr>
        <w:footnoteRef/>
      </w:r>
      <w:r w:rsidR="00625F4D">
        <w:t xml:space="preserve"> </w:t>
      </w:r>
      <w:r w:rsidR="00C9542A">
        <w:t>“</w:t>
      </w:r>
      <w:r w:rsidR="00625F4D">
        <w:t>Alabama Statewide Digital Opportunity Plan,</w:t>
      </w:r>
      <w:r w:rsidR="00C9542A">
        <w:t>”</w:t>
      </w:r>
      <w:r w:rsidR="00625F4D">
        <w:t xml:space="preserve"> </w:t>
      </w:r>
      <w:r w:rsidR="00C9542A">
        <w:t>ADECA</w:t>
      </w:r>
      <w:r w:rsidR="00625F4D">
        <w:t xml:space="preserve">, </w:t>
      </w:r>
      <w:hyperlink w:history="1" r:id="rId11">
        <w:r w:rsidRPr="00F24977" w:rsidR="00015F95">
          <w:rPr>
            <w:rStyle w:val="Hyperlink"/>
          </w:rPr>
          <w:t>https://adeca.alabama.gov/asdop/</w:t>
        </w:r>
      </w:hyperlink>
      <w:r w:rsidR="00015F95">
        <w:t xml:space="preserve">. </w:t>
      </w:r>
    </w:p>
  </w:footnote>
  <w:footnote w:id="29">
    <w:p w:rsidR="005679EC" w:rsidP="005679EC" w:rsidRDefault="005679EC" w14:paraId="03428ACC" w14:textId="77777777">
      <w:pPr>
        <w:pStyle w:val="FootnoteText"/>
      </w:pPr>
      <w:r>
        <w:rPr>
          <w:rStyle w:val="FootnoteReference"/>
        </w:rPr>
        <w:footnoteRef/>
      </w:r>
      <w:r>
        <w:t xml:space="preserve"> Student Freedom Initiative, </w:t>
      </w:r>
      <w:hyperlink w:history="1" r:id="rId12">
        <w:r w:rsidRPr="00D12D1E">
          <w:rPr>
            <w:rStyle w:val="Hyperlink"/>
          </w:rPr>
          <w:t>https://studentfreedominitiative.org/</w:t>
        </w:r>
      </w:hyperlink>
      <w:r>
        <w:t>.</w:t>
      </w:r>
    </w:p>
  </w:footnote>
  <w:footnote w:id="30">
    <w:p w:rsidR="00550BF0" w:rsidRDefault="00550BF0" w14:paraId="53431224" w14:textId="412467DE">
      <w:pPr>
        <w:pStyle w:val="FootnoteText"/>
      </w:pPr>
      <w:r>
        <w:rPr>
          <w:rStyle w:val="FootnoteReference"/>
        </w:rPr>
        <w:footnoteRef/>
      </w:r>
      <w:r w:rsidR="001E2265">
        <w:t xml:space="preserve"> The </w:t>
      </w:r>
      <w:r w:rsidR="00862E22">
        <w:t>Alabama Statewide Digital Opportunity</w:t>
      </w:r>
      <w:r w:rsidR="001E2265">
        <w:t xml:space="preserve"> Plan includes a broadband and digital equity community briefing about HBCU communities in Alabama as Appendix G.</w:t>
      </w:r>
    </w:p>
  </w:footnote>
  <w:footnote w:id="31">
    <w:p w:rsidR="005679EC" w:rsidP="005679EC" w:rsidRDefault="005679EC" w14:paraId="09CF8777" w14:textId="77777777">
      <w:pPr>
        <w:pStyle w:val="FootnoteText"/>
      </w:pPr>
      <w:r>
        <w:rPr>
          <w:rStyle w:val="FootnoteReference"/>
        </w:rPr>
        <w:footnoteRef/>
      </w:r>
      <w:r>
        <w:t xml:space="preserve"> Choosing to Help Others in Our Community Excel, </w:t>
      </w:r>
      <w:hyperlink w:history="1" r:id="rId13">
        <w:r w:rsidRPr="00D12D1E">
          <w:rPr>
            <w:rStyle w:val="Hyperlink"/>
          </w:rPr>
          <w:t>https://choiceuniontown.org/</w:t>
        </w:r>
      </w:hyperlink>
      <w:r>
        <w:t>.</w:t>
      </w:r>
    </w:p>
  </w:footnote>
  <w:footnote w:id="32">
    <w:p w:rsidR="005679EC" w:rsidP="005679EC" w:rsidRDefault="005679EC" w14:paraId="798C986C" w14:textId="77777777">
      <w:pPr>
        <w:pStyle w:val="FootnoteText"/>
      </w:pPr>
      <w:r>
        <w:rPr>
          <w:rStyle w:val="FootnoteReference"/>
        </w:rPr>
        <w:footnoteRef/>
      </w:r>
      <w:r>
        <w:t xml:space="preserve"> “Broadband Expansion in Alabama: Make Your Voice Heard,” AARP, </w:t>
      </w:r>
      <w:hyperlink w:history="1" r:id="rId14">
        <w:r w:rsidRPr="00D12D1E">
          <w:rPr>
            <w:rStyle w:val="Hyperlink"/>
          </w:rPr>
          <w:t>https://states.aarp.org/alabama/broadband-expansion-in-alabama-make-your-voice-heard</w:t>
        </w:r>
      </w:hyperlink>
      <w:r>
        <w:t>.</w:t>
      </w:r>
    </w:p>
  </w:footnote>
  <w:footnote w:id="33">
    <w:p w:rsidR="005679EC" w:rsidP="005679EC" w:rsidRDefault="005679EC" w14:paraId="21C07048" w14:textId="5CBD2D60">
      <w:pPr>
        <w:pStyle w:val="FootnoteText"/>
      </w:pPr>
      <w:r>
        <w:rPr>
          <w:rStyle w:val="FootnoteReference"/>
        </w:rPr>
        <w:footnoteRef/>
      </w:r>
      <w:r>
        <w:t xml:space="preserve"> “Map of Indian Lands in the United States,” Bureau of Indian Affairs, </w:t>
      </w:r>
      <w:hyperlink w:history="1" r:id="rId15">
        <w:r w:rsidRPr="004F1959">
          <w:rPr>
            <w:rStyle w:val="Hyperlink"/>
          </w:rPr>
          <w:t>https://www.doi.gov/sites/doi.gov/files/uploads/12_bia_regions.pdf</w:t>
        </w:r>
      </w:hyperlink>
      <w:r>
        <w:t xml:space="preserve">. </w:t>
      </w:r>
    </w:p>
  </w:footnote>
  <w:footnote w:id="34">
    <w:p w:rsidR="005679EC" w:rsidP="005679EC" w:rsidRDefault="005679EC" w14:paraId="134B22C9" w14:textId="3C6A84F6">
      <w:pPr>
        <w:pStyle w:val="FootnoteText"/>
      </w:pPr>
      <w:r>
        <w:rPr>
          <w:rStyle w:val="FootnoteReference"/>
        </w:rPr>
        <w:footnoteRef/>
      </w:r>
      <w:r>
        <w:t xml:space="preserve"> “</w:t>
      </w:r>
      <w:r w:rsidR="00211A82">
        <w:t>Tribal Map</w:t>
      </w:r>
      <w:r>
        <w:t>,” State of Alabama Indian Affairs Commission,</w:t>
      </w:r>
      <w:r w:rsidRPr="00211A82" w:rsidR="00211A82">
        <w:t xml:space="preserve"> </w:t>
      </w:r>
      <w:hyperlink w:history="1" r:id="rId16">
        <w:r w:rsidRPr="00662F33" w:rsidR="00211A82">
          <w:rPr>
            <w:rStyle w:val="Hyperlink"/>
          </w:rPr>
          <w:t>https://aiac.alabama.gov/Tribal-Map.aspx</w:t>
        </w:r>
      </w:hyperlink>
      <w:r w:rsidR="00211A82">
        <w:t>.</w:t>
      </w:r>
      <w:r>
        <w:t xml:space="preserve"> </w:t>
      </w:r>
    </w:p>
  </w:footnote>
  <w:footnote w:id="35">
    <w:p w:rsidR="00C35F2C" w:rsidRDefault="00C35F2C" w14:paraId="7051F904" w14:textId="6ABFF32B">
      <w:pPr>
        <w:pStyle w:val="FootnoteText"/>
      </w:pPr>
      <w:r>
        <w:rPr>
          <w:rStyle w:val="FootnoteReference"/>
        </w:rPr>
        <w:footnoteRef/>
      </w:r>
      <w:r>
        <w:t xml:space="preserve"> </w:t>
      </w:r>
      <w:r w:rsidRPr="00B26366">
        <w:rPr>
          <w:rFonts w:eastAsia="Times New Roman" w:cs="Calibri"/>
          <w:color w:val="242424"/>
        </w:rPr>
        <w:t xml:space="preserve">ADECA </w:t>
      </w:r>
      <w:r>
        <w:rPr>
          <w:rFonts w:eastAsia="Times New Roman" w:cs="Calibri"/>
          <w:color w:val="242424"/>
        </w:rPr>
        <w:t xml:space="preserve">employee reviewers </w:t>
      </w:r>
      <w:r w:rsidRPr="00B26366">
        <w:rPr>
          <w:rFonts w:eastAsia="Times New Roman" w:cs="Calibri"/>
          <w:color w:val="242424"/>
        </w:rPr>
        <w:t>also will be subject to applicable federal and state conflict of interest laws.</w:t>
      </w:r>
    </w:p>
  </w:footnote>
  <w:footnote w:id="36">
    <w:p w:rsidR="00B1275E" w:rsidRDefault="00B1275E" w14:paraId="7CFA74AB" w14:textId="46BC99D5">
      <w:pPr>
        <w:pStyle w:val="FootnoteText"/>
      </w:pPr>
      <w:r>
        <w:rPr>
          <w:rStyle w:val="FootnoteReference"/>
        </w:rPr>
        <w:footnoteRef/>
      </w:r>
      <w:r>
        <w:t xml:space="preserve"> BEAD NOFO, p. 14.</w:t>
      </w:r>
    </w:p>
  </w:footnote>
  <w:footnote w:id="37">
    <w:p w:rsidR="008C6759" w:rsidRDefault="008C6759" w14:paraId="49E4194E" w14:textId="45174215">
      <w:pPr>
        <w:pStyle w:val="FootnoteText"/>
      </w:pPr>
      <w:r>
        <w:rPr>
          <w:rStyle w:val="FootnoteReference"/>
        </w:rPr>
        <w:footnoteRef/>
      </w:r>
      <w:r w:rsidR="007036DD">
        <w:t xml:space="preserve"> “Alabama Broadband Map,” </w:t>
      </w:r>
      <w:r w:rsidR="00D92BC0">
        <w:t xml:space="preserve">ADECA, </w:t>
      </w:r>
      <w:hyperlink w:history="1" r:id="rId17">
        <w:r w:rsidRPr="00F24977" w:rsidR="009F3715">
          <w:rPr>
            <w:rStyle w:val="Hyperlink"/>
          </w:rPr>
          <w:t>https://broadband.alabama.gov/broadband-maps/</w:t>
        </w:r>
      </w:hyperlink>
      <w:r w:rsidR="009F3715">
        <w:t xml:space="preserve">; “Broadband Alabama Mailing List,” </w:t>
      </w:r>
      <w:r w:rsidR="00D92BC0">
        <w:t xml:space="preserve">ADECA, </w:t>
      </w:r>
      <w:hyperlink w:history="1" r:id="rId18">
        <w:r w:rsidRPr="00F24977" w:rsidR="009F3715">
          <w:rPr>
            <w:rStyle w:val="Hyperlink"/>
          </w:rPr>
          <w:t>https://adeca.alabama.gov/broadband-alabama-mailing-list/</w:t>
        </w:r>
      </w:hyperlink>
      <w:r w:rsidR="009F3715">
        <w:t xml:space="preserve">. </w:t>
      </w:r>
    </w:p>
  </w:footnote>
  <w:footnote w:id="38">
    <w:p w:rsidR="00FD173D" w:rsidP="00FD173D" w:rsidRDefault="00FD173D" w14:paraId="52261963" w14:textId="2191383E">
      <w:pPr>
        <w:pStyle w:val="FootnoteText"/>
      </w:pPr>
      <w:r>
        <w:rPr>
          <w:rStyle w:val="FootnoteReference"/>
        </w:rPr>
        <w:footnoteRef/>
      </w:r>
      <w:r>
        <w:t xml:space="preserve"> According to the</w:t>
      </w:r>
      <w:r w:rsidR="00FC47AB">
        <w:t xml:space="preserve"> BEAD NOFO</w:t>
      </w:r>
      <w:r>
        <w:t>, “the term ‘Priority Broadband Project’ means a project that will provision service via end-to-end fiber-optic facilities to each end-user premises</w:t>
      </w:r>
      <w:r w:rsidR="00FB473C">
        <w:t>.</w:t>
      </w:r>
      <w:r>
        <w:t xml:space="preserve">” </w:t>
      </w:r>
      <w:r w:rsidR="001423F4">
        <w:t xml:space="preserve">BEAD NOFO, p. 14. </w:t>
      </w:r>
      <w:r>
        <w:t xml:space="preserve">The </w:t>
      </w:r>
      <w:r w:rsidR="00EC6A3E">
        <w:t>BEAD NOFO further</w:t>
      </w:r>
      <w:r>
        <w:t xml:space="preserve"> provide</w:t>
      </w:r>
      <w:r w:rsidR="00EC6A3E">
        <w:t>s</w:t>
      </w:r>
      <w:r>
        <w:t xml:space="preserve"> that projects can only be funded with alternative technologies if the costs for fiber-to-the-premises exceed a cost threshold (known as the “Extremely High Cost Per Location Threshold”) that is calculated to enable all unserved locations to receive service with the available BEAD funding. </w:t>
      </w:r>
      <w:r w:rsidR="000E1ACE">
        <w:rPr>
          <w:i/>
          <w:iCs/>
        </w:rPr>
        <w:t xml:space="preserve">Id. </w:t>
      </w:r>
      <w:r w:rsidR="000E1ACE">
        <w:t xml:space="preserve">at </w:t>
      </w:r>
      <w:r w:rsidR="00E15D11">
        <w:t>35-46</w:t>
      </w:r>
      <w:r w:rsidR="001C21F6">
        <w:t xml:space="preserve">. </w:t>
      </w:r>
      <w:r>
        <w:t xml:space="preserve">States may decline to fund fiber-to-the-premises only in the event that the costs exceed the Extremely High Cost Per Location Threshold and the alternative approach is approved by NTIA. </w:t>
      </w:r>
      <w:r w:rsidR="001C21F6">
        <w:rPr>
          <w:i/>
          <w:iCs/>
        </w:rPr>
        <w:t>Id.</w:t>
      </w:r>
    </w:p>
  </w:footnote>
  <w:footnote w:id="39">
    <w:p w:rsidRPr="00C61D2B" w:rsidR="00816EC5" w:rsidRDefault="00816EC5" w14:paraId="23F97410" w14:textId="2B8BE034">
      <w:pPr>
        <w:pStyle w:val="FootnoteText"/>
      </w:pPr>
      <w:r>
        <w:rPr>
          <w:rStyle w:val="FootnoteReference"/>
        </w:rPr>
        <w:footnoteRef/>
      </w:r>
      <w:r>
        <w:t xml:space="preserve"> </w:t>
      </w:r>
      <w:r w:rsidR="00C61D2B">
        <w:rPr>
          <w:i/>
          <w:iCs/>
        </w:rPr>
        <w:t>See, e.g.</w:t>
      </w:r>
      <w:r w:rsidR="00C61D2B">
        <w:t>, “Alabama Broadband Accessibility Fund Grant Application and Implementation,”</w:t>
      </w:r>
      <w:r w:rsidR="00C90B0C">
        <w:t xml:space="preserve"> </w:t>
      </w:r>
      <w:r w:rsidR="003B5512">
        <w:t xml:space="preserve">ADECA, </w:t>
      </w:r>
      <w:hyperlink w:history="1" r:id="rId19">
        <w:r w:rsidRPr="00F24977" w:rsidR="00C90B0C">
          <w:rPr>
            <w:rStyle w:val="Hyperlink"/>
          </w:rPr>
          <w:t>https://adeca.alabama.gov/grant-application-and-implementation/</w:t>
        </w:r>
      </w:hyperlink>
      <w:r w:rsidR="00C90B0C">
        <w:t xml:space="preserve">; “Alabama Capital Projects Fund,” </w:t>
      </w:r>
      <w:r w:rsidR="003B5512">
        <w:t xml:space="preserve">ADECA, </w:t>
      </w:r>
      <w:hyperlink w:history="1" r:id="rId20">
        <w:r w:rsidRPr="00F24977" w:rsidR="00C15B4E">
          <w:rPr>
            <w:rStyle w:val="Hyperlink"/>
          </w:rPr>
          <w:t>https://adeca.alabama.gov/alcapitalprojectsfund/</w:t>
        </w:r>
      </w:hyperlink>
      <w:r w:rsidR="00C15B4E">
        <w:t xml:space="preserve">; “Alabama Anchor Institution/Middle-Mile Program,” </w:t>
      </w:r>
      <w:r w:rsidR="003B5512">
        <w:t xml:space="preserve">ADECA, </w:t>
      </w:r>
      <w:hyperlink w:history="1" r:id="rId21">
        <w:r w:rsidRPr="00F24977" w:rsidR="00566CA5">
          <w:rPr>
            <w:rStyle w:val="Hyperlink"/>
          </w:rPr>
          <w:t>https://adeca.alabama.gov/alanchormiddlemile/</w:t>
        </w:r>
      </w:hyperlink>
      <w:r w:rsidR="00566CA5">
        <w:t xml:space="preserve">. </w:t>
      </w:r>
    </w:p>
  </w:footnote>
  <w:footnote w:id="40">
    <w:p w:rsidR="004B0FF9" w:rsidRDefault="004B0FF9" w14:paraId="62A210AE" w14:textId="77777777">
      <w:pPr>
        <w:pStyle w:val="FootnoteText"/>
      </w:pPr>
      <w:r>
        <w:rPr>
          <w:rStyle w:val="FootnoteReference"/>
        </w:rPr>
        <w:footnoteRef/>
      </w:r>
      <w:r>
        <w:t xml:space="preserve"> BEAD NOFO, p. </w:t>
      </w:r>
      <w:r w:rsidR="00015E20">
        <w:t>44-46.</w:t>
      </w:r>
    </w:p>
  </w:footnote>
  <w:footnote w:id="41">
    <w:p w:rsidR="00313E49" w:rsidRDefault="00313E49" w14:paraId="6FBAB79A" w14:textId="6344123C">
      <w:pPr>
        <w:pStyle w:val="FootnoteText"/>
      </w:pPr>
      <w:r>
        <w:rPr>
          <w:rStyle w:val="FootnoteReference"/>
        </w:rPr>
        <w:footnoteRef/>
      </w:r>
      <w:r>
        <w:t xml:space="preserve"> </w:t>
      </w:r>
      <w:r w:rsidRPr="00430182" w:rsidR="00430182">
        <w:t xml:space="preserve">The </w:t>
      </w:r>
      <w:r w:rsidR="004F59E6">
        <w:t>s</w:t>
      </w:r>
      <w:r w:rsidRPr="00430182" w:rsidR="00430182">
        <w:t>tate modeled its grant-funded deployment options using a Python-based predictive grant funding analysis tool that leverages highly</w:t>
      </w:r>
      <w:r w:rsidR="00B81519">
        <w:t>-</w:t>
      </w:r>
      <w:r w:rsidRPr="00430182" w:rsidR="00430182">
        <w:t>customizable modules for fiber infrastructure design, RF coverage modeling, cost estimation, and financial modeling powered by hyperscale cloud computers to generate outcomes for hundreds of technology mix iterations and cost structures.</w:t>
      </w:r>
    </w:p>
  </w:footnote>
  <w:footnote w:id="42">
    <w:p w:rsidR="00273A24" w:rsidRDefault="00273A24" w14:paraId="5E5320A0" w14:textId="31F88B30">
      <w:pPr>
        <w:pStyle w:val="FootnoteText"/>
      </w:pPr>
      <w:r>
        <w:rPr>
          <w:rStyle w:val="FootnoteReference"/>
        </w:rPr>
        <w:footnoteRef/>
      </w:r>
      <w:r>
        <w:t xml:space="preserve"> </w:t>
      </w:r>
      <w:r w:rsidR="00D5773D">
        <w:t>See, e.g., NOFO p.35, “NTIA recognizes that there may be a</w:t>
      </w:r>
      <w:r w:rsidR="0062737B">
        <w:t xml:space="preserve"> variety of competitive processes Eligible Entities might use to select sub</w:t>
      </w:r>
      <w:r w:rsidR="00E61CF8">
        <w:t>grantees and does not mandate any specific approach.”</w:t>
      </w:r>
    </w:p>
  </w:footnote>
  <w:footnote w:id="43">
    <w:p w:rsidR="006B177D" w:rsidRDefault="006B177D" w14:paraId="00D2FC86" w14:textId="36D62086">
      <w:pPr>
        <w:pStyle w:val="FootnoteText"/>
      </w:pPr>
      <w:r>
        <w:rPr>
          <w:rStyle w:val="FootnoteReference"/>
        </w:rPr>
        <w:footnoteRef/>
      </w:r>
      <w:r>
        <w:t xml:space="preserve"> </w:t>
      </w:r>
      <w:r w:rsidR="009F4FC1">
        <w:t xml:space="preserve">BEAD NOFO, pp. </w:t>
      </w:r>
      <w:r w:rsidR="00FD72A9">
        <w:t>42-46.</w:t>
      </w:r>
    </w:p>
  </w:footnote>
  <w:footnote w:id="44">
    <w:p w:rsidR="00FD173D" w:rsidP="00FD173D" w:rsidRDefault="00FD173D" w14:paraId="1AA8C9E7" w14:textId="467D553F">
      <w:pPr>
        <w:pStyle w:val="FootnoteText"/>
      </w:pPr>
      <w:r>
        <w:rPr>
          <w:rStyle w:val="FootnoteReference"/>
        </w:rPr>
        <w:footnoteRef/>
      </w:r>
      <w:r>
        <w:t xml:space="preserve"> NTIA’s guidance documents provide detail regarding NTIA’s scoring requirements for these two types of projects</w:t>
      </w:r>
      <w:r w:rsidR="00400D16">
        <w:t>; see,</w:t>
      </w:r>
      <w:r>
        <w:t xml:space="preserve"> </w:t>
      </w:r>
      <w:r w:rsidR="00A15EC8">
        <w:t xml:space="preserve">“BEAD Program Initial Proposal Guidance,” NTIA, October 2023, </w:t>
      </w:r>
      <w:hyperlink w:history="1" r:id="rId22">
        <w:r w:rsidRPr="00A12F43" w:rsidR="00A15EC8">
          <w:rPr>
            <w:rStyle w:val="Hyperlink"/>
          </w:rPr>
          <w:t>https://broadbandusa.ntia.doc.gov/sites/default/files/2023-10/BEAD_Initial_Proposal_Guidance_Volumes_I_II_10-2023.pdf</w:t>
        </w:r>
      </w:hyperlink>
      <w:r w:rsidR="00A15EC8">
        <w:t>.</w:t>
      </w:r>
      <w:r w:rsidDel="00A15EC8">
        <w:t xml:space="preserve"> </w:t>
      </w:r>
    </w:p>
  </w:footnote>
  <w:footnote w:id="45">
    <w:p w:rsidR="001D4659" w:rsidRDefault="001D4659" w14:paraId="511917A1" w14:textId="5E4105F6">
      <w:pPr>
        <w:pStyle w:val="FootnoteText"/>
      </w:pPr>
      <w:r>
        <w:rPr>
          <w:rStyle w:val="FootnoteReference"/>
        </w:rPr>
        <w:footnoteRef/>
      </w:r>
      <w:r>
        <w:t xml:space="preserve"> Alabama Statewide Digital Opportunity Plan, </w:t>
      </w:r>
      <w:r w:rsidR="00B369EB">
        <w:t xml:space="preserve">Section </w:t>
      </w:r>
      <w:r w:rsidR="00B369EB">
        <w:t>3.2</w:t>
      </w:r>
      <w:r w:rsidR="00E3153B">
        <w:t xml:space="preserve"> and </w:t>
      </w:r>
      <w:r w:rsidR="00F94F97">
        <w:t>Appendix D.</w:t>
      </w:r>
    </w:p>
  </w:footnote>
  <w:footnote w:id="46">
    <w:p w:rsidR="00A87482" w:rsidRDefault="00A87482" w14:paraId="0459FEEA" w14:textId="43DA9039">
      <w:pPr>
        <w:pStyle w:val="FootnoteText"/>
      </w:pPr>
      <w:r>
        <w:rPr>
          <w:rStyle w:val="FootnoteReference"/>
        </w:rPr>
        <w:footnoteRef/>
      </w:r>
      <w:r>
        <w:t xml:space="preserve"> “Alabama </w:t>
      </w:r>
      <w:r w:rsidR="0022439C">
        <w:t xml:space="preserve">Anchor Institution/Middle-Mile Program,” </w:t>
      </w:r>
      <w:r w:rsidR="00832601">
        <w:t xml:space="preserve">ADECA, </w:t>
      </w:r>
      <w:hyperlink w:history="1" r:id="rId23">
        <w:r w:rsidRPr="003E1B4D" w:rsidR="006B6983">
          <w:rPr>
            <w:rStyle w:val="Hyperlink"/>
          </w:rPr>
          <w:t>https://adeca.alabama.gov/alanchormiddlemile/</w:t>
        </w:r>
      </w:hyperlink>
      <w:r w:rsidR="006B6983">
        <w:t xml:space="preserve">. </w:t>
      </w:r>
    </w:p>
  </w:footnote>
  <w:footnote w:id="47">
    <w:p w:rsidR="00E5058C" w:rsidRDefault="00E5058C" w14:paraId="03E496E8" w14:textId="5DC84E35">
      <w:pPr>
        <w:pStyle w:val="FootnoteText"/>
      </w:pPr>
      <w:r>
        <w:rPr>
          <w:rStyle w:val="FootnoteReference"/>
        </w:rPr>
        <w:footnoteRef/>
      </w:r>
      <w:r>
        <w:t xml:space="preserve"> </w:t>
      </w:r>
      <w:r w:rsidR="004F6602">
        <w:t>BEAD NOFO, pp. 39-40.</w:t>
      </w:r>
    </w:p>
  </w:footnote>
  <w:footnote w:id="48">
    <w:p w:rsidR="002122E4" w:rsidRDefault="002122E4" w14:paraId="6DD867A6" w14:textId="43848D36">
      <w:pPr>
        <w:pStyle w:val="FootnoteText"/>
      </w:pPr>
      <w:r>
        <w:rPr>
          <w:rStyle w:val="FootnoteReference"/>
        </w:rPr>
        <w:footnoteRef/>
      </w:r>
      <w:r>
        <w:t xml:space="preserve"> </w:t>
      </w:r>
      <w:r w:rsidR="00C94E72">
        <w:t>Five-Year Action Plan, Section 5.</w:t>
      </w:r>
    </w:p>
  </w:footnote>
  <w:footnote w:id="49">
    <w:p w:rsidR="004830B5" w:rsidP="004830B5" w:rsidRDefault="004830B5" w14:paraId="3438FB14" w14:textId="7513BCC1">
      <w:pPr>
        <w:pStyle w:val="FootnoteText"/>
      </w:pPr>
      <w:r>
        <w:rPr>
          <w:rStyle w:val="FootnoteReference"/>
        </w:rPr>
        <w:footnoteRef/>
      </w:r>
      <w:r>
        <w:t xml:space="preserve"> “</w:t>
      </w:r>
      <w:r w:rsidRPr="00D028BE">
        <w:t>Governor Ivey Signs ‘The Game Plan’ Legislation, Strengthening Alabama’s Economic Future</w:t>
      </w:r>
      <w:r>
        <w:t>,” Office of the Governor, State of Alabama</w:t>
      </w:r>
      <w:r w:rsidR="00055C71">
        <w:t xml:space="preserve">, </w:t>
      </w:r>
      <w:r>
        <w:t xml:space="preserve">April 20, 2023, </w:t>
      </w:r>
      <w:hyperlink w:history="1" r:id="rId24">
        <w:r w:rsidRPr="00ED5DE9">
          <w:rPr>
            <w:rStyle w:val="Hyperlink"/>
          </w:rPr>
          <w:t>https://governor.alabama.gov/newsroom/2023/04/governor-ivey-signs-the-game-plan-legislation-strengthening-alabamas-economic-future/</w:t>
        </w:r>
      </w:hyperlink>
      <w:r>
        <w:t xml:space="preserve">. </w:t>
      </w:r>
    </w:p>
  </w:footnote>
  <w:footnote w:id="50">
    <w:p w:rsidR="00076FA1" w:rsidP="000769A4" w:rsidRDefault="00076FA1" w14:paraId="4D3A01EC" w14:textId="6251A16B">
      <w:pPr>
        <w:pStyle w:val="FootnoteText"/>
      </w:pPr>
      <w:r>
        <w:rPr>
          <w:rStyle w:val="FootnoteReference"/>
        </w:rPr>
        <w:footnoteRef/>
      </w:r>
      <w:r w:rsidR="00336D69">
        <w:t xml:space="preserve"> “</w:t>
      </w:r>
      <w:r w:rsidR="000769A4">
        <w:t>Limited General Applicability Nonavailability Waiver of the Buy America Domestic Content Procurement Preference as Applied to Recipients of Broadband Equity, Access, and Deployment Program</w:t>
      </w:r>
      <w:r w:rsidR="007C478F">
        <w:t>,”</w:t>
      </w:r>
      <w:r w:rsidR="00CB4EAC">
        <w:t xml:space="preserve"> </w:t>
      </w:r>
      <w:r w:rsidR="00B81D93">
        <w:t xml:space="preserve">U.S. Department of Commerce, </w:t>
      </w:r>
      <w:r w:rsidR="009236CC">
        <w:t>September 2023,</w:t>
      </w:r>
      <w:r w:rsidR="00B81D93">
        <w:t xml:space="preserve"> </w:t>
      </w:r>
      <w:hyperlink w:history="1" r:id="rId25">
        <w:r w:rsidRPr="009A44E8" w:rsidR="00CB4EAC">
          <w:rPr>
            <w:rStyle w:val="Hyperlink"/>
          </w:rPr>
          <w:t>https://www.commerce.gov/sites/default/files/2023-09/BEAD%20BABA%20Waiver%20Replacement.pdf</w:t>
        </w:r>
      </w:hyperlink>
      <w:r w:rsidR="00CB4EAC">
        <w:t xml:space="preserve">. </w:t>
      </w:r>
    </w:p>
  </w:footnote>
  <w:footnote w:id="51">
    <w:p w:rsidR="009E2B08" w:rsidRDefault="009E2B08" w14:paraId="55B6753E" w14:textId="38F4C66E">
      <w:pPr>
        <w:pStyle w:val="FootnoteText"/>
      </w:pPr>
      <w:r>
        <w:rPr>
          <w:rStyle w:val="FootnoteReference"/>
        </w:rPr>
        <w:footnoteRef/>
      </w:r>
      <w:r>
        <w:t xml:space="preserve"> BEAD NOFO, pp. 72-73.</w:t>
      </w:r>
    </w:p>
  </w:footnote>
  <w:footnote w:id="52">
    <w:p w:rsidR="00AE2653" w:rsidRDefault="00AE2653" w14:paraId="60F1A087" w14:textId="72D63152">
      <w:pPr>
        <w:pStyle w:val="FootnoteText"/>
      </w:pPr>
      <w:r>
        <w:rPr>
          <w:rStyle w:val="FootnoteReference"/>
        </w:rPr>
        <w:footnoteRef/>
      </w:r>
      <w:r>
        <w:t xml:space="preserve"> </w:t>
      </w:r>
      <w:r w:rsidR="008F033D">
        <w:t>“Notice of Programmatic Waiver</w:t>
      </w:r>
      <w:r>
        <w:t>,</w:t>
      </w:r>
      <w:r w:rsidR="008F033D">
        <w:t>”</w:t>
      </w:r>
      <w:r>
        <w:t xml:space="preserve"> NTIA,</w:t>
      </w:r>
      <w:r w:rsidR="00C3559C">
        <w:t xml:space="preserve"> </w:t>
      </w:r>
      <w:r w:rsidR="002B67A7">
        <w:t>Nov</w:t>
      </w:r>
      <w:r w:rsidR="00983838">
        <w:t>ember</w:t>
      </w:r>
      <w:r w:rsidR="002B67A7">
        <w:t xml:space="preserve"> 1, 2023, </w:t>
      </w:r>
      <w:hyperlink w:history="1" r:id="rId26">
        <w:r w:rsidRPr="00492B03" w:rsidR="002B67A7">
          <w:rPr>
            <w:rStyle w:val="Hyperlink"/>
          </w:rPr>
          <w:t>https://broadbandusa.ntia.gov/sites/default/files/2023-10/BEAD_LOC_Waiver_Notice_10.23.23.pdf</w:t>
        </w:r>
      </w:hyperlink>
      <w:r w:rsidR="002B67A7">
        <w:t xml:space="preserve">. </w:t>
      </w:r>
    </w:p>
  </w:footnote>
  <w:footnote w:id="53">
    <w:p w:rsidR="008475D6" w:rsidRDefault="008475D6" w14:paraId="791C4133" w14:textId="19DDD998">
      <w:pPr>
        <w:pStyle w:val="FootnoteText"/>
      </w:pPr>
      <w:r>
        <w:rPr>
          <w:rStyle w:val="FootnoteReference"/>
        </w:rPr>
        <w:footnoteRef/>
      </w:r>
      <w:r>
        <w:t xml:space="preserve"> </w:t>
      </w:r>
      <w:r w:rsidRPr="00833788">
        <w:rPr>
          <w:rFonts w:eastAsia="Calibri" w:cs="Calibri"/>
        </w:rPr>
        <w:t xml:space="preserve">ADECA would like to avail subgrantees of the 2 C.F.R. Part 200 exceptions and adjustments NTIA applies in the BEAD </w:t>
      </w:r>
      <w:r>
        <w:rPr>
          <w:rFonts w:eastAsia="Calibri" w:cs="Calibri"/>
        </w:rPr>
        <w:t>P</w:t>
      </w:r>
      <w:r w:rsidRPr="00833788">
        <w:rPr>
          <w:rFonts w:eastAsia="Calibri" w:cs="Calibri"/>
        </w:rPr>
        <w:t>rogram. Should any revisions to this Initial Proposal be needed to accomplish this, ADECA would like an opportunity to make those revisions</w:t>
      </w:r>
      <w:r>
        <w:rPr>
          <w:rFonts w:eastAsia="Calibri" w:cs="Calibri"/>
        </w:rPr>
        <w:t>.</w:t>
      </w:r>
    </w:p>
  </w:footnote>
  <w:footnote w:id="54">
    <w:p w:rsidR="003674FB" w:rsidRDefault="003674FB" w14:paraId="6378D767" w14:textId="3269E72B">
      <w:pPr>
        <w:pStyle w:val="FootnoteText"/>
      </w:pPr>
      <w:r>
        <w:rPr>
          <w:rStyle w:val="FootnoteReference"/>
        </w:rPr>
        <w:footnoteRef/>
      </w:r>
      <w:r>
        <w:t xml:space="preserve"> Five-Year Action Plan, Section</w:t>
      </w:r>
      <w:r w:rsidR="00FA7147">
        <w:t>s</w:t>
      </w:r>
      <w:r w:rsidR="00D369CA">
        <w:t xml:space="preserve"> 3.3.1</w:t>
      </w:r>
      <w:r w:rsidR="00FA7147">
        <w:t>, 3.3.5.</w:t>
      </w:r>
    </w:p>
  </w:footnote>
  <w:footnote w:id="55">
    <w:p w:rsidR="00D77A9D" w:rsidRDefault="00D77A9D" w14:paraId="225A76E4" w14:textId="5FCF6939">
      <w:pPr>
        <w:pStyle w:val="FootnoteText"/>
      </w:pPr>
      <w:r>
        <w:rPr>
          <w:rStyle w:val="FootnoteReference"/>
        </w:rPr>
        <w:footnoteRef/>
      </w:r>
      <w:r>
        <w:t xml:space="preserve"> As discussed in Section 5.3, applicants that </w:t>
      </w:r>
      <w:r w:rsidR="00B36197">
        <w:t xml:space="preserve">demonstrate </w:t>
      </w:r>
      <w:r>
        <w:t>a faster speed to deployment</w:t>
      </w:r>
      <w:r w:rsidR="00B36197">
        <w:t xml:space="preserve"> will receive a higher score</w:t>
      </w:r>
      <w:r w:rsidR="002D0C12">
        <w:t xml:space="preserve"> under ADECA’s proposed scoring rubric.</w:t>
      </w:r>
      <w:r>
        <w:t xml:space="preserve"> </w:t>
      </w:r>
    </w:p>
  </w:footnote>
  <w:footnote w:id="56">
    <w:p w:rsidR="00612823" w:rsidP="00080A8F" w:rsidRDefault="00612823" w14:paraId="617331F3" w14:textId="1139C2BF">
      <w:pPr>
        <w:pStyle w:val="FootnoteText"/>
      </w:pPr>
      <w:r>
        <w:rPr>
          <w:rStyle w:val="FootnoteReference"/>
        </w:rPr>
        <w:footnoteRef/>
      </w:r>
      <w:r>
        <w:t xml:space="preserve"> </w:t>
      </w:r>
      <w:r w:rsidR="003641EA">
        <w:t>ADECA would like to avail subgrantees</w:t>
      </w:r>
      <w:r w:rsidRPr="00EE7B2A" w:rsidDel="004926B5" w:rsidR="003641EA">
        <w:t xml:space="preserve"> </w:t>
      </w:r>
      <w:r w:rsidR="003641EA">
        <w:t>of the draft limited general applicability nonavailability waiver of certain BABA requirements for the BEAD Program, if adopted by the U.S. Department of Commerce</w:t>
      </w:r>
      <w:r w:rsidR="00080A8F">
        <w:t xml:space="preserve">. “Limited General Applicability Nonavailability Waiver of the Buy America Domestic Content Procurement Preference as Applied to Recipients of Broadband Equity, Access, and Deployment Program,” </w:t>
      </w:r>
      <w:r w:rsidR="00006DE7">
        <w:t>U.S. Department of Commerce,</w:t>
      </w:r>
      <w:r w:rsidR="00080A8F">
        <w:t xml:space="preserve"> </w:t>
      </w:r>
      <w:hyperlink w:history="1" r:id="rId27">
        <w:r w:rsidRPr="009A44E8" w:rsidR="00080A8F">
          <w:rPr>
            <w:rStyle w:val="Hyperlink"/>
          </w:rPr>
          <w:t>https://www.commerce.gov/sites/default/files/2023-09/BEAD%20BABA%20Waiver%20Replacement.pdf</w:t>
        </w:r>
      </w:hyperlink>
      <w:r w:rsidR="00080A8F">
        <w:t xml:space="preserve">. </w:t>
      </w:r>
      <w:r w:rsidRPr="00136298" w:rsidR="00080A8F">
        <w:rPr>
          <w:rFonts w:eastAsia="Calibri" w:cs="Calibri"/>
        </w:rPr>
        <w:t xml:space="preserve">ADECA </w:t>
      </w:r>
      <w:r w:rsidR="00080A8F">
        <w:rPr>
          <w:rFonts w:eastAsia="Calibri" w:cs="Calibri"/>
        </w:rPr>
        <w:t xml:space="preserve">also </w:t>
      </w:r>
      <w:r w:rsidRPr="00136298" w:rsidR="00080A8F">
        <w:rPr>
          <w:rFonts w:eastAsia="Calibri" w:cs="Calibri"/>
        </w:rPr>
        <w:t xml:space="preserve">would like to avail subgrantees of the 2 C.F.R. Part 200 exceptions and adjustments NTIA applies in the BEAD </w:t>
      </w:r>
      <w:r w:rsidR="00080A8F">
        <w:rPr>
          <w:rFonts w:eastAsia="Calibri" w:cs="Calibri"/>
        </w:rPr>
        <w:t>P</w:t>
      </w:r>
      <w:r w:rsidRPr="00136298" w:rsidR="00080A8F">
        <w:rPr>
          <w:rFonts w:eastAsia="Calibri" w:cs="Calibri"/>
        </w:rPr>
        <w:t>rogram. Should any revisions to this Initial Proposal be needed to accomplish this, ADECA would like an opportunity to make those revisions</w:t>
      </w:r>
      <w:r w:rsidR="00422A63">
        <w:rPr>
          <w:rFonts w:eastAsia="Calibri" w:cs="Calibri"/>
        </w:rPr>
        <w:t>.</w:t>
      </w:r>
    </w:p>
  </w:footnote>
  <w:footnote w:id="57">
    <w:p w:rsidR="007B62A2" w:rsidRDefault="007B62A2" w14:paraId="0500AA37" w14:textId="09904842">
      <w:pPr>
        <w:pStyle w:val="FootnoteText"/>
      </w:pPr>
      <w:r>
        <w:rPr>
          <w:rStyle w:val="FootnoteReference"/>
        </w:rPr>
        <w:footnoteRef/>
      </w:r>
      <w:r>
        <w:t xml:space="preserve"> </w:t>
      </w:r>
      <w:r w:rsidR="00F53CFE">
        <w:t>Such evidence may include resumes from key personnel, project descriptions and narratives from contractors, subcontractors, or other partners with relevant operational experience, or other comparable evidence</w:t>
      </w:r>
      <w:r w:rsidR="00EE125C">
        <w:t>.</w:t>
      </w:r>
    </w:p>
  </w:footnote>
  <w:footnote w:id="58">
    <w:p w:rsidR="00174BA6" w:rsidP="00174BA6" w:rsidRDefault="00174BA6" w14:paraId="27C26DB3" w14:textId="77777777">
      <w:pPr>
        <w:pStyle w:val="FootnoteText"/>
      </w:pPr>
      <w:r>
        <w:rPr>
          <w:rStyle w:val="FootnoteReference"/>
        </w:rPr>
        <w:footnoteRef/>
      </w:r>
      <w:r>
        <w:t xml:space="preserve"> BEAD NOFO, pp. 39-40.</w:t>
      </w:r>
    </w:p>
  </w:footnote>
  <w:footnote w:id="59">
    <w:p w:rsidR="00174BA6" w:rsidP="00174BA6" w:rsidRDefault="00174BA6" w14:paraId="68F7239F" w14:textId="77777777">
      <w:pPr>
        <w:pStyle w:val="FootnoteText"/>
      </w:pPr>
      <w:r>
        <w:rPr>
          <w:rStyle w:val="FootnoteReference"/>
        </w:rPr>
        <w:footnoteRef/>
      </w:r>
      <w:r>
        <w:t xml:space="preserve"> Five-Year Action Plan, Section 5.</w:t>
      </w:r>
    </w:p>
  </w:footnote>
  <w:footnote w:id="60">
    <w:p w:rsidR="00174BA6" w:rsidP="00174BA6" w:rsidRDefault="00174BA6" w14:paraId="6C1E826B" w14:textId="703F1689">
      <w:pPr>
        <w:pStyle w:val="FootnoteText"/>
      </w:pPr>
      <w:r>
        <w:rPr>
          <w:rStyle w:val="FootnoteReference"/>
        </w:rPr>
        <w:footnoteRef/>
      </w:r>
      <w:r>
        <w:t xml:space="preserve"> “</w:t>
      </w:r>
      <w:r w:rsidRPr="00D028BE">
        <w:t>Governor Ivey Signs ‘The Game Plan’ Legislation, Strengthening Alabama’s Economic Future</w:t>
      </w:r>
      <w:r>
        <w:t>,” Office of the Governor, State of Alabama</w:t>
      </w:r>
      <w:r w:rsidR="00085D3A">
        <w:t xml:space="preserve">, </w:t>
      </w:r>
      <w:r>
        <w:t xml:space="preserve">April 20, 2023, </w:t>
      </w:r>
      <w:hyperlink w:history="1" r:id="rId28">
        <w:r w:rsidRPr="00ED5DE9">
          <w:rPr>
            <w:rStyle w:val="Hyperlink"/>
          </w:rPr>
          <w:t>https://governor.alabama.gov/newsroom/2023/04/governor-ivey-signs-the-game-plan-legislation-strengthening-alabamas-economic-future/</w:t>
        </w:r>
      </w:hyperlink>
      <w:r>
        <w:t xml:space="preserve">. </w:t>
      </w:r>
    </w:p>
  </w:footnote>
  <w:footnote w:id="61">
    <w:p w:rsidR="00E81CDA" w:rsidRDefault="00E81CDA" w14:paraId="60A02361" w14:textId="2967061F">
      <w:pPr>
        <w:pStyle w:val="FootnoteText"/>
      </w:pPr>
      <w:r>
        <w:rPr>
          <w:rStyle w:val="FootnoteReference"/>
        </w:rPr>
        <w:footnoteRef/>
      </w:r>
      <w:r>
        <w:t xml:space="preserve"> </w:t>
      </w:r>
      <w:r w:rsidRPr="00EA0783" w:rsidR="00EA0783">
        <w:t xml:space="preserve">Marcela </w:t>
      </w:r>
      <w:r w:rsidRPr="00EA0783" w:rsidR="00EA0783">
        <w:t>Escobari, Dhruv Gandhi, and Sebastian Strauss</w:t>
      </w:r>
      <w:r w:rsidR="00EA0783">
        <w:t>,</w:t>
      </w:r>
      <w:r>
        <w:t xml:space="preserve"> “How Federal Infrastructure Investment Can Put America to Work</w:t>
      </w:r>
      <w:r w:rsidR="00582AF2">
        <w:t>,</w:t>
      </w:r>
      <w:r>
        <w:t>”</w:t>
      </w:r>
      <w:r w:rsidR="00582AF2">
        <w:t xml:space="preserve"> Brookings Institution (</w:t>
      </w:r>
      <w:r w:rsidR="00253F85">
        <w:t>March 17, 2021),</w:t>
      </w:r>
      <w:r>
        <w:t xml:space="preserve"> </w:t>
      </w:r>
      <w:hyperlink w:history="1" r:id="rId29">
        <w:r w:rsidRPr="008A34E0" w:rsidR="00253F85">
          <w:rPr>
            <w:rStyle w:val="Hyperlink"/>
          </w:rPr>
          <w:t>https://www.brookings.edu/research/how-federal-infrastructure-investment-can-put-america-to-work/</w:t>
        </w:r>
      </w:hyperlink>
      <w:r w:rsidR="00773552">
        <w:t xml:space="preserve"> (2021 Brookings Institution Report).</w:t>
      </w:r>
      <w:r>
        <w:t xml:space="preserve"> These industries were originally identified by Pollin, et. al. in the October 2020 report, “Impacts of the Reimagine Appalachia &amp; Clean Energy Transition Programs for Ohio” from the Political Economy Research Institute at the University of Massachusetts, Amherst</w:t>
      </w:r>
      <w:r w:rsidR="00C7184A">
        <w:t xml:space="preserve">, </w:t>
      </w:r>
      <w:hyperlink r:id="rId30">
        <w:r>
          <w:rPr>
            <w:color w:val="0563C1"/>
            <w:u w:val="single"/>
          </w:rPr>
          <w:t>https://reimagineappalachia.org/wp-content/uploads/2020/10/Pollin-et-al-OHIO-Reimagine-Appalachia-and-Clean-Energy-Programs-10-19-20.pdf</w:t>
        </w:r>
      </w:hyperlink>
      <w:r w:rsidR="009E4FC3">
        <w:t>.</w:t>
      </w:r>
    </w:p>
  </w:footnote>
  <w:footnote w:id="62">
    <w:p w:rsidR="00E81CDA" w:rsidRDefault="00E81CDA" w14:paraId="403771FC" w14:textId="3D93E51E">
      <w:pPr>
        <w:pStyle w:val="FootnoteText"/>
      </w:pPr>
      <w:r>
        <w:rPr>
          <w:rStyle w:val="FootnoteReference"/>
        </w:rPr>
        <w:footnoteRef/>
      </w:r>
      <w:r>
        <w:t xml:space="preserve"> </w:t>
      </w:r>
      <w:r>
        <w:t xml:space="preserve">Lightcast, </w:t>
      </w:r>
      <w:hyperlink r:id="rId31">
        <w:r>
          <w:rPr>
            <w:color w:val="0563C1"/>
            <w:u w:val="single"/>
          </w:rPr>
          <w:t>https://www.economicmodeling.com/</w:t>
        </w:r>
      </w:hyperlink>
      <w:r>
        <w:t>.</w:t>
      </w:r>
      <w:r w:rsidR="00501940">
        <w:t xml:space="preserve"> </w:t>
      </w:r>
    </w:p>
  </w:footnote>
  <w:footnote w:id="63">
    <w:p w:rsidR="005E5002" w:rsidP="005E5002" w:rsidRDefault="005E5002" w14:paraId="4FD5601E" w14:textId="73BEEA27">
      <w:pPr>
        <w:pStyle w:val="FootnoteText"/>
      </w:pPr>
      <w:r>
        <w:rPr>
          <w:rStyle w:val="FootnoteReference"/>
        </w:rPr>
        <w:footnoteRef/>
      </w:r>
      <w:r>
        <w:t xml:space="preserve"> </w:t>
      </w:r>
      <w:r w:rsidR="001F1B6C">
        <w:t xml:space="preserve">Totals may not add up exactly due to </w:t>
      </w:r>
      <w:r w:rsidR="00DC0DCD">
        <w:t>job creation outputs being rounded to whole numbers. Averages are weighted.</w:t>
      </w:r>
    </w:p>
  </w:footnote>
  <w:footnote w:id="64">
    <w:p w:rsidR="00E81CDA" w:rsidRDefault="00E81CDA" w14:paraId="74A18852" w14:textId="37826B80">
      <w:pPr>
        <w:pStyle w:val="FootnoteText"/>
      </w:pPr>
      <w:r>
        <w:rPr>
          <w:rStyle w:val="FootnoteReference"/>
        </w:rPr>
        <w:footnoteRef/>
      </w:r>
      <w:r>
        <w:t xml:space="preserve"> </w:t>
      </w:r>
      <w:r>
        <w:t>Lightcast Datarun 2023.3.</w:t>
      </w:r>
    </w:p>
  </w:footnote>
  <w:footnote w:id="65">
    <w:p w:rsidR="00FD702C" w:rsidRDefault="00FD702C" w14:paraId="7606A733" w14:textId="2C4B4509">
      <w:pPr>
        <w:pStyle w:val="FootnoteText"/>
      </w:pPr>
      <w:r>
        <w:rPr>
          <w:rStyle w:val="FootnoteReference"/>
        </w:rPr>
        <w:footnoteRef/>
      </w:r>
      <w:r>
        <w:t xml:space="preserve"> As the BEAD NOFO imposes a 25 percent matching requirement, this total </w:t>
      </w:r>
      <w:r w:rsidR="00710D8F">
        <w:t xml:space="preserve">reflects </w:t>
      </w:r>
      <w:r w:rsidR="007E740D">
        <w:t xml:space="preserve">a conservative estimate </w:t>
      </w:r>
      <w:r w:rsidR="004556B1">
        <w:t>of BEAD-related construction spending.</w:t>
      </w:r>
    </w:p>
  </w:footnote>
  <w:footnote w:id="66">
    <w:p w:rsidRPr="00544A76" w:rsidR="00E81CDA" w:rsidRDefault="00E81CDA" w14:paraId="18EFC16A" w14:textId="3C857156">
      <w:pPr>
        <w:pStyle w:val="FootnoteText"/>
        <w:rPr>
          <w:i/>
        </w:rPr>
      </w:pPr>
      <w:r>
        <w:rPr>
          <w:rStyle w:val="FootnoteReference"/>
        </w:rPr>
        <w:footnoteRef/>
      </w:r>
      <w:r w:rsidR="00E74260">
        <w:t xml:space="preserve"> The distribution was based on the </w:t>
      </w:r>
      <w:r w:rsidR="00736F6F">
        <w:t xml:space="preserve">2021 Brookings Institution Report </w:t>
      </w:r>
      <w:r w:rsidR="00E74260">
        <w:t>wor</w:t>
      </w:r>
      <w:r w:rsidR="00736F6F">
        <w:t>k</w:t>
      </w:r>
      <w:r w:rsidR="00E74260">
        <w:t>, which is based on the work of Pollin et al. (2020)</w:t>
      </w:r>
      <w:r w:rsidR="00736F6F">
        <w:t>,</w:t>
      </w:r>
      <w:r w:rsidR="008F0641">
        <w:t xml:space="preserve"> </w:t>
      </w:r>
      <w:hyperlink w:history="1" r:id="rId32">
        <w:r w:rsidRPr="00662F33" w:rsidR="008F0641">
          <w:rPr>
            <w:rStyle w:val="Hyperlink"/>
          </w:rPr>
          <w:t>https://www.brookings.edu/wp-content/uploads/2021/03/Federal-infrastructure-investment.pdf</w:t>
        </w:r>
      </w:hyperlink>
      <w:r w:rsidR="008F0641">
        <w:t xml:space="preserve">. </w:t>
      </w:r>
      <w:r w:rsidR="00F619E2">
        <w:rPr>
          <w:i/>
          <w:iCs/>
        </w:rPr>
        <w:t xml:space="preserve">See also </w:t>
      </w:r>
      <w:r w:rsidR="00F619E2">
        <w:t xml:space="preserve">Robert Pollin, Jeannette Wicks-Lim, Shouvik Chakraborty, and Gregor </w:t>
      </w:r>
      <w:r w:rsidR="00F619E2">
        <w:t xml:space="preserve">Semieniuk. “Impacts of the Reimagine Appalachia &amp; Clean Energy Transition Programs for Ohio: Job Creation, Economic Recovery, and Long-Term Sustainability,” </w:t>
      </w:r>
      <w:r w:rsidR="00F619E2">
        <w:rPr>
          <w:i/>
        </w:rPr>
        <w:t>PERI at University of Massachusetts Amherst</w:t>
      </w:r>
      <w:r w:rsidR="00F619E2">
        <w:t xml:space="preserve">, October 2020, </w:t>
      </w:r>
      <w:hyperlink w:history="1" r:id="rId33">
        <w:r w:rsidRPr="005B5A7A" w:rsidR="00A41691">
          <w:rPr>
            <w:rStyle w:val="Hyperlink"/>
          </w:rPr>
          <w:t>https://peri.umass.edu/publication/item/1356-impacts-of-the-reimagine-appalachia-clean-energy-transition-programs-for-ohio</w:t>
        </w:r>
      </w:hyperlink>
      <w:r w:rsidR="00A41691">
        <w:t xml:space="preserve">, </w:t>
      </w:r>
      <w:r w:rsidR="00F619E2">
        <w:t>p. 107.</w:t>
      </w:r>
    </w:p>
  </w:footnote>
  <w:footnote w:id="67">
    <w:p w:rsidR="009D5862" w:rsidRDefault="009D5862" w14:paraId="2B0B9967" w14:textId="2639DD96">
      <w:pPr>
        <w:pStyle w:val="FootnoteText"/>
      </w:pPr>
      <w:r>
        <w:rPr>
          <w:rStyle w:val="FootnoteReference"/>
        </w:rPr>
        <w:footnoteRef/>
      </w:r>
      <w:r>
        <w:t xml:space="preserve"> More information </w:t>
      </w:r>
      <w:r w:rsidR="00E36E32">
        <w:t xml:space="preserve">regarding </w:t>
      </w:r>
      <w:r w:rsidR="00434039">
        <w:t>state-related workforce programs, as well as ISP</w:t>
      </w:r>
      <w:r w:rsidR="002D56A1">
        <w:t xml:space="preserve"> workforce programs, can be found in Section 3.3.1 of the Five-Year Action Plan.</w:t>
      </w:r>
    </w:p>
  </w:footnote>
  <w:footnote w:id="68">
    <w:p w:rsidR="00E81CDA" w:rsidP="00E81CDA" w:rsidRDefault="00E81CDA" w14:paraId="6930F83D" w14:textId="2148FBE0">
      <w:pPr>
        <w:spacing w:after="0" w:line="240" w:lineRule="auto"/>
        <w:rPr>
          <w:sz w:val="20"/>
          <w:szCs w:val="20"/>
        </w:rPr>
      </w:pPr>
      <w:r>
        <w:rPr>
          <w:rStyle w:val="FootnoteReference"/>
        </w:rPr>
        <w:footnoteRef/>
      </w:r>
      <w:r>
        <w:t xml:space="preserve"> </w:t>
      </w:r>
      <w:r>
        <w:rPr>
          <w:sz w:val="20"/>
          <w:szCs w:val="20"/>
        </w:rPr>
        <w:t>Because the IPED</w:t>
      </w:r>
      <w:r w:rsidR="00DF3548">
        <w:rPr>
          <w:sz w:val="20"/>
          <w:szCs w:val="20"/>
        </w:rPr>
        <w:t>S</w:t>
      </w:r>
      <w:r>
        <w:rPr>
          <w:sz w:val="20"/>
          <w:szCs w:val="20"/>
        </w:rPr>
        <w:t xml:space="preserve"> data </w:t>
      </w:r>
      <w:r w:rsidR="00CC2875">
        <w:rPr>
          <w:sz w:val="20"/>
          <w:szCs w:val="20"/>
        </w:rPr>
        <w:t>are</w:t>
      </w:r>
      <w:r>
        <w:rPr>
          <w:sz w:val="20"/>
          <w:szCs w:val="20"/>
        </w:rPr>
        <w:t xml:space="preserve"> collected using Classification of Instructional Programs (CIP) codes rather than the NAIC</w:t>
      </w:r>
      <w:r w:rsidR="00DF3548">
        <w:rPr>
          <w:sz w:val="20"/>
          <w:szCs w:val="20"/>
        </w:rPr>
        <w:t>S</w:t>
      </w:r>
      <w:r>
        <w:rPr>
          <w:sz w:val="20"/>
          <w:szCs w:val="20"/>
        </w:rPr>
        <w:t xml:space="preserve"> classification, a CIP to NAIC</w:t>
      </w:r>
      <w:r w:rsidR="00B96D59">
        <w:rPr>
          <w:sz w:val="20"/>
          <w:szCs w:val="20"/>
        </w:rPr>
        <w:t>S</w:t>
      </w:r>
      <w:r>
        <w:rPr>
          <w:sz w:val="20"/>
          <w:szCs w:val="20"/>
        </w:rPr>
        <w:t xml:space="preserve"> crosswalk was used to identify programs training workers relevant to broadband deployment occupations. </w:t>
      </w:r>
    </w:p>
  </w:footnote>
  <w:footnote w:id="69">
    <w:p w:rsidRPr="00CB23CC" w:rsidR="00235A78" w:rsidRDefault="00235A78" w14:paraId="61E6A3C8" w14:textId="21341433">
      <w:pPr>
        <w:pStyle w:val="FootnoteText"/>
      </w:pPr>
      <w:r>
        <w:rPr>
          <w:rStyle w:val="FootnoteReference"/>
        </w:rPr>
        <w:footnoteRef/>
      </w:r>
      <w:r>
        <w:t xml:space="preserve"> </w:t>
      </w:r>
      <w:r>
        <w:rPr>
          <w:i/>
          <w:iCs/>
        </w:rPr>
        <w:t>See</w:t>
      </w:r>
      <w:r w:rsidR="00CB23CC">
        <w:rPr>
          <w:i/>
          <w:iCs/>
        </w:rPr>
        <w:t xml:space="preserve"> </w:t>
      </w:r>
      <w:r w:rsidR="00CB23CC">
        <w:t>Wallace</w:t>
      </w:r>
      <w:r w:rsidR="00486415">
        <w:t xml:space="preserve"> Co</w:t>
      </w:r>
      <w:r w:rsidR="00DE2528">
        <w:t>mmunity College, “</w:t>
      </w:r>
      <w:r w:rsidRPr="009241FC" w:rsidR="009241FC">
        <w:t>Governor Kay Ivey Makes Statewide Broadband Access Announcement at WCCD’s Dothan Campus</w:t>
      </w:r>
      <w:r w:rsidR="00971D48">
        <w:t xml:space="preserve">” (Aug. 8, 2023), </w:t>
      </w:r>
      <w:hyperlink w:history="1" w:anchor=":~:text=Skills%20for%20Success%2C%20the%20rapid,at%20no%20cost%20to%20participants" r:id="rId34">
        <w:r w:rsidRPr="004915D8" w:rsidR="00066C75">
          <w:rPr>
            <w:rStyle w:val="Hyperlink"/>
          </w:rPr>
          <w:t>https://www.wallace.edu/news_announcements/governor-kay-ivey-makes-statewide-broadband-access-announcement-at-wccds-dothan-campus/#:~:text=Skills%20for%20Success%2C%20the%20rapid,at%20no%20cost%20to%20participants</w:t>
        </w:r>
      </w:hyperlink>
      <w:r w:rsidR="00066C75">
        <w:t xml:space="preserve">. </w:t>
      </w:r>
    </w:p>
  </w:footnote>
  <w:footnote w:id="70">
    <w:p w:rsidR="00CC2348" w:rsidRDefault="00CC2348" w14:paraId="7B106123" w14:textId="28ACFE37">
      <w:pPr>
        <w:pStyle w:val="FootnoteText"/>
      </w:pPr>
      <w:r>
        <w:rPr>
          <w:rStyle w:val="FootnoteReference"/>
        </w:rPr>
        <w:footnoteRef/>
      </w:r>
      <w:r>
        <w:t xml:space="preserve"> </w:t>
      </w:r>
      <w:r w:rsidRPr="00CC2348">
        <w:t>Sources: 2022 IPED</w:t>
      </w:r>
      <w:r w:rsidR="00DC47AC">
        <w:t>S</w:t>
      </w:r>
      <w:r>
        <w:t>; d</w:t>
      </w:r>
      <w:r w:rsidRPr="00CC2348">
        <w:t>rive</w:t>
      </w:r>
      <w:r>
        <w:t xml:space="preserve"> </w:t>
      </w:r>
      <w:r w:rsidRPr="00CC2348">
        <w:t>time derived using OpenStreetMap</w:t>
      </w:r>
      <w:r>
        <w:t>; b</w:t>
      </w:r>
      <w:r w:rsidRPr="00CC2348">
        <w:t>ase</w:t>
      </w:r>
      <w:r>
        <w:t xml:space="preserve"> </w:t>
      </w:r>
      <w:r w:rsidRPr="00CC2348">
        <w:t>map © 2020 Google</w:t>
      </w:r>
      <w:r>
        <w:t>.</w:t>
      </w:r>
      <w:r w:rsidRPr="00CC2348">
        <w:t xml:space="preserve"> </w:t>
      </w:r>
    </w:p>
  </w:footnote>
  <w:footnote w:id="71">
    <w:p w:rsidR="005163B4" w:rsidRDefault="005163B4" w14:paraId="18C5F036" w14:textId="08FFEA7C">
      <w:pPr>
        <w:pStyle w:val="FootnoteText"/>
      </w:pPr>
      <w:r>
        <w:rPr>
          <w:rStyle w:val="FootnoteReference"/>
        </w:rPr>
        <w:footnoteRef/>
      </w:r>
      <w:r>
        <w:t xml:space="preserve"> Alabama Statewide Digital Opportunity Plan, Section 2.2.1</w:t>
      </w:r>
      <w:r w:rsidR="00B20F49">
        <w:t>.</w:t>
      </w:r>
    </w:p>
  </w:footnote>
  <w:footnote w:id="72">
    <w:p w:rsidR="002E75D7" w:rsidRDefault="002E75D7" w14:paraId="38D881E0" w14:textId="39D69ADF">
      <w:pPr>
        <w:pStyle w:val="FootnoteText"/>
      </w:pPr>
      <w:r>
        <w:rPr>
          <w:rStyle w:val="FootnoteReference"/>
        </w:rPr>
        <w:footnoteRef/>
      </w:r>
      <w:r>
        <w:t xml:space="preserve"> “Broadband Investments that go the Distance: Incorporating High Road Labor Standards and Future-Proof Infrastructure into a State or Locality’s Broadband Plan,” CWA, 2023, </w:t>
      </w:r>
      <w:hyperlink w:history="1" r:id="rId35">
        <w:r w:rsidRPr="003D2ADF">
          <w:rPr>
            <w:rStyle w:val="Hyperlink"/>
          </w:rPr>
          <w:t>https://buildbroadbandbetter.org/system/files/2023-09/CWA-Broadband-HIgh-Road-Labor-Report-2023.pdf</w:t>
        </w:r>
      </w:hyperlink>
      <w:r>
        <w:t xml:space="preserve">. </w:t>
      </w:r>
    </w:p>
  </w:footnote>
  <w:footnote w:id="73">
    <w:p w:rsidR="003F4AC4" w:rsidRDefault="003F4AC4" w14:paraId="1A0FE5D5" w14:textId="0AF62816">
      <w:pPr>
        <w:pStyle w:val="FootnoteText"/>
      </w:pPr>
      <w:r>
        <w:rPr>
          <w:rStyle w:val="FootnoteReference"/>
        </w:rPr>
        <w:footnoteRef/>
      </w:r>
      <w:r>
        <w:t xml:space="preserve"> A table identifying ADECA’s current and potential future partners in the development of this Initial Proposal and implementation of its BEAD efforts can be found in Section 3.2 of the Five-Year Action Plan.</w:t>
      </w:r>
    </w:p>
  </w:footnote>
  <w:footnote w:id="74">
    <w:p w:rsidR="008B464D" w:rsidRDefault="008B464D" w14:paraId="3C5A72C6" w14:textId="379EAE8C">
      <w:pPr>
        <w:pStyle w:val="FootnoteText"/>
      </w:pPr>
      <w:r>
        <w:rPr>
          <w:rStyle w:val="FootnoteReference"/>
        </w:rPr>
        <w:footnoteRef/>
      </w:r>
      <w:r>
        <w:t xml:space="preserve"> BEAD NOFO, pp. 56-58.</w:t>
      </w:r>
    </w:p>
  </w:footnote>
  <w:footnote w:id="75">
    <w:p w:rsidRPr="005A3A3E" w:rsidR="006E727D" w:rsidRDefault="006E727D" w14:paraId="644C1D03" w14:textId="3805A9EE">
      <w:pPr>
        <w:pStyle w:val="FootnoteText"/>
      </w:pPr>
      <w:r>
        <w:rPr>
          <w:rStyle w:val="FootnoteReference"/>
        </w:rPr>
        <w:footnoteRef/>
      </w:r>
      <w:r>
        <w:t xml:space="preserve"> </w:t>
      </w:r>
      <w:r w:rsidRPr="00230AE2" w:rsidR="00380F96">
        <w:t>BEAD NOFO</w:t>
      </w:r>
      <w:r>
        <w:rPr>
          <w:i/>
          <w:iCs/>
        </w:rPr>
        <w:t xml:space="preserve"> </w:t>
      </w:r>
      <w:r>
        <w:t>at 74.</w:t>
      </w:r>
    </w:p>
  </w:footnote>
  <w:footnote w:id="76">
    <w:p w:rsidR="00963010" w:rsidRDefault="00963010" w14:paraId="4C6AF60A" w14:textId="0A59DDEC">
      <w:pPr>
        <w:pStyle w:val="FootnoteText"/>
      </w:pPr>
      <w:r>
        <w:rPr>
          <w:rStyle w:val="FootnoteReference"/>
        </w:rPr>
        <w:footnoteRef/>
      </w:r>
      <w:r>
        <w:t xml:space="preserve"> More information regarding ADECA’s proposed approach for inclusion of minority business </w:t>
      </w:r>
      <w:r w:rsidRPr="00D44EF9">
        <w:t>enterprises, women’s business enterprises, and labor surplus area firms in BEAD projects can be found below in Section 10</w:t>
      </w:r>
      <w:r>
        <w:t>.</w:t>
      </w:r>
    </w:p>
  </w:footnote>
  <w:footnote w:id="77">
    <w:p w:rsidR="001A1760" w:rsidRDefault="001A1760" w14:paraId="4455F28F" w14:textId="2C0815B0">
      <w:pPr>
        <w:pStyle w:val="FootnoteText"/>
      </w:pPr>
      <w:r>
        <w:rPr>
          <w:rStyle w:val="FootnoteReference"/>
        </w:rPr>
        <w:footnoteRef/>
      </w:r>
      <w:r>
        <w:t xml:space="preserve"> </w:t>
      </w:r>
      <w:r w:rsidR="00C87F62">
        <w:t>Five-Year Action Plan, Section 5.7.</w:t>
      </w:r>
    </w:p>
  </w:footnote>
  <w:footnote w:id="78">
    <w:p w:rsidR="00701816" w:rsidRDefault="00701816" w14:paraId="09C504C6" w14:textId="307B5E06">
      <w:pPr>
        <w:pStyle w:val="FootnoteText"/>
      </w:pPr>
      <w:r>
        <w:rPr>
          <w:rStyle w:val="FootnoteReference"/>
        </w:rPr>
        <w:footnoteRef/>
      </w:r>
      <w:r>
        <w:t xml:space="preserve"> As d</w:t>
      </w:r>
      <w:r w:rsidR="00CF14D5">
        <w:t>iscussed above, this total reflects a conservative estimate of BEAD-related construction spending</w:t>
      </w:r>
      <w:r w:rsidR="003505D3">
        <w:t>, considering</w:t>
      </w:r>
      <w:r w:rsidR="00CF14D5">
        <w:t xml:space="preserve"> the BEAD NOFO imposes a 25 percent matching requirement.</w:t>
      </w:r>
    </w:p>
  </w:footnote>
  <w:footnote w:id="79">
    <w:p w:rsidR="00E81CDA" w:rsidP="00E81CDA" w:rsidRDefault="00E81CDA" w14:paraId="215D2B90" w14:textId="77777777">
      <w:pPr>
        <w:spacing w:after="0" w:line="240" w:lineRule="auto"/>
        <w:jc w:val="left"/>
        <w:rPr>
          <w:sz w:val="20"/>
          <w:szCs w:val="20"/>
        </w:rPr>
      </w:pPr>
      <w:r>
        <w:rPr>
          <w:rStyle w:val="FootnoteReference"/>
        </w:rPr>
        <w:footnoteRef/>
      </w:r>
      <w:r>
        <w:rPr>
          <w:sz w:val="20"/>
          <w:szCs w:val="20"/>
        </w:rPr>
        <w:t xml:space="preserve"> </w:t>
      </w:r>
      <w:r>
        <w:rPr>
          <w:sz w:val="20"/>
          <w:szCs w:val="20"/>
        </w:rPr>
        <w:t>Lightcast Datarun 2023.3.</w:t>
      </w:r>
    </w:p>
  </w:footnote>
  <w:footnote w:id="80">
    <w:p w:rsidR="00E81CDA" w:rsidP="00E81CDA" w:rsidRDefault="00E81CDA" w14:paraId="0E5D085C" w14:textId="77777777">
      <w:pPr>
        <w:spacing w:after="0" w:line="240" w:lineRule="auto"/>
        <w:jc w:val="left"/>
        <w:rPr>
          <w:sz w:val="20"/>
          <w:szCs w:val="20"/>
        </w:rPr>
      </w:pPr>
      <w:r>
        <w:rPr>
          <w:rStyle w:val="FootnoteReference"/>
        </w:rPr>
        <w:footnoteRef/>
      </w:r>
      <w:r>
        <w:rPr>
          <w:sz w:val="20"/>
          <w:szCs w:val="20"/>
        </w:rPr>
        <w:t xml:space="preserve"> </w:t>
      </w:r>
      <w:r>
        <w:rPr>
          <w:sz w:val="20"/>
          <w:szCs w:val="20"/>
        </w:rPr>
        <w:t>Lightcast Datarun 2023.3.</w:t>
      </w:r>
    </w:p>
  </w:footnote>
  <w:footnote w:id="81">
    <w:p w:rsidR="00990FE1" w:rsidRDefault="00990FE1" w14:paraId="7E13DA9E" w14:textId="7C8EE93D">
      <w:pPr>
        <w:pStyle w:val="FootnoteText"/>
      </w:pPr>
      <w:r>
        <w:rPr>
          <w:rStyle w:val="FootnoteReference"/>
        </w:rPr>
        <w:footnoteRef/>
      </w:r>
      <w:r>
        <w:t xml:space="preserve"> </w:t>
      </w:r>
      <w:r w:rsidR="00681980">
        <w:t>Deller, Steven and Whitacre, Brian, “</w:t>
      </w:r>
      <w:r w:rsidRPr="00692B26" w:rsidR="00692B26">
        <w:t>Broadband's relationship to rural housing values</w:t>
      </w:r>
      <w:r w:rsidR="00692B26">
        <w:t xml:space="preserve">,” </w:t>
      </w:r>
      <w:r w:rsidR="00FC433B">
        <w:t xml:space="preserve">Papers in Regional Science Vol. </w:t>
      </w:r>
      <w:r w:rsidR="008D511D">
        <w:t xml:space="preserve">98 Issue 5, </w:t>
      </w:r>
      <w:r w:rsidR="002345ED">
        <w:t xml:space="preserve">October 2019, </w:t>
      </w:r>
      <w:hyperlink w:history="1" r:id="rId36">
        <w:r w:rsidRPr="00662F33" w:rsidR="006F44C1">
          <w:rPr>
            <w:rStyle w:val="Hyperlink"/>
          </w:rPr>
          <w:t>https://doi.org/10.1111/pirs.12450</w:t>
        </w:r>
      </w:hyperlink>
      <w:r w:rsidR="006F44C1">
        <w:t xml:space="preserve">. </w:t>
      </w:r>
    </w:p>
  </w:footnote>
  <w:footnote w:id="82">
    <w:p w:rsidRPr="00F17EEB" w:rsidR="00163BBD" w:rsidP="00163BBD" w:rsidRDefault="00163BBD" w14:paraId="63589D48" w14:textId="5F957BBD">
      <w:pPr>
        <w:spacing w:after="0"/>
        <w:rPr>
          <w:sz w:val="20"/>
          <w:szCs w:val="20"/>
        </w:rPr>
      </w:pPr>
      <w:r w:rsidRPr="008735C9">
        <w:rPr>
          <w:sz w:val="20"/>
          <w:szCs w:val="20"/>
          <w:vertAlign w:val="superscript"/>
        </w:rPr>
        <w:footnoteRef/>
      </w:r>
      <w:r w:rsidRPr="00F17EEB">
        <w:rPr>
          <w:sz w:val="20"/>
          <w:szCs w:val="20"/>
        </w:rPr>
        <w:t xml:space="preserve"> </w:t>
      </w:r>
      <w:r>
        <w:rPr>
          <w:sz w:val="20"/>
          <w:szCs w:val="20"/>
        </w:rPr>
        <w:t>“</w:t>
      </w:r>
      <w:r w:rsidRPr="001E638A">
        <w:rPr>
          <w:sz w:val="20"/>
          <w:szCs w:val="20"/>
        </w:rPr>
        <w:t>Office of Minority Business Enterprise</w:t>
      </w:r>
      <w:r>
        <w:rPr>
          <w:sz w:val="20"/>
          <w:szCs w:val="20"/>
        </w:rPr>
        <w:t xml:space="preserve">,” </w:t>
      </w:r>
      <w:r w:rsidR="007E4CD4">
        <w:rPr>
          <w:sz w:val="20"/>
          <w:szCs w:val="20"/>
        </w:rPr>
        <w:t xml:space="preserve">ADECA, </w:t>
      </w:r>
      <w:hyperlink w:history="1" r:id="rId37">
        <w:r w:rsidRPr="00136298">
          <w:rPr>
            <w:rStyle w:val="Hyperlink"/>
            <w:sz w:val="20"/>
            <w:szCs w:val="20"/>
          </w:rPr>
          <w:t>https://adeca.alabama.gov/ombe/</w:t>
        </w:r>
      </w:hyperlink>
      <w:r>
        <w:rPr>
          <w:sz w:val="20"/>
          <w:szCs w:val="20"/>
        </w:rPr>
        <w:t>.</w:t>
      </w:r>
      <w:r w:rsidRPr="00F17EEB">
        <w:rPr>
          <w:sz w:val="20"/>
          <w:szCs w:val="20"/>
        </w:rPr>
        <w:t xml:space="preserve"> </w:t>
      </w:r>
    </w:p>
  </w:footnote>
  <w:footnote w:id="83">
    <w:p w:rsidRPr="00564B4F" w:rsidR="4DAB7B41" w:rsidP="00F17EEB" w:rsidRDefault="4DAB7B41" w14:paraId="11D9B292" w14:textId="5A2B9CF8">
      <w:pPr>
        <w:spacing w:after="0"/>
        <w:rPr>
          <w:sz w:val="20"/>
          <w:szCs w:val="20"/>
          <w:lang w:val="fr-FR"/>
        </w:rPr>
      </w:pPr>
      <w:r w:rsidRPr="008735C9">
        <w:rPr>
          <w:sz w:val="20"/>
          <w:szCs w:val="20"/>
          <w:vertAlign w:val="superscript"/>
        </w:rPr>
        <w:footnoteRef/>
      </w:r>
      <w:r w:rsidRPr="00564B4F" w:rsidR="001E638A">
        <w:rPr>
          <w:sz w:val="20"/>
          <w:szCs w:val="20"/>
          <w:lang w:val="fr-FR"/>
        </w:rPr>
        <w:t xml:space="preserve"> </w:t>
      </w:r>
      <w:r w:rsidRPr="00564B4F" w:rsidR="0002552D">
        <w:rPr>
          <w:sz w:val="20"/>
          <w:szCs w:val="20"/>
          <w:lang w:val="fr-FR"/>
        </w:rPr>
        <w:t>OMBE</w:t>
      </w:r>
      <w:r w:rsidRPr="00564B4F" w:rsidR="001E638A">
        <w:rPr>
          <w:sz w:val="20"/>
          <w:szCs w:val="20"/>
          <w:lang w:val="fr-FR"/>
        </w:rPr>
        <w:t xml:space="preserve">, </w:t>
      </w:r>
      <w:hyperlink w:history="1" r:id="rId38">
        <w:r w:rsidRPr="00564B4F" w:rsidR="001E638A">
          <w:rPr>
            <w:rStyle w:val="Hyperlink"/>
            <w:sz w:val="20"/>
            <w:szCs w:val="20"/>
            <w:lang w:val="fr-FR"/>
          </w:rPr>
          <w:t>https://aoma.alabama.gov/</w:t>
        </w:r>
      </w:hyperlink>
      <w:r w:rsidRPr="00564B4F" w:rsidR="001E638A">
        <w:rPr>
          <w:sz w:val="20"/>
          <w:szCs w:val="20"/>
          <w:lang w:val="fr-FR"/>
        </w:rPr>
        <w:t xml:space="preserve">. </w:t>
      </w:r>
    </w:p>
  </w:footnote>
  <w:footnote w:id="84">
    <w:p w:rsidRPr="00564B4F" w:rsidR="4DAB7B41" w:rsidP="001E638A" w:rsidRDefault="4DAB7B41" w14:paraId="5228CEFF" w14:textId="33EA60C0">
      <w:pPr>
        <w:spacing w:after="0"/>
        <w:jc w:val="left"/>
        <w:rPr>
          <w:sz w:val="20"/>
          <w:szCs w:val="20"/>
        </w:rPr>
      </w:pPr>
      <w:r w:rsidRPr="008735C9">
        <w:rPr>
          <w:sz w:val="20"/>
          <w:szCs w:val="20"/>
          <w:vertAlign w:val="superscript"/>
        </w:rPr>
        <w:footnoteRef/>
      </w:r>
      <w:r w:rsidRPr="00564B4F">
        <w:rPr>
          <w:sz w:val="20"/>
          <w:szCs w:val="20"/>
        </w:rPr>
        <w:t xml:space="preserve"> </w:t>
      </w:r>
      <w:r w:rsidRPr="00564B4F" w:rsidR="00321F37">
        <w:rPr>
          <w:sz w:val="20"/>
          <w:szCs w:val="20"/>
        </w:rPr>
        <w:t>State of Alabama Department of Finance, Division of Purchasing,</w:t>
      </w:r>
      <w:r w:rsidRPr="00564B4F">
        <w:rPr>
          <w:sz w:val="20"/>
          <w:szCs w:val="20"/>
        </w:rPr>
        <w:t xml:space="preserve"> </w:t>
      </w:r>
      <w:r w:rsidRPr="00564B4F" w:rsidR="001E638A">
        <w:rPr>
          <w:sz w:val="20"/>
          <w:szCs w:val="20"/>
        </w:rPr>
        <w:t>Alabama Buys,</w:t>
      </w:r>
      <w:r w:rsidRPr="00564B4F" w:rsidR="00A444F3">
        <w:rPr>
          <w:sz w:val="20"/>
          <w:szCs w:val="20"/>
        </w:rPr>
        <w:t xml:space="preserve"> </w:t>
      </w:r>
      <w:hyperlink w:history="1" r:id="rId39">
        <w:r w:rsidRPr="00564B4F" w:rsidR="00A444F3">
          <w:rPr>
            <w:rStyle w:val="Hyperlink"/>
            <w:sz w:val="20"/>
            <w:szCs w:val="20"/>
          </w:rPr>
          <w:t>https://alabamabuys.gov/page.aspx/en/usr/login</w:t>
        </w:r>
      </w:hyperlink>
      <w:r w:rsidRPr="00564B4F" w:rsidR="00A444F3">
        <w:rPr>
          <w:sz w:val="20"/>
          <w:szCs w:val="20"/>
        </w:rPr>
        <w:t>.</w:t>
      </w:r>
      <w:r w:rsidRPr="00564B4F">
        <w:rPr>
          <w:sz w:val="20"/>
          <w:szCs w:val="20"/>
        </w:rPr>
        <w:t xml:space="preserve"> </w:t>
      </w:r>
    </w:p>
  </w:footnote>
  <w:footnote w:id="85">
    <w:p w:rsidR="4DAB7B41" w:rsidP="00564B4F" w:rsidRDefault="4DAB7B41" w14:paraId="6630EF90" w14:textId="0CC6BBAB">
      <w:pPr>
        <w:spacing w:after="0"/>
        <w:jc w:val="left"/>
      </w:pPr>
      <w:r w:rsidRPr="008735C9">
        <w:rPr>
          <w:sz w:val="20"/>
          <w:szCs w:val="20"/>
          <w:vertAlign w:val="superscript"/>
        </w:rPr>
        <w:footnoteRef/>
      </w:r>
      <w:r w:rsidRPr="001E638A">
        <w:rPr>
          <w:sz w:val="20"/>
          <w:szCs w:val="20"/>
        </w:rPr>
        <w:t xml:space="preserve"> </w:t>
      </w:r>
      <w:r w:rsidR="00470B51">
        <w:rPr>
          <w:sz w:val="20"/>
          <w:szCs w:val="20"/>
        </w:rPr>
        <w:t xml:space="preserve">“OMBE Certified Businesses,” </w:t>
      </w:r>
      <w:r w:rsidR="007E4CD4">
        <w:rPr>
          <w:sz w:val="20"/>
          <w:szCs w:val="20"/>
        </w:rPr>
        <w:t xml:space="preserve">OMBE, </w:t>
      </w:r>
      <w:hyperlink w:history="1" r:id="rId40">
        <w:r w:rsidRPr="006502CA" w:rsidR="0016662C">
          <w:rPr>
            <w:rStyle w:val="Hyperlink"/>
            <w:sz w:val="20"/>
            <w:szCs w:val="20"/>
          </w:rPr>
          <w:t>https://adeca.alabama.gov/wp-content/uploads/OMBE-certified-businesses.xlsx</w:t>
        </w:r>
      </w:hyperlink>
      <w:r w:rsidR="001E638A">
        <w:rPr>
          <w:sz w:val="20"/>
          <w:szCs w:val="20"/>
        </w:rPr>
        <w:t>.</w:t>
      </w:r>
      <w:r w:rsidRPr="001E638A">
        <w:t xml:space="preserve"> </w:t>
      </w:r>
    </w:p>
  </w:footnote>
  <w:footnote w:id="86">
    <w:p w:rsidRPr="009A7832" w:rsidR="00623C1F" w:rsidP="00623C1F" w:rsidRDefault="00623C1F" w14:paraId="045D8E7F" w14:textId="77777777">
      <w:pPr>
        <w:spacing w:after="0"/>
        <w:rPr>
          <w:rFonts w:eastAsia="Calibri" w:cs="Calibri"/>
          <w:sz w:val="20"/>
        </w:rPr>
      </w:pPr>
      <w:r w:rsidRPr="009A7832">
        <w:rPr>
          <w:rFonts w:eastAsia="Calibri" w:cs="Calibri"/>
          <w:sz w:val="20"/>
          <w:vertAlign w:val="superscript"/>
        </w:rPr>
        <w:footnoteRef/>
      </w:r>
      <w:r w:rsidRPr="009A7832">
        <w:rPr>
          <w:rFonts w:eastAsia="Calibri" w:cs="Calibri"/>
          <w:sz w:val="20"/>
        </w:rPr>
        <w:t xml:space="preserve"> </w:t>
      </w:r>
      <w:r w:rsidRPr="009A7832">
        <w:rPr>
          <w:rStyle w:val="normaltextrun"/>
          <w:rFonts w:cs="Open Sans"/>
          <w:color w:val="000000"/>
          <w:sz w:val="20"/>
          <w:shd w:val="clear" w:color="auto" w:fill="FFFFFF"/>
        </w:rPr>
        <w:t>See </w:t>
      </w:r>
      <w:r w:rsidRPr="009A7832">
        <w:rPr>
          <w:rStyle w:val="normaltextrun"/>
          <w:rFonts w:cs="Open Sans"/>
          <w:sz w:val="20"/>
          <w:shd w:val="clear" w:color="auto" w:fill="FFFFFF"/>
        </w:rPr>
        <w:t>Executive Order 12073 and </w:t>
      </w:r>
      <w:hyperlink w:tgtFrame="_blank" w:history="1" r:id="rId41">
        <w:r w:rsidRPr="009A7832">
          <w:rPr>
            <w:rStyle w:val="normaltextrun"/>
            <w:rFonts w:cs="Open Sans"/>
            <w:sz w:val="20"/>
            <w:shd w:val="clear" w:color="auto" w:fill="FFFFFF"/>
          </w:rPr>
          <w:t>Executive Order 10582</w:t>
        </w:r>
      </w:hyperlink>
      <w:r w:rsidRPr="009A7832">
        <w:rPr>
          <w:rStyle w:val="normaltextrun"/>
          <w:rFonts w:cs="Open Sans"/>
          <w:color w:val="000000"/>
          <w:sz w:val="20"/>
          <w:shd w:val="clear" w:color="auto" w:fill="FFFFFF"/>
        </w:rPr>
        <w:t>.</w:t>
      </w:r>
    </w:p>
  </w:footnote>
  <w:footnote w:id="87">
    <w:p w:rsidRPr="009A7832" w:rsidR="00623C1F" w:rsidP="00623C1F" w:rsidRDefault="00623C1F" w14:paraId="143056EF" w14:textId="77777777">
      <w:pPr>
        <w:pStyle w:val="FootnoteText"/>
      </w:pPr>
      <w:r w:rsidRPr="009A7832">
        <w:rPr>
          <w:rStyle w:val="FootnoteReference"/>
        </w:rPr>
        <w:footnoteRef/>
      </w:r>
      <w:r w:rsidRPr="009A7832">
        <w:t xml:space="preserve"> “Labor Surplus Area,” U.S. Department of Labor, </w:t>
      </w:r>
      <w:hyperlink w:history="1" r:id="rId42">
        <w:r w:rsidRPr="009A7832">
          <w:rPr>
            <w:rStyle w:val="Hyperlink"/>
          </w:rPr>
          <w:t>https://www.dol.gov/agencies/eta/lsa</w:t>
        </w:r>
      </w:hyperlink>
      <w:r w:rsidRPr="009A7832">
        <w:t>.</w:t>
      </w:r>
    </w:p>
  </w:footnote>
  <w:footnote w:id="88">
    <w:p w:rsidR="009806FA" w:rsidRDefault="009806FA" w14:paraId="5C675319" w14:textId="4EA525D4">
      <w:pPr>
        <w:pStyle w:val="FootnoteText"/>
      </w:pPr>
      <w:r>
        <w:rPr>
          <w:rStyle w:val="FootnoteReference"/>
        </w:rPr>
        <w:footnoteRef/>
      </w:r>
      <w:r>
        <w:t xml:space="preserve"> </w:t>
      </w:r>
      <w:r w:rsidR="009D5C5B">
        <w:t xml:space="preserve">“Alabama, Business and Economy,” U.S. Census Bureau, </w:t>
      </w:r>
      <w:hyperlink w:history="1" r:id="rId43">
        <w:r w:rsidRPr="00EB1331" w:rsidR="009D5C5B">
          <w:rPr>
            <w:rStyle w:val="Hyperlink"/>
          </w:rPr>
          <w:t>https://data.census.gov/all/profiles?q=Alabama+Business+and+Economy</w:t>
        </w:r>
      </w:hyperlink>
      <w:r w:rsidR="009D5C5B">
        <w:t xml:space="preserve">. </w:t>
      </w:r>
    </w:p>
  </w:footnote>
  <w:footnote w:id="89">
    <w:p w:rsidRPr="00E94D00" w:rsidR="4DAB7B41" w:rsidP="00F91735" w:rsidRDefault="4DAB7B41" w14:paraId="1927AE0E" w14:textId="18DF09DC">
      <w:pPr>
        <w:spacing w:after="0" w:line="240" w:lineRule="auto"/>
        <w:rPr>
          <w:sz w:val="20"/>
          <w:szCs w:val="20"/>
          <w:lang w:val="es-ES"/>
        </w:rPr>
      </w:pPr>
      <w:r w:rsidRPr="008735C9">
        <w:rPr>
          <w:sz w:val="20"/>
          <w:szCs w:val="20"/>
          <w:vertAlign w:val="superscript"/>
        </w:rPr>
        <w:footnoteRef/>
      </w:r>
      <w:r w:rsidR="00552C01">
        <w:rPr>
          <w:sz w:val="20"/>
          <w:szCs w:val="20"/>
          <w:lang w:val="es-ES"/>
        </w:rPr>
        <w:t xml:space="preserve"> </w:t>
      </w:r>
      <w:r w:rsidRPr="00F85C79" w:rsidR="005A0D77">
        <w:rPr>
          <w:sz w:val="20"/>
          <w:szCs w:val="20"/>
          <w:lang w:val="es-ES"/>
        </w:rPr>
        <w:t>AOMA</w:t>
      </w:r>
      <w:r w:rsidRPr="00F85C79" w:rsidR="001E638A">
        <w:rPr>
          <w:sz w:val="20"/>
          <w:szCs w:val="20"/>
          <w:lang w:val="es-ES"/>
        </w:rPr>
        <w:t xml:space="preserve">, </w:t>
      </w:r>
      <w:hyperlink w:history="1" r:id="rId44">
        <w:r w:rsidRPr="00F85C79" w:rsidR="001E638A">
          <w:rPr>
            <w:rStyle w:val="Hyperlink"/>
            <w:sz w:val="20"/>
            <w:szCs w:val="20"/>
            <w:lang w:val="es-ES"/>
          </w:rPr>
          <w:t>https://aoma.alabama.gov/</w:t>
        </w:r>
      </w:hyperlink>
      <w:r w:rsidRPr="00E94D00" w:rsidR="001E638A">
        <w:rPr>
          <w:sz w:val="20"/>
          <w:szCs w:val="20"/>
          <w:lang w:val="es-ES"/>
        </w:rPr>
        <w:t>.</w:t>
      </w:r>
    </w:p>
  </w:footnote>
  <w:footnote w:id="90">
    <w:p w:rsidRPr="00F17EEB" w:rsidR="4DAB7B41" w:rsidP="00E94D00" w:rsidRDefault="4DAB7B41" w14:paraId="134F4961" w14:textId="387760F3">
      <w:pPr>
        <w:spacing w:after="0" w:line="240" w:lineRule="auto"/>
        <w:jc w:val="left"/>
        <w:rPr>
          <w:sz w:val="20"/>
          <w:szCs w:val="20"/>
        </w:rPr>
      </w:pPr>
      <w:r w:rsidRPr="008735C9">
        <w:rPr>
          <w:sz w:val="20"/>
          <w:szCs w:val="20"/>
          <w:vertAlign w:val="superscript"/>
        </w:rPr>
        <w:footnoteRef/>
      </w:r>
      <w:r w:rsidRPr="001E638A">
        <w:rPr>
          <w:sz w:val="20"/>
          <w:szCs w:val="20"/>
        </w:rPr>
        <w:t xml:space="preserve"> </w:t>
      </w:r>
      <w:r w:rsidRPr="001E638A" w:rsidR="001E638A">
        <w:rPr>
          <w:sz w:val="20"/>
          <w:szCs w:val="20"/>
        </w:rPr>
        <w:t>“Alabama MBDA Business Center,”</w:t>
      </w:r>
      <w:r w:rsidR="00181ED3">
        <w:rPr>
          <w:sz w:val="20"/>
          <w:szCs w:val="20"/>
        </w:rPr>
        <w:t xml:space="preserve"> </w:t>
      </w:r>
      <w:r w:rsidR="00620940">
        <w:rPr>
          <w:sz w:val="20"/>
          <w:szCs w:val="20"/>
        </w:rPr>
        <w:t xml:space="preserve">MBDA, </w:t>
      </w:r>
      <w:hyperlink w:history="1" r:id="rId45">
        <w:r w:rsidRPr="008A34E0" w:rsidR="00181ED3">
          <w:rPr>
            <w:rStyle w:val="Hyperlink"/>
            <w:sz w:val="20"/>
            <w:szCs w:val="20"/>
          </w:rPr>
          <w:t>https://www.mbda.gov/business-center/alabama-mbda-business-center</w:t>
        </w:r>
      </w:hyperlink>
      <w:r w:rsidR="001E638A">
        <w:rPr>
          <w:sz w:val="20"/>
          <w:szCs w:val="20"/>
        </w:rPr>
        <w:t>.</w:t>
      </w:r>
      <w:r w:rsidRPr="001E638A" w:rsidR="00B23F92">
        <w:rPr>
          <w:sz w:val="20"/>
          <w:szCs w:val="20"/>
        </w:rPr>
        <w:t xml:space="preserve"> </w:t>
      </w:r>
    </w:p>
  </w:footnote>
  <w:footnote w:id="91">
    <w:p w:rsidR="4DAB7B41" w:rsidRDefault="4DAB7B41" w14:paraId="12B64A18" w14:textId="657D5980">
      <w:pPr>
        <w:pStyle w:val="FootnoteText"/>
      </w:pPr>
      <w:r>
        <w:rPr>
          <w:rStyle w:val="FootnoteReference"/>
        </w:rPr>
        <w:footnoteRef/>
      </w:r>
      <w:r w:rsidR="002C53DC">
        <w:t xml:space="preserve"> </w:t>
      </w:r>
      <w:r w:rsidRPr="009A094E" w:rsidR="000C3DB8">
        <w:t>“The Dan</w:t>
      </w:r>
      <w:r w:rsidR="000C3DB8">
        <w:t xml:space="preserve">non Project,” </w:t>
      </w:r>
      <w:r w:rsidR="00620940">
        <w:t xml:space="preserve">MBDA, </w:t>
      </w:r>
      <w:hyperlink w:history="1" r:id="rId46">
        <w:r w:rsidRPr="00662F33" w:rsidR="000C3DB8">
          <w:rPr>
            <w:rStyle w:val="Hyperlink"/>
          </w:rPr>
          <w:t>https://www.mbda.gov/business-center/grant-recipient-dannon-project</w:t>
        </w:r>
      </w:hyperlink>
      <w:r w:rsidR="000C3DB8">
        <w:t>.</w:t>
      </w:r>
    </w:p>
  </w:footnote>
  <w:footnote w:id="92">
    <w:p w:rsidR="005A154B" w:rsidRDefault="005A154B" w14:paraId="59D14A0A" w14:textId="3DB15B56">
      <w:pPr>
        <w:pStyle w:val="FootnoteText"/>
      </w:pPr>
      <w:r>
        <w:rPr>
          <w:rStyle w:val="FootnoteReference"/>
        </w:rPr>
        <w:footnoteRef/>
      </w:r>
      <w:r>
        <w:t xml:space="preserve"> </w:t>
      </w:r>
      <w:r w:rsidR="00023DF6">
        <w:t xml:space="preserve">“Small Business,” Made in Alabama, </w:t>
      </w:r>
      <w:r w:rsidR="00543777">
        <w:t xml:space="preserve">Alabama Department of Commerce, </w:t>
      </w:r>
      <w:hyperlink w:history="1" r:id="rId47">
        <w:r w:rsidRPr="000B54F8" w:rsidR="00FB2C6C">
          <w:rPr>
            <w:rStyle w:val="Hyperlink"/>
          </w:rPr>
          <w:t>https://www.madeinalabama.com/business-development/small-business/</w:t>
        </w:r>
      </w:hyperlink>
      <w:r w:rsidR="00FB2C6C">
        <w:t xml:space="preserve">. </w:t>
      </w:r>
    </w:p>
  </w:footnote>
  <w:footnote w:id="93">
    <w:p w:rsidRPr="00327577" w:rsidR="001D1A83" w:rsidRDefault="001D1A83" w14:paraId="34FEB9E5" w14:textId="088F0788">
      <w:pPr>
        <w:pStyle w:val="FootnoteText"/>
        <w:rPr>
          <w:lang w:val="es-ES"/>
        </w:rPr>
      </w:pPr>
      <w:r>
        <w:rPr>
          <w:rStyle w:val="FootnoteReference"/>
        </w:rPr>
        <w:footnoteRef/>
      </w:r>
      <w:r w:rsidRPr="00327577">
        <w:rPr>
          <w:lang w:val="es-ES"/>
        </w:rPr>
        <w:t xml:space="preserve"> </w:t>
      </w:r>
      <w:r w:rsidRPr="00327577" w:rsidR="005B5A46">
        <w:rPr>
          <w:lang w:val="es-ES"/>
        </w:rPr>
        <w:t>“Alabama</w:t>
      </w:r>
      <w:r w:rsidR="00D9142F">
        <w:rPr>
          <w:lang w:val="es-ES"/>
        </w:rPr>
        <w:t xml:space="preserve"> </w:t>
      </w:r>
      <w:r w:rsidRPr="00B44071" w:rsidR="00D9142F">
        <w:t>District</w:t>
      </w:r>
      <w:r w:rsidRPr="00327577" w:rsidR="005B5A46">
        <w:rPr>
          <w:lang w:val="es-ES"/>
        </w:rPr>
        <w:t xml:space="preserve">,” SBA, </w:t>
      </w:r>
      <w:hyperlink w:history="1" r:id="rId48">
        <w:r w:rsidRPr="00327577" w:rsidR="005B5A46">
          <w:rPr>
            <w:rStyle w:val="Hyperlink"/>
            <w:lang w:val="es-ES"/>
          </w:rPr>
          <w:t>https://www.sba.gov/district/alabama</w:t>
        </w:r>
      </w:hyperlink>
      <w:r w:rsidRPr="00327577" w:rsidR="005B5A46">
        <w:rPr>
          <w:lang w:val="es-ES"/>
        </w:rPr>
        <w:t xml:space="preserve">. </w:t>
      </w:r>
    </w:p>
  </w:footnote>
  <w:footnote w:id="94">
    <w:p w:rsidR="00DA358B" w:rsidRDefault="00DA358B" w14:paraId="75446547" w14:textId="0D24990C">
      <w:pPr>
        <w:pStyle w:val="FootnoteText"/>
      </w:pPr>
      <w:r>
        <w:rPr>
          <w:rStyle w:val="FootnoteReference"/>
        </w:rPr>
        <w:footnoteRef/>
      </w:r>
      <w:r>
        <w:t xml:space="preserve"> </w:t>
      </w:r>
      <w:r w:rsidR="00A50502">
        <w:t>“</w:t>
      </w:r>
      <w:r w:rsidRPr="00A50502" w:rsidR="00A50502">
        <w:t>Doing business in the Alabama District</w:t>
      </w:r>
      <w:r w:rsidR="00A50502">
        <w:t xml:space="preserve">,” SBA, </w:t>
      </w:r>
      <w:hyperlink w:history="1" r:id="rId49">
        <w:r w:rsidRPr="000B54F8" w:rsidR="007B689C">
          <w:rPr>
            <w:rStyle w:val="Hyperlink"/>
          </w:rPr>
          <w:t>https://www.sba.gov/district/alabama/doing-business-alabama-district</w:t>
        </w:r>
      </w:hyperlink>
      <w:r w:rsidR="007B689C">
        <w:t xml:space="preserve">. </w:t>
      </w:r>
    </w:p>
  </w:footnote>
  <w:footnote w:id="95">
    <w:p w:rsidR="00892C5E" w:rsidP="00892C5E" w:rsidRDefault="00892C5E" w14:paraId="080E973F" w14:textId="11B72E3E">
      <w:pPr>
        <w:pStyle w:val="FootnoteText"/>
      </w:pPr>
      <w:r>
        <w:rPr>
          <w:rStyle w:val="FootnoteReference"/>
        </w:rPr>
        <w:footnoteRef/>
      </w:r>
      <w:r>
        <w:t xml:space="preserve"> Lindsay McKenzie, “</w:t>
      </w:r>
      <w:r w:rsidRPr="00012647">
        <w:t>NTIA chief says states have ‘homework assignments’ on broadband permits</w:t>
      </w:r>
      <w:r>
        <w:t xml:space="preserve">,” </w:t>
      </w:r>
      <w:r w:rsidRPr="00012647">
        <w:rPr>
          <w:i/>
          <w:iCs/>
        </w:rPr>
        <w:t>State Scoop</w:t>
      </w:r>
      <w:r>
        <w:t xml:space="preserve"> </w:t>
      </w:r>
      <w:r w:rsidR="000F141E">
        <w:t>(</w:t>
      </w:r>
      <w:r w:rsidR="00D90AAE">
        <w:t>March 16, 2023</w:t>
      </w:r>
      <w:r w:rsidR="000F141E">
        <w:t>)</w:t>
      </w:r>
      <w:r w:rsidR="00E32258">
        <w:t>,</w:t>
      </w:r>
      <w:r w:rsidR="00D90AAE">
        <w:t xml:space="preserve"> </w:t>
      </w:r>
      <w:hyperlink w:history="1" r:id="rId50">
        <w:r w:rsidRPr="005F5FC7">
          <w:rPr>
            <w:rStyle w:val="Hyperlink"/>
          </w:rPr>
          <w:t>https://statescoop.com/alan-davidson-ntia-state-bro</w:t>
        </w:r>
        <w:bookmarkStart w:name="_Hlt148102739" w:id="234"/>
        <w:bookmarkStart w:name="_Hlt148102740" w:id="235"/>
        <w:r w:rsidRPr="005F5FC7">
          <w:rPr>
            <w:rStyle w:val="Hyperlink"/>
          </w:rPr>
          <w:t>a</w:t>
        </w:r>
        <w:bookmarkEnd w:id="234"/>
        <w:bookmarkEnd w:id="235"/>
        <w:r w:rsidRPr="005F5FC7">
          <w:rPr>
            <w:rStyle w:val="Hyperlink"/>
          </w:rPr>
          <w:t>dband-permits/</w:t>
        </w:r>
      </w:hyperlink>
      <w:r>
        <w:t>.</w:t>
      </w:r>
    </w:p>
  </w:footnote>
  <w:footnote w:id="96">
    <w:p w:rsidRPr="00B570E1" w:rsidR="004619BE" w:rsidP="004619BE" w:rsidRDefault="004619BE" w14:paraId="3581E96D" w14:textId="52B56305">
      <w:pPr>
        <w:pStyle w:val="FootnoteText"/>
      </w:pPr>
      <w:r>
        <w:rPr>
          <w:rStyle w:val="FootnoteReference"/>
        </w:rPr>
        <w:footnoteRef/>
      </w:r>
      <w:r>
        <w:t xml:space="preserve"> Note that</w:t>
      </w:r>
      <w:r w:rsidR="00641B30">
        <w:t>,</w:t>
      </w:r>
      <w:r>
        <w:t xml:space="preserve"> while </w:t>
      </w:r>
      <w:r w:rsidRPr="0026080A">
        <w:t xml:space="preserve">ALDOT owns minimal fiber to support </w:t>
      </w:r>
      <w:r>
        <w:t xml:space="preserve">its </w:t>
      </w:r>
      <w:r w:rsidRPr="0026080A">
        <w:t>operations, this fiber is not available for use by broadband providers.</w:t>
      </w:r>
    </w:p>
  </w:footnote>
  <w:footnote w:id="97">
    <w:p w:rsidR="004619BE" w:rsidP="004619BE" w:rsidRDefault="004619BE" w14:paraId="53E4D675" w14:textId="77777777">
      <w:pPr>
        <w:pStyle w:val="FootnoteText"/>
      </w:pPr>
      <w:r>
        <w:rPr>
          <w:rStyle w:val="FootnoteReference"/>
        </w:rPr>
        <w:footnoteRef/>
      </w:r>
      <w:r>
        <w:t xml:space="preserve"> “</w:t>
      </w:r>
      <w:r w:rsidRPr="00EC1B4D">
        <w:t>Valuation and Compensation Approaches in Utility Accommodation: A Guide</w:t>
      </w:r>
      <w:r>
        <w:t>,”</w:t>
      </w:r>
      <w:r w:rsidRPr="00EC1B4D">
        <w:t xml:space="preserve"> National Academies of Sciences, Engineering, and Medicine</w:t>
      </w:r>
      <w:r>
        <w:t>,</w:t>
      </w:r>
      <w:r w:rsidRPr="00EC1B4D">
        <w:t xml:space="preserve"> The National Academies Press</w:t>
      </w:r>
      <w:r>
        <w:t xml:space="preserve">, </w:t>
      </w:r>
      <w:r w:rsidRPr="00EC1B4D">
        <w:t>2023</w:t>
      </w:r>
      <w:r>
        <w:t>,</w:t>
      </w:r>
      <w:r w:rsidRPr="00EC1B4D">
        <w:t xml:space="preserve"> </w:t>
      </w:r>
      <w:hyperlink w:history="1" r:id="rId51">
        <w:r w:rsidRPr="00F42D1C">
          <w:rPr>
            <w:rStyle w:val="Hyperlink"/>
          </w:rPr>
          <w:t>https://nap.nationalacademies.org/catalog/27163/valuation-and-compensation-approaches-in-utility-accommodation-a-guide</w:t>
        </w:r>
      </w:hyperlink>
      <w:r>
        <w:t>.</w:t>
      </w:r>
    </w:p>
  </w:footnote>
  <w:footnote w:id="98">
    <w:p w:rsidR="004619BE" w:rsidP="004619BE" w:rsidRDefault="004619BE" w14:paraId="0D043ADF" w14:textId="62AB414B">
      <w:pPr>
        <w:pStyle w:val="FootnoteText"/>
      </w:pPr>
      <w:r>
        <w:rPr>
          <w:rStyle w:val="FootnoteReference"/>
        </w:rPr>
        <w:footnoteRef/>
      </w:r>
      <w:r>
        <w:t xml:space="preserve"> Matrix of state approaches available for download at </w:t>
      </w:r>
      <w:hyperlink w:history="1" r:id="rId52">
        <w:r w:rsidRPr="00F42D1C">
          <w:rPr>
            <w:rStyle w:val="Hyperlink"/>
          </w:rPr>
          <w:t>https://www.dropbox.com/s/ei6o8rwiup9l8to/NCHRP%20RR%201053%20Decision_Support_Tool.xlsx?dl=0</w:t>
        </w:r>
      </w:hyperlink>
      <w:r>
        <w:t xml:space="preserve">. </w:t>
      </w:r>
      <w:r w:rsidR="00D521B5">
        <w:t>ALDOT’s Permit Manual specifies that “</w:t>
      </w:r>
      <w:r w:rsidR="002029C0">
        <w:t>[p]</w:t>
      </w:r>
      <w:r w:rsidR="00D521B5">
        <w:t>ermits for utility accommodation are issued for aerial or underground power and telecommunications (telephone, fiber, and cable) facilities</w:t>
      </w:r>
      <w:r w:rsidR="002029C0">
        <w:t>….</w:t>
      </w:r>
      <w:r w:rsidR="00D521B5">
        <w:t>”</w:t>
      </w:r>
      <w:r w:rsidR="00F865DD">
        <w:t xml:space="preserve"> </w:t>
      </w:r>
      <w:r w:rsidR="00F865DD">
        <w:rPr>
          <w:i/>
          <w:iCs/>
        </w:rPr>
        <w:t>See</w:t>
      </w:r>
      <w:r w:rsidR="00F865DD">
        <w:rPr>
          <w:i/>
        </w:rPr>
        <w:t xml:space="preserve"> </w:t>
      </w:r>
      <w:r w:rsidR="00F865DD">
        <w:t>Permit Manual, Section 13-2,</w:t>
      </w:r>
      <w:r w:rsidR="002029C0">
        <w:t xml:space="preserve"> </w:t>
      </w:r>
      <w:r w:rsidR="0071058E">
        <w:t>ALDOT,</w:t>
      </w:r>
      <w:r w:rsidR="00D521B5">
        <w:t xml:space="preserve"> </w:t>
      </w:r>
      <w:hyperlink w:history="1" r:id="rId53">
        <w:r w:rsidRPr="000C6B32" w:rsidR="00D521B5">
          <w:rPr>
            <w:rStyle w:val="Hyperlink"/>
          </w:rPr>
          <w:t>https://www.dot.state.al.us/publications/Maintenance/pdf/Permits/PermitManual.pdf</w:t>
        </w:r>
      </w:hyperlink>
      <w:r w:rsidR="00D521B5">
        <w:t>.</w:t>
      </w:r>
    </w:p>
  </w:footnote>
  <w:footnote w:id="99">
    <w:p w:rsidR="004619BE" w:rsidP="004619BE" w:rsidRDefault="004619BE" w14:paraId="70F95742" w14:textId="0AF01499">
      <w:pPr>
        <w:pStyle w:val="FootnoteText"/>
      </w:pPr>
      <w:r>
        <w:rPr>
          <w:rStyle w:val="FootnoteReference"/>
        </w:rPr>
        <w:footnoteRef/>
      </w:r>
      <w:r w:rsidDel="00ED6D87">
        <w:t xml:space="preserve"> </w:t>
      </w:r>
      <w:r>
        <w:t xml:space="preserve">“Region Projects,” </w:t>
      </w:r>
      <w:r w:rsidDel="00566836">
        <w:t xml:space="preserve">ALDOT, </w:t>
      </w:r>
      <w:hyperlink w:history="1" r:id="rId54">
        <w:r w:rsidRPr="00566836" w:rsidR="00566836">
          <w:rPr>
            <w:rStyle w:val="Hyperlink"/>
          </w:rPr>
          <w:t>https://www.dot.state.al.us/projects/regionProjects.html</w:t>
        </w:r>
      </w:hyperlink>
      <w:r>
        <w:t>.</w:t>
      </w:r>
    </w:p>
  </w:footnote>
  <w:footnote w:id="100">
    <w:p w:rsidR="004619BE" w:rsidP="004619BE" w:rsidRDefault="004619BE" w14:paraId="2895852D" w14:textId="026AD685">
      <w:pPr>
        <w:pStyle w:val="FootnoteText"/>
      </w:pPr>
      <w:r>
        <w:rPr>
          <w:rStyle w:val="FootnoteReference"/>
        </w:rPr>
        <w:footnoteRef/>
      </w:r>
      <w:r>
        <w:t xml:space="preserve"> </w:t>
      </w:r>
      <w:r w:rsidRPr="006862FA">
        <w:t xml:space="preserve">47 </w:t>
      </w:r>
      <w:r w:rsidR="00162D1C">
        <w:t xml:space="preserve">U.S.C. § </w:t>
      </w:r>
      <w:r w:rsidRPr="006862FA">
        <w:t xml:space="preserve">224(d)(1); 47 </w:t>
      </w:r>
      <w:r w:rsidR="00162D1C">
        <w:t xml:space="preserve">C.F.R. § </w:t>
      </w:r>
      <w:r w:rsidRPr="006862FA">
        <w:t>1.</w:t>
      </w:r>
      <w:r w:rsidR="00162D1C">
        <w:t>1406;</w:t>
      </w:r>
      <w:r>
        <w:t xml:space="preserve"> </w:t>
      </w:r>
      <w:r w:rsidRPr="00D026A4">
        <w:t>Survey of Rates for Pole Attachments and Access to Rights of Way</w:t>
      </w:r>
      <w:r w:rsidR="00162D1C">
        <w:t xml:space="preserve"> (Apr</w:t>
      </w:r>
      <w:r w:rsidR="00202A96">
        <w:t>.</w:t>
      </w:r>
      <w:r w:rsidR="00162D1C">
        <w:t xml:space="preserve"> 24, 2018),</w:t>
      </w:r>
      <w:r w:rsidRPr="00D026A4">
        <w:t xml:space="preserve"> </w:t>
      </w:r>
      <w:hyperlink w:history="1" r:id="rId55">
        <w:r w:rsidRPr="00662F33" w:rsidR="00AC37C9">
          <w:rPr>
            <w:rStyle w:val="Hyperlink"/>
          </w:rPr>
          <w:t>https://www.fcc.gov/sites/default/files/ad-hoc-commitee-survey-04242018.pdf</w:t>
        </w:r>
      </w:hyperlink>
      <w:r w:rsidR="00AC37C9">
        <w:t xml:space="preserve">. </w:t>
      </w:r>
    </w:p>
  </w:footnote>
  <w:footnote w:id="101">
    <w:p w:rsidRPr="00EB1D10" w:rsidR="004619BE" w:rsidP="004619BE" w:rsidRDefault="004619BE" w14:paraId="5170551D" w14:textId="5A338339">
      <w:pPr>
        <w:pStyle w:val="FootnoteText"/>
      </w:pPr>
      <w:r w:rsidRPr="006A1EEF">
        <w:rPr>
          <w:rStyle w:val="FootnoteReference"/>
        </w:rPr>
        <w:footnoteRef/>
      </w:r>
      <w:r w:rsidRPr="006A1EEF">
        <w:t xml:space="preserve"> </w:t>
      </w:r>
      <w:r w:rsidRPr="00137CF7">
        <w:rPr>
          <w:i/>
          <w:iCs/>
        </w:rPr>
        <w:t>See</w:t>
      </w:r>
      <w:r w:rsidRPr="006A1EEF">
        <w:t xml:space="preserve"> </w:t>
      </w:r>
      <w:r w:rsidR="00AB7B2C">
        <w:t xml:space="preserve">Ala. </w:t>
      </w:r>
      <w:r w:rsidRPr="00B44071" w:rsidR="00AB7B2C">
        <w:t xml:space="preserve">Code </w:t>
      </w:r>
      <w:r w:rsidRPr="00B44071" w:rsidR="002523AF">
        <w:t xml:space="preserve">§§ 37-16-4, 37-16-9, </w:t>
      </w:r>
      <w:hyperlink w:history="1" r:id="rId56">
        <w:r w:rsidRPr="00B44071" w:rsidR="002523AF">
          <w:rPr>
            <w:rStyle w:val="Hyperlink"/>
          </w:rPr>
          <w:t>http://alisondb.legislature.state.al.us/alison/codeofalabama/1975/coatoc.htm</w:t>
        </w:r>
      </w:hyperlink>
      <w:r w:rsidRPr="00293C2F">
        <w:t>.</w:t>
      </w:r>
    </w:p>
  </w:footnote>
  <w:footnote w:id="102">
    <w:p w:rsidR="004619BE" w:rsidP="004619BE" w:rsidRDefault="004619BE" w14:paraId="5D7E219C" w14:textId="12A2C67F">
      <w:pPr>
        <w:pStyle w:val="FootnoteText"/>
      </w:pPr>
      <w:r w:rsidRPr="006A1EEF">
        <w:rPr>
          <w:rStyle w:val="FootnoteReference"/>
        </w:rPr>
        <w:footnoteRef/>
      </w:r>
      <w:r w:rsidRPr="006A1EEF">
        <w:t xml:space="preserve"> </w:t>
      </w:r>
      <w:r w:rsidRPr="006A1EEF">
        <w:rPr>
          <w:rFonts w:cs="Calibri"/>
          <w:color w:val="000000"/>
          <w:shd w:val="clear" w:color="auto" w:fill="FFFFFF"/>
        </w:rPr>
        <w:t>TVA 2019 Board Resolution</w:t>
      </w:r>
      <w:r w:rsidR="006741B2">
        <w:rPr>
          <w:rFonts w:cs="Calibri"/>
          <w:color w:val="000000"/>
          <w:shd w:val="clear" w:color="auto" w:fill="FFFFFF"/>
        </w:rPr>
        <w:t xml:space="preserve">, </w:t>
      </w:r>
      <w:hyperlink w:tgtFrame="_blank" w:history="1" r:id="rId57">
        <w:r w:rsidRPr="00BA6650">
          <w:rPr>
            <w:rFonts w:cs="Calibri"/>
            <w:color w:val="0563C1"/>
            <w:u w:val="single"/>
            <w:shd w:val="clear" w:color="auto" w:fill="FFFFFF"/>
          </w:rPr>
          <w:t>https://tva-azr-eastus-cdn-ep-tvawcm-prd.azureedge.net/cdn-tvawcma/docs/default-source/about-tva/guidelines-reports/lpc/broadband_resolution_memo.pdf?sfvrsn=2f3d6c92_2</w:t>
        </w:r>
      </w:hyperlink>
      <w:r w:rsidRPr="006A1EEF">
        <w:rPr>
          <w:rFonts w:cs="Calibri"/>
          <w:color w:val="000000"/>
          <w:shd w:val="clear" w:color="auto" w:fill="FFFFFF"/>
        </w:rPr>
        <w:t>; 2016 TVA Pole Attachment regulations</w:t>
      </w:r>
      <w:r w:rsidR="00155744">
        <w:rPr>
          <w:rFonts w:cs="Calibri"/>
          <w:color w:val="000000"/>
          <w:shd w:val="clear" w:color="auto" w:fill="FFFFFF"/>
        </w:rPr>
        <w:t>,</w:t>
      </w:r>
      <w:r w:rsidR="00090327">
        <w:rPr>
          <w:rFonts w:cs="Calibri"/>
          <w:color w:val="000000"/>
          <w:shd w:val="clear" w:color="auto" w:fill="FFFFFF"/>
        </w:rPr>
        <w:t xml:space="preserve"> </w:t>
      </w:r>
      <w:hyperlink w:tgtFrame="_blank" w:history="1" r:id="rId58">
        <w:r w:rsidRPr="00137CF7">
          <w:rPr>
            <w:rFonts w:cs="Calibri"/>
            <w:color w:val="0563C1"/>
            <w:u w:val="single"/>
            <w:shd w:val="clear" w:color="auto" w:fill="FFFFFF"/>
          </w:rPr>
          <w:t>https://www.tva.com/about-tva/guidelines-and-reports</w:t>
        </w:r>
      </w:hyperlink>
      <w:r w:rsidR="00155744">
        <w:rPr>
          <w:rFonts w:ascii="Calibri" w:hAnsi="Calibri" w:cs="Calibri"/>
          <w:color w:val="000000"/>
          <w:shd w:val="clear" w:color="auto" w:fill="FFFFFF"/>
        </w:rPr>
        <w:t>.</w:t>
      </w:r>
    </w:p>
  </w:footnote>
  <w:footnote w:id="103">
    <w:p w:rsidRPr="00812A7F" w:rsidR="00110791" w:rsidRDefault="00110791" w14:paraId="7D08322B" w14:textId="75819B3A">
      <w:pPr>
        <w:pStyle w:val="FootnoteText"/>
      </w:pPr>
      <w:r>
        <w:rPr>
          <w:rStyle w:val="FootnoteReference"/>
        </w:rPr>
        <w:footnoteRef/>
      </w:r>
      <w:r>
        <w:t xml:space="preserve"> Ala. Act. No. 2021-5. </w:t>
      </w:r>
      <w:r>
        <w:rPr>
          <w:i/>
          <w:iCs/>
        </w:rPr>
        <w:t xml:space="preserve">See </w:t>
      </w:r>
      <w:r>
        <w:t>Ala. Code §§</w:t>
      </w:r>
      <w:r w:rsidR="006F1B37">
        <w:t xml:space="preserve"> 37-17-1–37-17-12.</w:t>
      </w:r>
    </w:p>
  </w:footnote>
  <w:footnote w:id="104">
    <w:p w:rsidRPr="00812A7F" w:rsidR="00147EC7" w:rsidRDefault="00147EC7" w14:paraId="31545656" w14:textId="201FC612">
      <w:pPr>
        <w:pStyle w:val="FootnoteText"/>
      </w:pPr>
      <w:r>
        <w:rPr>
          <w:rStyle w:val="FootnoteReference"/>
        </w:rPr>
        <w:footnoteRef/>
      </w:r>
      <w:r>
        <w:t xml:space="preserve"> </w:t>
      </w:r>
      <w:r>
        <w:rPr>
          <w:i/>
          <w:iCs/>
        </w:rPr>
        <w:t>See, e.g.</w:t>
      </w:r>
      <w:r>
        <w:t xml:space="preserve">, </w:t>
      </w:r>
      <w:r w:rsidR="006D7A3B">
        <w:t>“</w:t>
      </w:r>
      <w:r>
        <w:t>Small Cell Wireless Facilities Ordinance</w:t>
      </w:r>
      <w:r w:rsidR="00CE7132">
        <w:t>,</w:t>
      </w:r>
      <w:r w:rsidR="006D7A3B">
        <w:t>”</w:t>
      </w:r>
      <w:r w:rsidR="00D06CD9">
        <w:t xml:space="preserve"> </w:t>
      </w:r>
      <w:r w:rsidR="006D7A3B">
        <w:t>City of Florence</w:t>
      </w:r>
      <w:r w:rsidR="00CE7132">
        <w:t>,</w:t>
      </w:r>
      <w:r w:rsidR="00D06CD9">
        <w:t xml:space="preserve"> </w:t>
      </w:r>
      <w:hyperlink w:history="1" r:id="rId59">
        <w:r w:rsidRPr="008A34E0" w:rsidR="00D06CD9">
          <w:rPr>
            <w:rStyle w:val="Hyperlink"/>
          </w:rPr>
          <w:t>https://florenceal.org/departments/planning_and_community_development/resources.php</w:t>
        </w:r>
      </w:hyperlink>
      <w:r w:rsidR="00D06CD9">
        <w:t xml:space="preserve">. </w:t>
      </w:r>
    </w:p>
  </w:footnote>
  <w:footnote w:id="105">
    <w:p w:rsidRPr="005B4529" w:rsidR="00EA344B" w:rsidRDefault="00EA344B" w14:paraId="7B5D23F5" w14:textId="5F8CD6A7">
      <w:pPr>
        <w:pStyle w:val="FootnoteText"/>
        <w:rPr>
          <w:lang w:val="es-ES"/>
        </w:rPr>
      </w:pPr>
      <w:r>
        <w:rPr>
          <w:rStyle w:val="FootnoteReference"/>
        </w:rPr>
        <w:footnoteRef/>
      </w:r>
      <w:r w:rsidRPr="00983DBD">
        <w:rPr>
          <w:lang w:val="es-ES"/>
        </w:rPr>
        <w:t xml:space="preserve"> </w:t>
      </w:r>
      <w:r w:rsidRPr="000F1532" w:rsidR="000E3FDD">
        <w:rPr>
          <w:lang w:val="es-ES"/>
        </w:rPr>
        <w:t>“</w:t>
      </w:r>
      <w:r w:rsidRPr="00983DBD">
        <w:rPr>
          <w:lang w:val="es-ES"/>
        </w:rPr>
        <w:t xml:space="preserve">Alabama Broadband </w:t>
      </w:r>
      <w:r w:rsidRPr="00983DBD">
        <w:rPr>
          <w:lang w:val="es-ES"/>
        </w:rPr>
        <w:t>Map,</w:t>
      </w:r>
      <w:r w:rsidRPr="000F1532" w:rsidR="000E3FDD">
        <w:rPr>
          <w:lang w:val="es-ES"/>
        </w:rPr>
        <w:t>”</w:t>
      </w:r>
      <w:r w:rsidRPr="00983DBD">
        <w:rPr>
          <w:lang w:val="es-ES"/>
        </w:rPr>
        <w:t xml:space="preserve"> </w:t>
      </w:r>
      <w:r w:rsidRPr="000F1532" w:rsidR="000E3FDD">
        <w:rPr>
          <w:lang w:val="es-ES"/>
        </w:rPr>
        <w:t>ADECA</w:t>
      </w:r>
      <w:r w:rsidRPr="00983DBD">
        <w:rPr>
          <w:lang w:val="es-ES"/>
        </w:rPr>
        <w:t xml:space="preserve">, </w:t>
      </w:r>
      <w:hyperlink w:history="1" r:id="rId60">
        <w:r w:rsidRPr="00CF587C">
          <w:rPr>
            <w:rStyle w:val="Hyperlink"/>
            <w:lang w:val="es-ES"/>
          </w:rPr>
          <w:t>https://broadband.alabama.gov/broadband-maps/</w:t>
        </w:r>
      </w:hyperlink>
      <w:r w:rsidRPr="005B4529">
        <w:rPr>
          <w:lang w:val="es-ES"/>
        </w:rPr>
        <w:t xml:space="preserve">. </w:t>
      </w:r>
    </w:p>
  </w:footnote>
  <w:footnote w:id="106">
    <w:p w:rsidR="00D36711" w:rsidRDefault="00D36711" w14:paraId="5DF84301" w14:textId="378FE58B">
      <w:pPr>
        <w:pStyle w:val="FootnoteText"/>
      </w:pPr>
      <w:r>
        <w:rPr>
          <w:rStyle w:val="FootnoteReference"/>
        </w:rPr>
        <w:footnoteRef/>
      </w:r>
      <w:r>
        <w:t xml:space="preserve"> </w:t>
      </w:r>
      <w:r w:rsidR="00644417">
        <w:t xml:space="preserve">All broadband mapping </w:t>
      </w:r>
      <w:r w:rsidR="007346A8">
        <w:t>in</w:t>
      </w:r>
      <w:r w:rsidR="00644417">
        <w:t xml:space="preserve">formation </w:t>
      </w:r>
      <w:r w:rsidR="000F3ED2">
        <w:t xml:space="preserve">will be provided by ADECA </w:t>
      </w:r>
      <w:r w:rsidR="004448C3">
        <w:t>in accordance with the limitations of</w:t>
      </w:r>
      <w:r w:rsidR="007346A8">
        <w:t xml:space="preserve"> its </w:t>
      </w:r>
      <w:r w:rsidR="004448C3">
        <w:t>nondisclosure agreement</w:t>
      </w:r>
      <w:r w:rsidR="007346A8">
        <w:t>s with Alabama ISPs.</w:t>
      </w:r>
      <w:r w:rsidR="004448C3">
        <w:t xml:space="preserve"> </w:t>
      </w:r>
    </w:p>
  </w:footnote>
  <w:footnote w:id="107">
    <w:p w:rsidR="00FD71AB" w:rsidRDefault="00FD71AB" w14:paraId="46C5175C" w14:textId="7AB2379F">
      <w:pPr>
        <w:pStyle w:val="FootnoteText"/>
      </w:pPr>
      <w:r>
        <w:rPr>
          <w:rStyle w:val="FootnoteReference"/>
        </w:rPr>
        <w:footnoteRef/>
      </w:r>
      <w:r>
        <w:t xml:space="preserve"> </w:t>
      </w:r>
      <w:r w:rsidR="00DC4A64">
        <w:t>“</w:t>
      </w:r>
      <w:r>
        <w:t>Minimizing Excavation Through Coordination</w:t>
      </w:r>
      <w:r w:rsidR="00A13C34">
        <w:t>,</w:t>
      </w:r>
      <w:r>
        <w:t>”</w:t>
      </w:r>
      <w:r w:rsidR="00AD035D">
        <w:t xml:space="preserve"> </w:t>
      </w:r>
      <w:r w:rsidR="00E90E4B">
        <w:t>FHWA</w:t>
      </w:r>
      <w:r w:rsidR="00A13C34">
        <w:t xml:space="preserve"> </w:t>
      </w:r>
      <w:r w:rsidRPr="004619BE" w:rsidR="00A13C34">
        <w:t>Office of Transportation Policy Studies</w:t>
      </w:r>
      <w:r w:rsidR="00A13C34">
        <w:t>,</w:t>
      </w:r>
      <w:r w:rsidR="00AD035D">
        <w:t xml:space="preserve"> </w:t>
      </w:r>
      <w:r>
        <w:t>October 2013</w:t>
      </w:r>
      <w:r w:rsidR="00AD035D">
        <w:t xml:space="preserve">, </w:t>
      </w:r>
      <w:hyperlink w:history="1" r:id="rId61">
        <w:r w:rsidRPr="00812A7F" w:rsidR="00AD035D">
          <w:rPr>
            <w:rStyle w:val="Hyperlink"/>
          </w:rPr>
          <w:t>https://www.fhwa.dot.gov/policy/otps/policy_brief_dig_once.pdf</w:t>
        </w:r>
      </w:hyperlink>
      <w:r>
        <w:t>.</w:t>
      </w:r>
    </w:p>
  </w:footnote>
  <w:footnote w:id="108">
    <w:p w:rsidR="004D57ED" w:rsidRDefault="004D57ED" w14:paraId="7C01DEE3" w14:textId="0EB46B72">
      <w:pPr>
        <w:pStyle w:val="FootnoteText"/>
      </w:pPr>
      <w:r>
        <w:rPr>
          <w:rStyle w:val="FootnoteReference"/>
        </w:rPr>
        <w:footnoteRef/>
      </w:r>
      <w:r>
        <w:t xml:space="preserve"> </w:t>
      </w:r>
      <w:r w:rsidRPr="008B3530">
        <w:t>Federally</w:t>
      </w:r>
      <w:r>
        <w:t>-</w:t>
      </w:r>
      <w:r w:rsidRPr="008B3530">
        <w:t>owned lands comprise 2.7 percent of the state</w:t>
      </w:r>
      <w:r>
        <w:t xml:space="preserve">. “Maps,” </w:t>
      </w:r>
      <w:r w:rsidR="00CC051C">
        <w:t xml:space="preserve">U.S. Bureau of Land Management, </w:t>
      </w:r>
      <w:hyperlink w:history="1" r:id="rId62">
        <w:r w:rsidRPr="00D12D1E">
          <w:rPr>
            <w:rStyle w:val="Hyperlink"/>
          </w:rPr>
          <w:t>https://www.blm.gov/maps</w:t>
        </w:r>
      </w:hyperlink>
      <w:r>
        <w:t>.</w:t>
      </w:r>
    </w:p>
  </w:footnote>
  <w:footnote w:id="109">
    <w:p w:rsidR="00D32B71" w:rsidRDefault="00D32B71" w14:paraId="051112D2" w14:textId="1BAD46F5">
      <w:pPr>
        <w:pStyle w:val="FootnoteText"/>
      </w:pPr>
      <w:r>
        <w:rPr>
          <w:rStyle w:val="FootnoteReference"/>
        </w:rPr>
        <w:footnoteRef/>
      </w:r>
      <w:r>
        <w:t xml:space="preserve"> More information on ADECA’s proposed labor standards and protections for the B</w:t>
      </w:r>
      <w:r w:rsidR="008203E3">
        <w:t>EAD</w:t>
      </w:r>
      <w:r>
        <w:t xml:space="preserve"> Program can be found</w:t>
      </w:r>
      <w:r w:rsidR="00A64EDB">
        <w:t xml:space="preserve"> above</w:t>
      </w:r>
      <w:r>
        <w:t xml:space="preserve"> in Section 8.</w:t>
      </w:r>
    </w:p>
  </w:footnote>
  <w:footnote w:id="110">
    <w:p w:rsidR="00A64EDB" w:rsidRDefault="00A64EDB" w14:paraId="208F60E6" w14:textId="71F7C39F">
      <w:pPr>
        <w:pStyle w:val="FootnoteText"/>
      </w:pPr>
      <w:r>
        <w:rPr>
          <w:rStyle w:val="FootnoteReference"/>
        </w:rPr>
        <w:footnoteRef/>
      </w:r>
      <w:r>
        <w:t xml:space="preserve"> More information on ADECA’s proposed </w:t>
      </w:r>
      <w:r w:rsidR="0047518C">
        <w:t>P</w:t>
      </w:r>
      <w:r>
        <w:t xml:space="preserve">rofessional </w:t>
      </w:r>
      <w:r w:rsidR="0047518C">
        <w:t>E</w:t>
      </w:r>
      <w:r>
        <w:t xml:space="preserve">ngineer certification requirements can be found </w:t>
      </w:r>
      <w:r w:rsidR="008203E3">
        <w:t xml:space="preserve">above </w:t>
      </w:r>
      <w:r>
        <w:t>in</w:t>
      </w:r>
      <w:r w:rsidR="008203E3">
        <w:t xml:space="preserve"> Section 5.12.6.6.</w:t>
      </w:r>
      <w:r>
        <w:t xml:space="preserve"> </w:t>
      </w:r>
    </w:p>
  </w:footnote>
  <w:footnote w:id="111">
    <w:p w:rsidR="0067708D" w:rsidP="0067708D" w:rsidRDefault="0067708D" w14:paraId="3347C959" w14:textId="77777777">
      <w:pPr>
        <w:pStyle w:val="FootnoteText"/>
      </w:pPr>
      <w:r>
        <w:rPr>
          <w:rStyle w:val="FootnoteReference"/>
        </w:rPr>
        <w:footnoteRef/>
      </w:r>
      <w:r w:rsidDel="00FB342D">
        <w:t xml:space="preserve"> </w:t>
      </w:r>
      <w:r w:rsidDel="00FC0B9C">
        <w:t>“</w:t>
      </w:r>
      <w:r>
        <w:t>Alabama,</w:t>
      </w:r>
      <w:r w:rsidDel="00FC0B9C">
        <w:t>”</w:t>
      </w:r>
      <w:r>
        <w:t xml:space="preserve"> NOAA and CISESS, </w:t>
      </w:r>
      <w:hyperlink w:history="1" r:id="rId63">
        <w:r w:rsidRPr="00245FCD">
          <w:rPr>
            <w:rStyle w:val="Hyperlink"/>
          </w:rPr>
          <w:t>https://statesummaries.ncics.org/chapter/al/</w:t>
        </w:r>
      </w:hyperlink>
      <w:r>
        <w:t xml:space="preserve">. </w:t>
      </w:r>
    </w:p>
  </w:footnote>
  <w:footnote w:id="112">
    <w:p w:rsidRPr="00E517A1" w:rsidR="00170486" w:rsidRDefault="00170486" w14:paraId="157419D4" w14:textId="36FE8D0A">
      <w:pPr>
        <w:pStyle w:val="FootnoteText"/>
      </w:pPr>
      <w:r>
        <w:rPr>
          <w:rStyle w:val="FootnoteReference"/>
        </w:rPr>
        <w:footnoteRef/>
      </w:r>
      <w:r>
        <w:t xml:space="preserve"> </w:t>
      </w:r>
      <w:r>
        <w:rPr>
          <w:i/>
          <w:iCs/>
        </w:rPr>
        <w:t>Id.</w:t>
      </w:r>
    </w:p>
  </w:footnote>
  <w:footnote w:id="113">
    <w:p w:rsidRPr="00BE7B63" w:rsidR="0067708D" w:rsidP="0067708D" w:rsidRDefault="0067708D" w14:paraId="64042848" w14:textId="7EE9ED6C">
      <w:pPr>
        <w:pStyle w:val="FootnoteText"/>
      </w:pPr>
      <w:r>
        <w:rPr>
          <w:rStyle w:val="FootnoteReference"/>
        </w:rPr>
        <w:footnoteRef/>
      </w:r>
      <w:r>
        <w:t xml:space="preserve"> </w:t>
      </w:r>
      <w:r w:rsidRPr="00BE7B63">
        <w:t xml:space="preserve">BEAD </w:t>
      </w:r>
      <w:r w:rsidRPr="00BE7B63" w:rsidR="001C50E4">
        <w:t>NOFO, p. 62 (</w:t>
      </w:r>
      <w:r w:rsidRPr="00BE7B63">
        <w:t>“At present, weather-and climate-related risks to broadband networks include wildfires, extreme heat and cold, inland and coastal flooding, and the extreme winds produces by weather events such as tornadoes, hurricanes, and other weather events.”</w:t>
      </w:r>
      <w:r w:rsidRPr="00BE7B63" w:rsidR="000B320A">
        <w:t>).</w:t>
      </w:r>
    </w:p>
  </w:footnote>
  <w:footnote w:id="114">
    <w:p w:rsidRPr="00DD6598" w:rsidR="0067708D" w:rsidP="0067708D" w:rsidRDefault="0067708D" w14:paraId="0E8A40E7" w14:textId="56E2C552">
      <w:pPr>
        <w:pStyle w:val="FootnoteText"/>
        <w:rPr>
          <w:lang w:val="es-ES"/>
        </w:rPr>
      </w:pPr>
      <w:r w:rsidRPr="00BE7B63">
        <w:rPr>
          <w:rStyle w:val="FootnoteReference"/>
        </w:rPr>
        <w:footnoteRef/>
      </w:r>
      <w:r w:rsidRPr="00CF587C">
        <w:rPr>
          <w:lang w:val="es-ES"/>
        </w:rPr>
        <w:t xml:space="preserve"> </w:t>
      </w:r>
      <w:r w:rsidRPr="00CF587C" w:rsidR="009159FD">
        <w:rPr>
          <w:lang w:val="es-ES"/>
        </w:rPr>
        <w:t>EMA</w:t>
      </w:r>
      <w:r w:rsidRPr="00CF587C">
        <w:rPr>
          <w:lang w:val="es-ES"/>
        </w:rPr>
        <w:t xml:space="preserve">, </w:t>
      </w:r>
      <w:hyperlink w:history="1" r:id="rId64">
        <w:r w:rsidRPr="00CF587C">
          <w:rPr>
            <w:rStyle w:val="Hyperlink"/>
            <w:lang w:val="es-ES"/>
          </w:rPr>
          <w:t>https://ema.alabama.gov/</w:t>
        </w:r>
      </w:hyperlink>
      <w:r w:rsidRPr="00DD6598">
        <w:rPr>
          <w:lang w:val="es-ES"/>
        </w:rPr>
        <w:t xml:space="preserve">. </w:t>
      </w:r>
    </w:p>
  </w:footnote>
  <w:footnote w:id="115">
    <w:p w:rsidR="0067708D" w:rsidP="0067708D" w:rsidRDefault="0067708D" w14:paraId="68E8A339" w14:textId="6E9BC126">
      <w:pPr>
        <w:pStyle w:val="FootnoteText"/>
      </w:pPr>
      <w:r>
        <w:rPr>
          <w:rStyle w:val="FootnoteReference"/>
        </w:rPr>
        <w:footnoteRef/>
      </w:r>
      <w:r w:rsidR="002C0F7B">
        <w:t xml:space="preserve"> </w:t>
      </w:r>
      <w:r>
        <w:t>“Alabama State Hazard Mitigation Plan</w:t>
      </w:r>
      <w:r w:rsidR="002B1BD7">
        <w:t>,</w:t>
      </w:r>
      <w:r>
        <w:t>”</w:t>
      </w:r>
      <w:r w:rsidDel="002C0F7B">
        <w:t xml:space="preserve"> </w:t>
      </w:r>
      <w:r>
        <w:t xml:space="preserve">EMA, July 18, 2018, </w:t>
      </w:r>
      <w:hyperlink w:history="1" r:id="rId65">
        <w:r w:rsidRPr="00E97582">
          <w:rPr>
            <w:rStyle w:val="Hyperlink"/>
          </w:rPr>
          <w:t>https://ema.alabama.gov/wp-content/uploads/2018/11/state-of-alabama_state-hazard-mitigation-plan-2018-update_final_07182018.pdf</w:t>
        </w:r>
      </w:hyperlink>
      <w:r>
        <w:t xml:space="preserve">. </w:t>
      </w:r>
      <w:r w:rsidR="006536DA">
        <w:t xml:space="preserve">Each Alabama county also has a </w:t>
      </w:r>
      <w:r w:rsidR="007E7620">
        <w:t xml:space="preserve">hazard mitigation plan. “County Hazard Mitigation Plan,” </w:t>
      </w:r>
      <w:r w:rsidR="000E3FDD">
        <w:t xml:space="preserve">EMA, </w:t>
      </w:r>
      <w:hyperlink w:history="1" r:id="rId66">
        <w:r w:rsidRPr="008A34E0" w:rsidR="007E7620">
          <w:rPr>
            <w:rStyle w:val="Hyperlink"/>
          </w:rPr>
          <w:t>https://ema.alabama.gov/county-mitigation-plan/</w:t>
        </w:r>
      </w:hyperlink>
      <w:r w:rsidR="007E7620">
        <w:t xml:space="preserve">. </w:t>
      </w:r>
    </w:p>
  </w:footnote>
  <w:footnote w:id="116">
    <w:p w:rsidR="0067708D" w:rsidP="0067708D" w:rsidRDefault="0067708D" w14:paraId="3FCAC296" w14:textId="321B20BD">
      <w:pPr>
        <w:pStyle w:val="FootnoteText"/>
      </w:pPr>
      <w:r>
        <w:rPr>
          <w:rStyle w:val="FootnoteReference"/>
        </w:rPr>
        <w:footnoteRef/>
      </w:r>
      <w:r>
        <w:t xml:space="preserve"> “State of Alabama Emergency Operations Plan” </w:t>
      </w:r>
      <w:r w:rsidR="000E3FDD">
        <w:t xml:space="preserve">EMA, </w:t>
      </w:r>
      <w:r w:rsidR="001907AA">
        <w:t>(</w:t>
      </w:r>
      <w:r>
        <w:t xml:space="preserve">April 2023, </w:t>
      </w:r>
      <w:hyperlink w:history="1" r:id="rId67">
        <w:r w:rsidRPr="00E97582">
          <w:rPr>
            <w:rStyle w:val="Hyperlink"/>
          </w:rPr>
          <w:t>https://ema.alabama.gov/state-of-alabama-emergency-operations-plan/</w:t>
        </w:r>
      </w:hyperlink>
      <w:r>
        <w:t xml:space="preserve">. </w:t>
      </w:r>
    </w:p>
  </w:footnote>
  <w:footnote w:id="117">
    <w:p w:rsidR="00E73393" w:rsidRDefault="00E73393" w14:paraId="3C90AD38" w14:textId="72E8D29A">
      <w:pPr>
        <w:pStyle w:val="FootnoteText"/>
      </w:pPr>
      <w:r>
        <w:rPr>
          <w:rStyle w:val="FootnoteReference"/>
        </w:rPr>
        <w:footnoteRef/>
      </w:r>
      <w:r>
        <w:t xml:space="preserve"> The hazards are presented in alphabetical order because that is the order in which they appear in the SHMP</w:t>
      </w:r>
      <w:r w:rsidR="000E3FDD">
        <w:t>.</w:t>
      </w:r>
    </w:p>
  </w:footnote>
  <w:footnote w:id="118">
    <w:p w:rsidR="0067708D" w:rsidP="0067708D" w:rsidRDefault="0067708D" w14:paraId="37808AD5" w14:textId="77777777">
      <w:pPr>
        <w:pStyle w:val="FootnoteText"/>
      </w:pPr>
      <w:r>
        <w:rPr>
          <w:rStyle w:val="FootnoteReference"/>
        </w:rPr>
        <w:footnoteRef/>
      </w:r>
      <w:r>
        <w:t xml:space="preserve"> U.S. Drought Monitor, </w:t>
      </w:r>
      <w:hyperlink w:history="1" r:id="rId68">
        <w:r w:rsidRPr="008243DA">
          <w:rPr>
            <w:rStyle w:val="Hyperlink"/>
          </w:rPr>
          <w:t>https://droughtmonitor.unl.edu/</w:t>
        </w:r>
      </w:hyperlink>
      <w:r>
        <w:t xml:space="preserve">. </w:t>
      </w:r>
    </w:p>
  </w:footnote>
  <w:footnote w:id="119">
    <w:p w:rsidR="0067708D" w:rsidP="0067708D" w:rsidRDefault="0067708D" w14:paraId="595ADEF9" w14:textId="77777777">
      <w:pPr>
        <w:pStyle w:val="FootnoteText"/>
      </w:pPr>
      <w:r>
        <w:rPr>
          <w:rStyle w:val="FootnoteReference"/>
        </w:rPr>
        <w:footnoteRef/>
      </w:r>
      <w:r>
        <w:t xml:space="preserve"> “Alabama,” U.S. Drought Monitor, </w:t>
      </w:r>
      <w:hyperlink w:history="1" r:id="rId69">
        <w:r w:rsidRPr="00450560">
          <w:rPr>
            <w:rStyle w:val="Hyperlink"/>
          </w:rPr>
          <w:t>https://droughtmonitor.unl.edu/CurrentMap/StateDroughtMonitor.aspx?AL</w:t>
        </w:r>
      </w:hyperlink>
      <w:r>
        <w:t xml:space="preserve">. </w:t>
      </w:r>
    </w:p>
  </w:footnote>
  <w:footnote w:id="120">
    <w:p w:rsidR="0067708D" w:rsidP="0067708D" w:rsidRDefault="0067708D" w14:paraId="0E28EF3F" w14:textId="77777777">
      <w:pPr>
        <w:pStyle w:val="FootnoteText"/>
      </w:pPr>
      <w:r>
        <w:rPr>
          <w:rStyle w:val="FootnoteReference"/>
        </w:rPr>
        <w:footnoteRef/>
      </w:r>
      <w:r>
        <w:t xml:space="preserve"> “</w:t>
      </w:r>
      <w:r w:rsidRPr="00A81787">
        <w:t>Alabama Drought Management Plan</w:t>
      </w:r>
      <w:r>
        <w:t xml:space="preserve">,” ADECA, </w:t>
      </w:r>
      <w:hyperlink w:history="1" r:id="rId70">
        <w:r w:rsidRPr="00450560">
          <w:rPr>
            <w:rStyle w:val="Hyperlink"/>
          </w:rPr>
          <w:t>https://adeca.alabama.gov/drought/alabama-drought-plan/</w:t>
        </w:r>
      </w:hyperlink>
      <w:r>
        <w:t xml:space="preserve">. </w:t>
      </w:r>
    </w:p>
  </w:footnote>
  <w:footnote w:id="121">
    <w:p w:rsidR="0067708D" w:rsidP="0067708D" w:rsidRDefault="0067708D" w14:paraId="536EEFDE" w14:textId="77777777">
      <w:pPr>
        <w:pStyle w:val="FootnoteText"/>
      </w:pPr>
      <w:r>
        <w:rPr>
          <w:rStyle w:val="FootnoteReference"/>
        </w:rPr>
        <w:footnoteRef/>
      </w:r>
      <w:r>
        <w:t xml:space="preserve"> “Earthquake,” FEMA, </w:t>
      </w:r>
      <w:hyperlink w:history="1" r:id="rId71">
        <w:r w:rsidRPr="00450560">
          <w:rPr>
            <w:rStyle w:val="Hyperlink"/>
          </w:rPr>
          <w:t>https://community.fema.gov/ProtectiveActions/s/article/Earthquake</w:t>
        </w:r>
      </w:hyperlink>
      <w:r>
        <w:t xml:space="preserve">. </w:t>
      </w:r>
    </w:p>
  </w:footnote>
  <w:footnote w:id="122">
    <w:p w:rsidR="0067708D" w:rsidP="0067708D" w:rsidRDefault="0067708D" w14:paraId="61F50963" w14:textId="77777777">
      <w:pPr>
        <w:pStyle w:val="FootnoteText"/>
      </w:pPr>
      <w:r>
        <w:rPr>
          <w:rStyle w:val="FootnoteReference"/>
        </w:rPr>
        <w:footnoteRef/>
      </w:r>
      <w:r>
        <w:t xml:space="preserve"> “Extreme Heat,” FEMA, </w:t>
      </w:r>
      <w:hyperlink w:history="1" r:id="rId72">
        <w:r w:rsidRPr="00450560">
          <w:rPr>
            <w:rStyle w:val="Hyperlink"/>
          </w:rPr>
          <w:t>https://community.fema.gov/ProtectiveActions/s/article/Extreme-Heat</w:t>
        </w:r>
      </w:hyperlink>
      <w:r>
        <w:t xml:space="preserve">. </w:t>
      </w:r>
    </w:p>
  </w:footnote>
  <w:footnote w:id="123">
    <w:p w:rsidR="0067708D" w:rsidP="0067708D" w:rsidRDefault="0067708D" w14:paraId="107610D5" w14:textId="77777777">
      <w:pPr>
        <w:pStyle w:val="FootnoteText"/>
      </w:pPr>
      <w:r>
        <w:rPr>
          <w:rStyle w:val="FootnoteReference"/>
        </w:rPr>
        <w:footnoteRef/>
      </w:r>
      <w:r>
        <w:t xml:space="preserve"> “</w:t>
      </w:r>
      <w:r w:rsidRPr="00F8491B">
        <w:t>The world’s electricity systems must be ready to counter the growing climate threat</w:t>
      </w:r>
      <w:r>
        <w:t xml:space="preserve">,” International Energy Agency, July 12, 2021, </w:t>
      </w:r>
      <w:hyperlink w:history="1" r:id="rId73">
        <w:r w:rsidRPr="00450560">
          <w:rPr>
            <w:rStyle w:val="Hyperlink"/>
          </w:rPr>
          <w:t>https://www.iea.org/commentaries/the-world-s-electricity-systems-must-be-ready-to-counter-the-growing-climate-threat</w:t>
        </w:r>
      </w:hyperlink>
      <w:r>
        <w:t xml:space="preserve">. </w:t>
      </w:r>
    </w:p>
  </w:footnote>
  <w:footnote w:id="124">
    <w:p w:rsidR="00A722E2" w:rsidRDefault="00A722E2" w14:paraId="52CF433A" w14:textId="27100AD3">
      <w:pPr>
        <w:pStyle w:val="FootnoteText"/>
      </w:pPr>
      <w:r>
        <w:rPr>
          <w:rStyle w:val="FootnoteReference"/>
        </w:rPr>
        <w:footnoteRef/>
      </w:r>
      <w:r>
        <w:t xml:space="preserve"> </w:t>
      </w:r>
      <w:r w:rsidR="00E0552E">
        <w:t xml:space="preserve">“Heat Wave,” FEMA, </w:t>
      </w:r>
      <w:hyperlink w:history="1" r:id="rId74">
        <w:r w:rsidRPr="00D71F40" w:rsidR="00E0552E">
          <w:rPr>
            <w:rStyle w:val="Hyperlink"/>
          </w:rPr>
          <w:t>https://hazards.fema.gov/nri/heat-wave</w:t>
        </w:r>
      </w:hyperlink>
      <w:r w:rsidR="00E0552E">
        <w:t xml:space="preserve">. </w:t>
      </w:r>
    </w:p>
  </w:footnote>
  <w:footnote w:id="125">
    <w:p w:rsidR="0067708D" w:rsidP="0067708D" w:rsidRDefault="0067708D" w14:paraId="1C706424" w14:textId="77777777">
      <w:pPr>
        <w:pStyle w:val="FootnoteText"/>
      </w:pPr>
      <w:r>
        <w:rPr>
          <w:rStyle w:val="FootnoteReference"/>
        </w:rPr>
        <w:footnoteRef/>
      </w:r>
      <w:r>
        <w:t xml:space="preserve"> “Cold Wave,” FEMA, </w:t>
      </w:r>
      <w:hyperlink w:history="1" r:id="rId75">
        <w:r w:rsidRPr="00450560">
          <w:rPr>
            <w:rStyle w:val="Hyperlink"/>
          </w:rPr>
          <w:t>https://hazards.fema.gov/nri/cold-wave</w:t>
        </w:r>
      </w:hyperlink>
      <w:r>
        <w:t xml:space="preserve">. </w:t>
      </w:r>
    </w:p>
  </w:footnote>
  <w:footnote w:id="126">
    <w:p w:rsidR="0067708D" w:rsidP="0067708D" w:rsidRDefault="0067708D" w14:paraId="1EBE8BBA" w14:textId="77777777">
      <w:pPr>
        <w:pStyle w:val="FootnoteText"/>
      </w:pPr>
      <w:r>
        <w:rPr>
          <w:rStyle w:val="FootnoteReference"/>
        </w:rPr>
        <w:footnoteRef/>
      </w:r>
      <w:r>
        <w:t xml:space="preserve"> “Riverine Flooding,” FEMA, </w:t>
      </w:r>
      <w:hyperlink w:history="1" r:id="rId76">
        <w:r w:rsidRPr="00450560">
          <w:rPr>
            <w:rStyle w:val="Hyperlink"/>
          </w:rPr>
          <w:t>https://hazards.fema.gov/nri/riverine-flooding</w:t>
        </w:r>
      </w:hyperlink>
      <w:r>
        <w:t xml:space="preserve">. </w:t>
      </w:r>
    </w:p>
  </w:footnote>
  <w:footnote w:id="127">
    <w:p w:rsidR="0067708D" w:rsidP="0067708D" w:rsidRDefault="0067708D" w14:paraId="0F031F76" w14:textId="77777777">
      <w:pPr>
        <w:pStyle w:val="FootnoteText"/>
      </w:pPr>
      <w:r>
        <w:rPr>
          <w:rStyle w:val="FootnoteReference"/>
        </w:rPr>
        <w:footnoteRef/>
      </w:r>
      <w:r>
        <w:t xml:space="preserve"> “Hail,” FEMA, </w:t>
      </w:r>
      <w:hyperlink w:history="1" r:id="rId77">
        <w:r w:rsidRPr="00FE5D44">
          <w:rPr>
            <w:rStyle w:val="Hyperlink"/>
          </w:rPr>
          <w:t>https://hazards.fema.gov/nri/hail</w:t>
        </w:r>
      </w:hyperlink>
      <w:r>
        <w:t xml:space="preserve">. </w:t>
      </w:r>
    </w:p>
  </w:footnote>
  <w:footnote w:id="128">
    <w:p w:rsidR="0067708D" w:rsidP="0067708D" w:rsidRDefault="0067708D" w14:paraId="05DAB0E3" w14:textId="77777777">
      <w:pPr>
        <w:pStyle w:val="FootnoteText"/>
      </w:pPr>
      <w:r>
        <w:rPr>
          <w:rStyle w:val="FootnoteReference"/>
        </w:rPr>
        <w:footnoteRef/>
      </w:r>
      <w:r>
        <w:t xml:space="preserve"> “Strong Wind,” FEMA, </w:t>
      </w:r>
      <w:hyperlink w:history="1" r:id="rId78">
        <w:r w:rsidRPr="00AC1A28">
          <w:rPr>
            <w:rStyle w:val="Hyperlink"/>
          </w:rPr>
          <w:t>https://hazards.fema.gov/nri/strong-wind</w:t>
        </w:r>
      </w:hyperlink>
      <w:r>
        <w:t xml:space="preserve">. </w:t>
      </w:r>
    </w:p>
  </w:footnote>
  <w:footnote w:id="129">
    <w:p w:rsidRPr="00A52357" w:rsidR="0067708D" w:rsidP="0067708D" w:rsidRDefault="0067708D" w14:paraId="31C09EBA" w14:textId="77777777">
      <w:pPr>
        <w:pStyle w:val="FootnoteText"/>
        <w:rPr>
          <w:lang w:val="da-DK"/>
        </w:rPr>
      </w:pPr>
      <w:r>
        <w:rPr>
          <w:rStyle w:val="FootnoteReference"/>
        </w:rPr>
        <w:footnoteRef/>
      </w:r>
      <w:r w:rsidRPr="00A52357">
        <w:rPr>
          <w:lang w:val="da-DK"/>
        </w:rPr>
        <w:t xml:space="preserve"> “Landslide,” FEMA, </w:t>
      </w:r>
      <w:hyperlink w:history="1" r:id="rId79">
        <w:r w:rsidRPr="00A52357">
          <w:rPr>
            <w:rStyle w:val="Hyperlink"/>
            <w:lang w:val="da-DK"/>
          </w:rPr>
          <w:t>https://hazards.fema.gov/nri/landslide</w:t>
        </w:r>
      </w:hyperlink>
      <w:r w:rsidRPr="00A52357">
        <w:rPr>
          <w:lang w:val="da-DK"/>
        </w:rPr>
        <w:t xml:space="preserve">. </w:t>
      </w:r>
    </w:p>
  </w:footnote>
  <w:footnote w:id="130">
    <w:p w:rsidR="0067708D" w:rsidP="0067708D" w:rsidRDefault="0067708D" w14:paraId="45960A21" w14:textId="77777777">
      <w:pPr>
        <w:pStyle w:val="FootnoteText"/>
      </w:pPr>
      <w:r>
        <w:rPr>
          <w:rStyle w:val="FootnoteReference"/>
        </w:rPr>
        <w:footnoteRef/>
      </w:r>
      <w:r>
        <w:t xml:space="preserve"> “Winter Weather,” FEMA, </w:t>
      </w:r>
      <w:hyperlink w:history="1" r:id="rId80">
        <w:r w:rsidRPr="002D5BD4">
          <w:rPr>
            <w:rStyle w:val="Hyperlink"/>
          </w:rPr>
          <w:t>https://hazards.fema.gov/nri/winter-weather</w:t>
        </w:r>
      </w:hyperlink>
      <w:r>
        <w:t xml:space="preserve">. </w:t>
      </w:r>
    </w:p>
  </w:footnote>
  <w:footnote w:id="131">
    <w:p w:rsidR="00084655" w:rsidRDefault="00084655" w14:paraId="0B1EDE0B" w14:textId="0AD246CF">
      <w:pPr>
        <w:pStyle w:val="FootnoteText"/>
      </w:pPr>
      <w:r>
        <w:rPr>
          <w:rStyle w:val="FootnoteReference"/>
        </w:rPr>
        <w:footnoteRef/>
      </w:r>
      <w:r>
        <w:t xml:space="preserve"> “ICE Storm,” FEMA, </w:t>
      </w:r>
      <w:hyperlink w:history="1" r:id="rId81">
        <w:r w:rsidRPr="008A34E0">
          <w:rPr>
            <w:rStyle w:val="Hyperlink"/>
          </w:rPr>
          <w:t>https://hazards.fema.gov/nri/ice-storm</w:t>
        </w:r>
      </w:hyperlink>
      <w:r>
        <w:t>.</w:t>
      </w:r>
    </w:p>
  </w:footnote>
  <w:footnote w:id="132">
    <w:p w:rsidR="00AC5E7F" w:rsidP="00AC5E7F" w:rsidRDefault="00AC5E7F" w14:paraId="52DC7E91" w14:textId="02C1E969">
      <w:pPr>
        <w:pStyle w:val="FootnoteText"/>
      </w:pPr>
      <w:r>
        <w:rPr>
          <w:rStyle w:val="FootnoteReference"/>
        </w:rPr>
        <w:footnoteRef/>
      </w:r>
      <w:r>
        <w:t xml:space="preserve"> U.S. Census Bureau, American Community Survey Public Use Microdata, 2021. Accessed August 17, 2023.</w:t>
      </w:r>
      <w:r w:rsidR="002302C4">
        <w:t xml:space="preserve"> More information </w:t>
      </w:r>
      <w:r w:rsidR="00DF2D21">
        <w:t>on broadband adoption needs in Alabama can be found in Section 3.2.2.1 of the Alabama Statewide Digital Opportunity Plan.</w:t>
      </w:r>
    </w:p>
  </w:footnote>
  <w:footnote w:id="133">
    <w:p w:rsidR="000D5E2F" w:rsidP="000D5E2F" w:rsidRDefault="000D5E2F" w14:paraId="008C5E41" w14:textId="31E0DBAC">
      <w:pPr>
        <w:pStyle w:val="FootnoteText"/>
      </w:pPr>
      <w:r>
        <w:rPr>
          <w:rStyle w:val="FootnoteReference"/>
        </w:rPr>
        <w:footnoteRef/>
      </w:r>
      <w:r>
        <w:t xml:space="preserve"> U.S. Census Bureau, </w:t>
      </w:r>
      <w:r w:rsidR="00127894">
        <w:t>Current Population</w:t>
      </w:r>
      <w:r w:rsidR="00FC3EFE">
        <w:t xml:space="preserve"> </w:t>
      </w:r>
      <w:r>
        <w:t xml:space="preserve">Survey Public Use Microdata, </w:t>
      </w:r>
      <w:r w:rsidR="00FC3EFE">
        <w:t xml:space="preserve">November </w:t>
      </w:r>
      <w:r>
        <w:t>2021. Accessed August 17, 2023.</w:t>
      </w:r>
    </w:p>
  </w:footnote>
  <w:footnote w:id="134">
    <w:p w:rsidR="00084192" w:rsidP="00084192" w:rsidRDefault="00084192" w14:paraId="60EF0E93" w14:textId="77777777">
      <w:pPr>
        <w:pStyle w:val="FootnoteText"/>
      </w:pPr>
      <w:r>
        <w:rPr>
          <w:rStyle w:val="FootnoteReference"/>
        </w:rPr>
        <w:footnoteRef/>
      </w:r>
      <w:r>
        <w:t xml:space="preserve"> U.S. Census Bureau, American Community Survey Public Use Microdata, 2021. Accessed August 17, 2023.</w:t>
      </w:r>
    </w:p>
  </w:footnote>
  <w:footnote w:id="135">
    <w:p w:rsidR="008214C0" w:rsidP="008214C0" w:rsidRDefault="008214C0" w14:paraId="461ACD73" w14:textId="66C3B645">
      <w:pPr>
        <w:pStyle w:val="FootnoteText"/>
      </w:pPr>
      <w:r>
        <w:rPr>
          <w:rStyle w:val="FootnoteReference"/>
        </w:rPr>
        <w:footnoteRef/>
      </w:r>
      <w:r w:rsidRPr="004E3F8D">
        <w:t xml:space="preserve"> </w:t>
      </w:r>
      <w:r>
        <w:t>Estimates of eligible households based on proprietary model that uses American Community Survey Public Use Microdata to estimate number of households qualifying for ACP via several of its eligibility criteria.</w:t>
      </w:r>
      <w:r w:rsidR="001A4CD9">
        <w:t xml:space="preserve"> More information about ACP enrollment in Alabama can be found in Section 3.2.3 of the Alabama Statewide Digital Opportunity Plan.</w:t>
      </w:r>
    </w:p>
  </w:footnote>
  <w:footnote w:id="136">
    <w:p w:rsidR="00856679" w:rsidP="00856679" w:rsidRDefault="00856679" w14:paraId="684DA711" w14:textId="5FDE6EEF">
      <w:pPr>
        <w:pStyle w:val="FootnoteText"/>
      </w:pPr>
      <w:r>
        <w:rPr>
          <w:rStyle w:val="FootnoteReference"/>
        </w:rPr>
        <w:footnoteRef/>
      </w:r>
      <w:r>
        <w:t xml:space="preserve"> “</w:t>
      </w:r>
      <w:r w:rsidRPr="002160C1">
        <w:t>Affordable Connectivity Program</w:t>
      </w:r>
      <w:r>
        <w:t xml:space="preserve">,” ADECA, </w:t>
      </w:r>
      <w:hyperlink w:history="1" r:id="rId82">
        <w:r w:rsidRPr="00A52011">
          <w:rPr>
            <w:rStyle w:val="Hyperlink"/>
          </w:rPr>
          <w:t>https://adeca.alabama.gov/affordable-connectivity-program/</w:t>
        </w:r>
      </w:hyperlink>
      <w:r>
        <w:t xml:space="preserve">. </w:t>
      </w:r>
    </w:p>
  </w:footnote>
  <w:footnote w:id="137">
    <w:p w:rsidR="00CA78BA" w:rsidP="00CA78BA" w:rsidRDefault="00CA78BA" w14:paraId="6A5D74DC" w14:textId="37D69BB6">
      <w:pPr>
        <w:pStyle w:val="FootnoteText"/>
      </w:pPr>
      <w:r>
        <w:rPr>
          <w:rStyle w:val="FootnoteReference"/>
        </w:rPr>
        <w:footnoteRef/>
      </w:r>
      <w:r>
        <w:t xml:space="preserve"> </w:t>
      </w:r>
      <w:r w:rsidRPr="007220B7">
        <w:t>Erezi Ogbo</w:t>
      </w:r>
      <w:r>
        <w:t>, “</w:t>
      </w:r>
      <w:r w:rsidRPr="00727E68">
        <w:t>Connecting Low-Income Families Using Broadband Vouchers</w:t>
      </w:r>
      <w:r>
        <w:t>,” Benton Institute for Broadband &amp; Society</w:t>
      </w:r>
      <w:r w:rsidR="00F45C7D">
        <w:t xml:space="preserve"> (</w:t>
      </w:r>
      <w:r>
        <w:t>Sep</w:t>
      </w:r>
      <w:r w:rsidR="00F45C7D">
        <w:t>.</w:t>
      </w:r>
      <w:r>
        <w:t xml:space="preserve"> 20, 2022</w:t>
      </w:r>
      <w:r w:rsidR="00F45C7D">
        <w:t>)</w:t>
      </w:r>
      <w:r>
        <w:t xml:space="preserve">, </w:t>
      </w:r>
      <w:hyperlink w:history="1" r:id="rId83">
        <w:r w:rsidRPr="00F64167">
          <w:rPr>
            <w:rStyle w:val="Hyperlink"/>
          </w:rPr>
          <w:t>https:/</w:t>
        </w:r>
        <w:bookmarkStart w:name="_Hlt150256702" w:id="304"/>
        <w:bookmarkStart w:name="_Hlt150256703" w:id="305"/>
        <w:r w:rsidRPr="00F64167">
          <w:rPr>
            <w:rStyle w:val="Hyperlink"/>
          </w:rPr>
          <w:t>/</w:t>
        </w:r>
        <w:bookmarkEnd w:id="304"/>
        <w:bookmarkEnd w:id="305"/>
        <w:r w:rsidRPr="00F64167">
          <w:rPr>
            <w:rStyle w:val="Hyperlink"/>
          </w:rPr>
          <w:t>www.benton.org/blog/connecting-low-income-families-using-broadband-vouchers</w:t>
        </w:r>
      </w:hyperlink>
      <w:r>
        <w:t xml:space="preserve">. </w:t>
      </w:r>
    </w:p>
  </w:footnote>
  <w:footnote w:id="138">
    <w:p w:rsidRPr="00A257B0" w:rsidR="00F72C72" w:rsidP="00F72C72" w:rsidRDefault="00F72C72" w14:paraId="2A04B990" w14:textId="066E748A">
      <w:pPr>
        <w:pStyle w:val="FootnoteText"/>
      </w:pPr>
      <w:r w:rsidRPr="00A257B0">
        <w:rPr>
          <w:rStyle w:val="FootnoteReference"/>
        </w:rPr>
        <w:footnoteRef/>
      </w:r>
      <w:r w:rsidR="0049210F">
        <w:t xml:space="preserve"> </w:t>
      </w:r>
      <w:r w:rsidRPr="00A257B0">
        <w:t xml:space="preserve">“Alabama Broadband Accessibility Fund Grant Application and Implementation,” </w:t>
      </w:r>
      <w:r w:rsidR="0075798A">
        <w:t xml:space="preserve">ADECA, </w:t>
      </w:r>
      <w:hyperlink w:history="1" r:id="rId84">
        <w:r w:rsidRPr="00A257B0">
          <w:rPr>
            <w:rStyle w:val="Hyperlink"/>
          </w:rPr>
          <w:t>https://adeca.alabama.gov/grant-application-and-implementation/</w:t>
        </w:r>
      </w:hyperlink>
      <w:r w:rsidRPr="00A257B0">
        <w:t xml:space="preserve">. </w:t>
      </w:r>
    </w:p>
  </w:footnote>
  <w:footnote w:id="139">
    <w:p w:rsidRPr="00A257B0" w:rsidR="00F72C72" w:rsidP="00F72C72" w:rsidRDefault="00F72C72" w14:paraId="124F8914" w14:textId="40F7A635">
      <w:pPr>
        <w:pStyle w:val="FootnoteText"/>
        <w:rPr>
          <w:lang w:val="es-ES"/>
        </w:rPr>
      </w:pPr>
      <w:r w:rsidRPr="00A257B0">
        <w:rPr>
          <w:rStyle w:val="FootnoteReference"/>
        </w:rPr>
        <w:footnoteRef/>
      </w:r>
      <w:r w:rsidRPr="00A257B0">
        <w:rPr>
          <w:lang w:val="es-ES"/>
        </w:rPr>
        <w:t xml:space="preserve"> “2023 ABAF Rati</w:t>
      </w:r>
      <w:r w:rsidRPr="000F1532">
        <w:rPr>
          <w:lang w:val="es-ES"/>
        </w:rPr>
        <w:t xml:space="preserve">ng </w:t>
      </w:r>
      <w:r w:rsidRPr="00293C2F">
        <w:rPr>
          <w:lang w:val="es-ES"/>
        </w:rPr>
        <w:t>Criteria</w:t>
      </w:r>
      <w:r w:rsidRPr="000F1532">
        <w:rPr>
          <w:lang w:val="es-ES"/>
        </w:rPr>
        <w:t>,”</w:t>
      </w:r>
      <w:r w:rsidRPr="00A257B0">
        <w:rPr>
          <w:lang w:val="es-ES"/>
        </w:rPr>
        <w:t xml:space="preserve"> </w:t>
      </w:r>
      <w:r w:rsidR="0075798A">
        <w:rPr>
          <w:lang w:val="es-ES"/>
        </w:rPr>
        <w:t xml:space="preserve">ADECA, </w:t>
      </w:r>
      <w:hyperlink w:history="1" r:id="rId85">
        <w:r w:rsidRPr="007472E2" w:rsidR="007472E2">
          <w:rPr>
            <w:rStyle w:val="Hyperlink"/>
            <w:lang w:val="es-ES"/>
          </w:rPr>
          <w:t>https://adeca.alabama.gov/wp-content/uploads/2023-ABAF-Rating-Criteria.xlsx</w:t>
        </w:r>
      </w:hyperlink>
      <w:r w:rsidRPr="00A257B0">
        <w:rPr>
          <w:lang w:val="es-ES"/>
        </w:rPr>
        <w:t xml:space="preserve">. </w:t>
      </w:r>
    </w:p>
  </w:footnote>
  <w:footnote w:id="140">
    <w:p w:rsidRPr="00A257B0" w:rsidR="00F72C72" w:rsidP="00F72C72" w:rsidRDefault="00F72C72" w14:paraId="104A8DD9" w14:textId="12163C21">
      <w:pPr>
        <w:pStyle w:val="FootnoteText"/>
        <w:rPr>
          <w:lang w:val="es-ES"/>
        </w:rPr>
      </w:pPr>
      <w:r w:rsidRPr="00A257B0">
        <w:rPr>
          <w:rStyle w:val="FootnoteReference"/>
        </w:rPr>
        <w:footnoteRef/>
      </w:r>
      <w:r w:rsidRPr="00A257B0">
        <w:rPr>
          <w:lang w:val="es-ES"/>
        </w:rPr>
        <w:t xml:space="preserve"> “CPF Rating </w:t>
      </w:r>
      <w:r w:rsidRPr="00293C2F">
        <w:rPr>
          <w:lang w:val="es-ES"/>
        </w:rPr>
        <w:t>Criteria</w:t>
      </w:r>
      <w:r w:rsidRPr="000F1532">
        <w:rPr>
          <w:lang w:val="es-ES"/>
        </w:rPr>
        <w:t>,</w:t>
      </w:r>
      <w:r w:rsidRPr="00A257B0">
        <w:rPr>
          <w:lang w:val="es-ES"/>
        </w:rPr>
        <w:t>”</w:t>
      </w:r>
      <w:r w:rsidR="007472E2">
        <w:rPr>
          <w:lang w:val="es-ES"/>
        </w:rPr>
        <w:t xml:space="preserve"> </w:t>
      </w:r>
      <w:r w:rsidR="0075798A">
        <w:rPr>
          <w:lang w:val="es-ES"/>
        </w:rPr>
        <w:t xml:space="preserve">ADECA, </w:t>
      </w:r>
      <w:hyperlink w:history="1" r:id="rId86">
        <w:r w:rsidRPr="007472E2" w:rsidR="007472E2">
          <w:rPr>
            <w:rStyle w:val="Hyperlink"/>
            <w:lang w:val="es-ES"/>
          </w:rPr>
          <w:t>https://adeca.alabama.gov/wp-content/uploads/CPF-Rating-Criteria.xlsx</w:t>
        </w:r>
      </w:hyperlink>
      <w:r w:rsidRPr="00A257B0">
        <w:rPr>
          <w:lang w:val="es-ES"/>
        </w:rPr>
        <w:t xml:space="preserve">. </w:t>
      </w:r>
    </w:p>
  </w:footnote>
  <w:footnote w:id="141">
    <w:p w:rsidRPr="00A257B0" w:rsidR="00F72C72" w:rsidP="00F72C72" w:rsidRDefault="00F72C72" w14:paraId="17307F8C" w14:textId="3DDDB99E">
      <w:pPr>
        <w:pStyle w:val="FootnoteText"/>
      </w:pPr>
      <w:r w:rsidRPr="00A257B0">
        <w:rPr>
          <w:rStyle w:val="FootnoteReference"/>
        </w:rPr>
        <w:footnoteRef/>
      </w:r>
      <w:r w:rsidR="003574F8">
        <w:t xml:space="preserve"> </w:t>
      </w:r>
      <w:r w:rsidRPr="00A257B0">
        <w:t xml:space="preserve">“Alabama Anchor Institution/Middle-Mile Program Guide,” </w:t>
      </w:r>
      <w:r w:rsidR="0075798A">
        <w:t xml:space="preserve">ADECA, </w:t>
      </w:r>
      <w:hyperlink w:history="1" r:id="rId87">
        <w:r w:rsidRPr="00A257B0">
          <w:rPr>
            <w:rStyle w:val="Hyperlink"/>
          </w:rPr>
          <w:t>https://adeca.alabama.gov/wp-content/uploads/AIMM-Program-Guide.pdf</w:t>
        </w:r>
      </w:hyperlink>
      <w:r w:rsidRPr="00A257B0">
        <w:t>.</w:t>
      </w:r>
    </w:p>
  </w:footnote>
  <w:footnote w:id="142">
    <w:p w:rsidRPr="00A257B0" w:rsidR="00F72C72" w:rsidP="00F72C72" w:rsidRDefault="00F72C72" w14:paraId="3A99DCCD" w14:textId="77777777">
      <w:pPr>
        <w:pStyle w:val="FootnoteText"/>
      </w:pPr>
      <w:r w:rsidRPr="00A257B0">
        <w:rPr>
          <w:rStyle w:val="FootnoteReference"/>
        </w:rPr>
        <w:footnoteRef/>
      </w:r>
      <w:r w:rsidRPr="00A257B0">
        <w:t xml:space="preserve"> </w:t>
      </w:r>
      <w:r w:rsidRPr="00A257B0">
        <w:rPr>
          <w:i/>
          <w:iCs/>
        </w:rPr>
        <w:t>Id.</w:t>
      </w:r>
    </w:p>
  </w:footnote>
  <w:footnote w:id="143">
    <w:p w:rsidR="00FE39F7" w:rsidRDefault="00FE39F7" w14:paraId="5B558307" w14:textId="02924274">
      <w:pPr>
        <w:pStyle w:val="FootnoteText"/>
      </w:pPr>
      <w:r>
        <w:rPr>
          <w:rStyle w:val="FootnoteReference"/>
        </w:rPr>
        <w:footnoteRef/>
      </w:r>
      <w:r>
        <w:t xml:space="preserve"> </w:t>
      </w:r>
      <w:r w:rsidR="002C6864">
        <w:t>More information about broadband affordability assets in Alabama, including information regarding ISP ACP offerings, can be found in Section 3.1.5 of the Alabama Statewide Digital Opportunity Plan.</w:t>
      </w:r>
    </w:p>
  </w:footnote>
  <w:footnote w:id="144">
    <w:p w:rsidR="000E21BA" w:rsidP="000E21BA" w:rsidRDefault="000E21BA" w14:paraId="5A38F3D5" w14:textId="6B353CF0">
      <w:pPr>
        <w:pStyle w:val="FootnoteText"/>
      </w:pPr>
      <w:r>
        <w:rPr>
          <w:rStyle w:val="FootnoteReference"/>
        </w:rPr>
        <w:footnoteRef/>
      </w:r>
      <w:r>
        <w:t xml:space="preserve"> “Consumer and Governmental Affairs Bureau Announces ACP Outreach Grant Program Target Funding</w:t>
      </w:r>
      <w:r w:rsidR="001C7F25">
        <w:t>,</w:t>
      </w:r>
      <w:r>
        <w:t xml:space="preserve">” FCC, March 10, 2023, </w:t>
      </w:r>
      <w:hyperlink w:history="1" r:id="rId88">
        <w:r w:rsidRPr="00364C3A">
          <w:rPr>
            <w:rStyle w:val="Hyperlink"/>
          </w:rPr>
          <w:t>https://docs.fcc.gov/public/attachments/DA-23-194A1.pdf</w:t>
        </w:r>
      </w:hyperlink>
      <w:r>
        <w:t>.</w:t>
      </w:r>
    </w:p>
  </w:footnote>
  <w:footnote w:id="145">
    <w:p w:rsidR="00CF221B" w:rsidRDefault="00CF221B" w14:paraId="0AEDC6F6" w14:textId="39FFD0FD">
      <w:pPr>
        <w:pStyle w:val="FootnoteText"/>
      </w:pPr>
      <w:r>
        <w:rPr>
          <w:rStyle w:val="FootnoteReference"/>
        </w:rPr>
        <w:footnoteRef/>
      </w:r>
      <w:r>
        <w:t xml:space="preserve"> </w:t>
      </w:r>
      <w:r w:rsidR="00B273E3">
        <w:t>“</w:t>
      </w:r>
      <w:r w:rsidRPr="00B273E3" w:rsidR="00B273E3">
        <w:t>Lifeline Program for Low-Income Consumers</w:t>
      </w:r>
      <w:r w:rsidR="00B273E3">
        <w:t xml:space="preserve">,” </w:t>
      </w:r>
      <w:r w:rsidR="00315527">
        <w:t xml:space="preserve">FCC, </w:t>
      </w:r>
      <w:hyperlink w:history="1" r:id="rId89">
        <w:r w:rsidRPr="008A34E0" w:rsidR="00BE60D6">
          <w:rPr>
            <w:rStyle w:val="Hyperlink"/>
          </w:rPr>
          <w:t>https://www.fcc.gov/general/lifeline-program-low-income-consumers</w:t>
        </w:r>
      </w:hyperlink>
      <w:r w:rsidR="00BE60D6">
        <w:t xml:space="preserve">. </w:t>
      </w:r>
    </w:p>
  </w:footnote>
  <w:footnote w:id="146">
    <w:p w:rsidR="0024432D" w:rsidRDefault="0024432D" w14:paraId="5230F613" w14:textId="4B1AF740">
      <w:pPr>
        <w:pStyle w:val="FootnoteText"/>
      </w:pPr>
      <w:r>
        <w:rPr>
          <w:rStyle w:val="FootnoteReference"/>
        </w:rPr>
        <w:footnoteRef/>
      </w:r>
      <w:r w:rsidR="004573E1">
        <w:t xml:space="preserve"> “Affordable Connectivity Program,”</w:t>
      </w:r>
      <w:r w:rsidR="003C7688">
        <w:t xml:space="preserve"> </w:t>
      </w:r>
      <w:r w:rsidR="00315527">
        <w:t xml:space="preserve">FCC, </w:t>
      </w:r>
      <w:hyperlink w:history="1" r:id="rId90">
        <w:r w:rsidRPr="00C77CB3" w:rsidR="003C7688">
          <w:rPr>
            <w:rStyle w:val="Hyperlink"/>
          </w:rPr>
          <w:t>https://www.fcc.gov/acp</w:t>
        </w:r>
      </w:hyperlink>
      <w:r w:rsidR="003C7688">
        <w:t xml:space="preserve"> (</w:t>
      </w:r>
      <w:r w:rsidR="00FA0062">
        <w:t>stating that “</w:t>
      </w:r>
      <w:r w:rsidR="000309E7">
        <w:t xml:space="preserve">[a] </w:t>
      </w:r>
      <w:r w:rsidRPr="00FA0062" w:rsidR="00FA0062">
        <w:t>household is eligible for the Affordable Connectivity Program if the household income is at or below 200% of the Federal Poverty Guidelines</w:t>
      </w:r>
      <w:r w:rsidR="000309E7">
        <w:t>” or if a member of the household meets certain other criteria).</w:t>
      </w:r>
    </w:p>
  </w:footnote>
  <w:footnote w:id="147">
    <w:p w:rsidRPr="008A7E7B" w:rsidR="00B52BBC" w:rsidP="00D40F51" w:rsidRDefault="00B52BBC" w14:paraId="0B681221" w14:textId="3CEA230C">
      <w:pPr>
        <w:spacing w:after="0" w:line="240" w:lineRule="auto"/>
        <w:jc w:val="left"/>
        <w:rPr>
          <w:sz w:val="20"/>
          <w:szCs w:val="20"/>
        </w:rPr>
      </w:pPr>
      <w:r w:rsidRPr="008554B9">
        <w:rPr>
          <w:rStyle w:val="FootnoteReference"/>
          <w:sz w:val="20"/>
          <w:szCs w:val="20"/>
        </w:rPr>
        <w:footnoteRef/>
      </w:r>
      <w:r w:rsidRPr="008554B9">
        <w:rPr>
          <w:sz w:val="20"/>
          <w:szCs w:val="20"/>
        </w:rPr>
        <w:t xml:space="preserve"> The FCC’s Urban Rate Survey is the leading data source </w:t>
      </w:r>
      <w:r>
        <w:rPr>
          <w:sz w:val="20"/>
          <w:szCs w:val="20"/>
        </w:rPr>
        <w:t>for pricing</w:t>
      </w:r>
      <w:r w:rsidRPr="008554B9">
        <w:rPr>
          <w:sz w:val="20"/>
          <w:szCs w:val="20"/>
        </w:rPr>
        <w:t xml:space="preserve"> </w:t>
      </w:r>
      <w:r>
        <w:rPr>
          <w:sz w:val="20"/>
          <w:szCs w:val="20"/>
        </w:rPr>
        <w:t>and is collected for the purpose of understanding pricing in urban markets, where the benefits of competition presumably constrain costs, so as to require similar pricing by FCC funding recipients in rural areas</w:t>
      </w:r>
      <w:r w:rsidRPr="008554B9">
        <w:rPr>
          <w:sz w:val="20"/>
          <w:szCs w:val="20"/>
        </w:rPr>
        <w:t xml:space="preserve">. </w:t>
      </w:r>
      <w:r w:rsidRPr="1460A491" w:rsidR="1460A491">
        <w:rPr>
          <w:rFonts w:eastAsia="Gill Sans MT" w:cs="Gill Sans MT"/>
          <w:sz w:val="20"/>
          <w:szCs w:val="20"/>
        </w:rPr>
        <w:t xml:space="preserve">Unfortunately, FCC's Urban Rate Survey does not appear to capture service offerings consistently with speeds at 100/20 Mbps but instead reports plans of 100 Mbps download speeds mostly with 10 Mbps upload speeds. Therefore, the number reported here is based on the FCC’s data for the lowest price offered by Alabama providers with service plans of at least 100/10 over both fiber-to-the-premises and cable broadband </w:t>
      </w:r>
      <w:r w:rsidRPr="1460A491">
        <w:rPr>
          <w:rFonts w:eastAsia="Gill Sans MT" w:cs="Gill Sans MT"/>
          <w:sz w:val="20"/>
          <w:szCs w:val="20"/>
        </w:rPr>
        <w:t>networks</w:t>
      </w:r>
      <w:r w:rsidR="00077B2D">
        <w:rPr>
          <w:rFonts w:eastAsia="Gill Sans MT" w:cs="Gill Sans MT"/>
          <w:sz w:val="20"/>
          <w:szCs w:val="20"/>
        </w:rPr>
        <w:t xml:space="preserve">. </w:t>
      </w:r>
      <w:hyperlink w:history="1" r:id="rId91">
        <w:r w:rsidRPr="00F85BEE" w:rsidR="009F37AF">
          <w:rPr>
            <w:rStyle w:val="Hyperlink"/>
            <w:rFonts w:eastAsia="Gill Sans MT" w:cs="Gill Sans MT"/>
            <w:sz w:val="20"/>
            <w:szCs w:val="20"/>
          </w:rPr>
          <w:t>https://www.fcc.gov/economics-analytics/industry-analysis-division/urban-rate-survey-data-resources</w:t>
        </w:r>
      </w:hyperlink>
      <w:r w:rsidR="009F37AF">
        <w:rPr>
          <w:rFonts w:eastAsia="Gill Sans MT" w:cs="Gill Sans MT"/>
          <w:sz w:val="20"/>
          <w:szCs w:val="20"/>
        </w:rPr>
        <w:t>.</w:t>
      </w:r>
      <w:r w:rsidR="003B123B">
        <w:rPr>
          <w:rFonts w:eastAsia="Gill Sans MT" w:cs="Gill Sans MT"/>
          <w:sz w:val="20"/>
          <w:szCs w:val="20"/>
        </w:rPr>
        <w:t xml:space="preserve"> </w:t>
      </w:r>
      <w:r w:rsidR="003B123B">
        <w:rPr>
          <w:sz w:val="20"/>
          <w:szCs w:val="20"/>
        </w:rPr>
        <w:t>“</w:t>
      </w:r>
      <w:r w:rsidRPr="003B123B" w:rsidR="003B123B">
        <w:rPr>
          <w:sz w:val="20"/>
          <w:szCs w:val="20"/>
        </w:rPr>
        <w:t>Urban Rate Survey Data &amp; Resources</w:t>
      </w:r>
      <w:r w:rsidR="003B123B">
        <w:rPr>
          <w:sz w:val="20"/>
          <w:szCs w:val="20"/>
        </w:rPr>
        <w:t xml:space="preserve">,” FCC, </w:t>
      </w:r>
      <w:hyperlink w:history="1" r:id="rId92">
        <w:r w:rsidRPr="001C1C90" w:rsidR="003157B2">
          <w:rPr>
            <w:rStyle w:val="Hyperlink"/>
            <w:sz w:val="20"/>
            <w:szCs w:val="20"/>
          </w:rPr>
          <w:t>https://www.fcc.gov/economics-analytics/industry-analysis-division/urban-rate-survey-data-resources</w:t>
        </w:r>
      </w:hyperlink>
      <w:r w:rsidRPr="1460A491" w:rsidR="1460A491">
        <w:rPr>
          <w:sz w:val="20"/>
          <w:szCs w:val="20"/>
        </w:rPr>
        <w:t>.</w:t>
      </w:r>
      <w:r w:rsidR="003157B2">
        <w:rPr>
          <w:sz w:val="20"/>
          <w:szCs w:val="20"/>
        </w:rPr>
        <w:t xml:space="preserve"> </w:t>
      </w:r>
    </w:p>
  </w:footnote>
  <w:footnote w:id="148">
    <w:p w:rsidR="00931135" w:rsidP="00931135" w:rsidRDefault="00931135" w14:paraId="7F2EBDDA" w14:textId="448C766F">
      <w:pPr>
        <w:pStyle w:val="FootnoteText"/>
      </w:pPr>
      <w:r>
        <w:rPr>
          <w:rStyle w:val="FootnoteReference"/>
        </w:rPr>
        <w:footnoteRef/>
      </w:r>
      <w:r>
        <w:t xml:space="preserve"> </w:t>
      </w:r>
      <w:r w:rsidRPr="008656DB">
        <w:t xml:space="preserve">Based on the work of digital </w:t>
      </w:r>
      <w:r>
        <w:t>opportunity</w:t>
      </w:r>
      <w:r w:rsidRPr="008656DB">
        <w:t xml:space="preserve"> researchers and advocates over the past decades, an affordable broadband service can be defined as one whose cost does not exceed </w:t>
      </w:r>
      <w:r>
        <w:t>two</w:t>
      </w:r>
      <w:r w:rsidRPr="008656DB">
        <w:t xml:space="preserve"> percent of household income</w:t>
      </w:r>
      <w:r>
        <w:t xml:space="preserve">. </w:t>
      </w:r>
      <w:r>
        <w:rPr>
          <w:i/>
          <w:iCs/>
        </w:rPr>
        <w:t>See, e.g</w:t>
      </w:r>
      <w:r w:rsidRPr="00DF42BB">
        <w:t>.</w:t>
      </w:r>
      <w:r>
        <w:t xml:space="preserve">, </w:t>
      </w:r>
      <w:r w:rsidRPr="00D6678A">
        <w:t>“</w:t>
      </w:r>
      <w:r>
        <w:t>The affordability of ICT services 2022</w:t>
      </w:r>
      <w:r>
        <w:rPr>
          <w:noProof/>
        </w:rPr>
        <w:t xml:space="preserve">,” International Telecommunciation Union, </w:t>
      </w:r>
      <w:hyperlink w:history="1" r:id="rId93">
        <w:r w:rsidRPr="00F42D1C">
          <w:rPr>
            <w:rStyle w:val="Hyperlink"/>
            <w:noProof/>
          </w:rPr>
          <w:t>https://www.itu.int/en/ITU-D/Statistics/Documents/publications/prices2022/ITU_Price_Brief_2022.pdf</w:t>
        </w:r>
      </w:hyperlink>
      <w:r>
        <w:rPr>
          <w:noProof/>
        </w:rPr>
        <w:t xml:space="preserve">. </w:t>
      </w:r>
    </w:p>
  </w:footnote>
  <w:footnote w:id="149">
    <w:p w:rsidR="00E678EC" w:rsidRDefault="00E678EC" w14:paraId="0C4B714D" w14:textId="2F26DA9A">
      <w:pPr>
        <w:pStyle w:val="FootnoteText"/>
      </w:pPr>
      <w:r>
        <w:rPr>
          <w:rStyle w:val="FootnoteReference"/>
        </w:rPr>
        <w:footnoteRef/>
      </w:r>
      <w:r>
        <w:t xml:space="preserve"> </w:t>
      </w:r>
      <w:r w:rsidR="00DE1BC8">
        <w:t>U.S. Census Bureau, Current Population Survey Public Use Microdata, November 2021.</w:t>
      </w:r>
    </w:p>
  </w:footnote>
  <w:footnote w:id="150">
    <w:p w:rsidR="00081B93" w:rsidRDefault="00081B93" w14:paraId="06101908" w14:textId="0E19B2B2">
      <w:pPr>
        <w:pStyle w:val="FootnoteText"/>
      </w:pPr>
      <w:r>
        <w:rPr>
          <w:rStyle w:val="FootnoteReference"/>
        </w:rPr>
        <w:footnoteRef/>
      </w:r>
      <w:r>
        <w:t xml:space="preserve"> </w:t>
      </w:r>
      <w:r w:rsidR="000A6B7A">
        <w:t xml:space="preserve">See Alabama </w:t>
      </w:r>
      <w:r w:rsidRPr="00E368E7" w:rsidR="000A6B7A">
        <w:t xml:space="preserve">Statewide </w:t>
      </w:r>
      <w:r w:rsidR="000A6B7A">
        <w:t>Digital Opportunity Plan.</w:t>
      </w:r>
      <w:r w:rsidRPr="0092130F" w:rsidR="000A6B7A">
        <w:t xml:space="preserve"> </w:t>
      </w:r>
      <w:r w:rsidRPr="0092130F" w:rsidR="000A6B7A">
        <w:rPr>
          <w:rFonts w:eastAsia="Times New Roman"/>
        </w:rPr>
        <w:t>It should be noted that expressed willingness to pay is usually an underestimation of consumer</w:t>
      </w:r>
      <w:r w:rsidR="000A6B7A">
        <w:rPr>
          <w:rFonts w:eastAsia="Times New Roman"/>
        </w:rPr>
        <w:t xml:space="preserve"> behavior</w:t>
      </w:r>
      <w:r w:rsidRPr="0092130F" w:rsidR="000A6B7A">
        <w:rPr>
          <w:rFonts w:eastAsia="Times New Roman"/>
        </w:rPr>
        <w:t xml:space="preserve"> as survey answers capture some bias from what consumers would </w:t>
      </w:r>
      <w:r w:rsidRPr="00562D97" w:rsidR="000A6B7A">
        <w:rPr>
          <w:rFonts w:eastAsia="Times New Roman"/>
          <w:i/>
          <w:iCs/>
        </w:rPr>
        <w:t>like</w:t>
      </w:r>
      <w:r w:rsidRPr="0092130F" w:rsidR="000A6B7A">
        <w:rPr>
          <w:rFonts w:eastAsia="Times New Roman"/>
        </w:rPr>
        <w:t xml:space="preserve"> to pay rather than what they would </w:t>
      </w:r>
      <w:r w:rsidRPr="00562D97" w:rsidR="000A6B7A">
        <w:rPr>
          <w:rFonts w:eastAsia="Times New Roman"/>
          <w:i/>
          <w:iCs/>
        </w:rPr>
        <w:t>be willing</w:t>
      </w:r>
      <w:r w:rsidRPr="0092130F" w:rsidR="000A6B7A">
        <w:rPr>
          <w:rFonts w:eastAsia="Times New Roman"/>
        </w:rPr>
        <w:t xml:space="preserve"> to pay.</w:t>
      </w:r>
    </w:p>
  </w:footnote>
  <w:footnote w:id="151">
    <w:p w:rsidR="00571998" w:rsidP="00571998" w:rsidRDefault="00571998" w14:paraId="43255CD1" w14:textId="77777777">
      <w:pPr>
        <w:pStyle w:val="FootnoteText"/>
      </w:pPr>
      <w:r>
        <w:rPr>
          <w:rStyle w:val="FootnoteReference"/>
        </w:rPr>
        <w:footnoteRef/>
      </w:r>
      <w:r>
        <w:t xml:space="preserve"> T</w:t>
      </w:r>
      <w:r w:rsidRPr="00153BB7">
        <w:t xml:space="preserve">he Brooke Amendment (1969) to the 1968 Housing and Urban Development Act established </w:t>
      </w:r>
      <w:r>
        <w:t>a</w:t>
      </w:r>
      <w:r w:rsidRPr="00153BB7">
        <w:t xml:space="preserve"> rent threshold </w:t>
      </w:r>
      <w:r>
        <w:t xml:space="preserve">for public housing </w:t>
      </w:r>
      <w:r w:rsidRPr="00153BB7">
        <w:t>of 25 percent of family income</w:t>
      </w:r>
      <w:r>
        <w:t xml:space="preserve">, which was raised to 30 percent by 1981. This percentage remains </w:t>
      </w:r>
      <w:r w:rsidRPr="00B528F3">
        <w:t>the rent standard for most rental housing programs</w:t>
      </w:r>
      <w:r>
        <w:t xml:space="preserve"> and has been applied as a “rule of thumb” to owner-occupied housing. </w:t>
      </w:r>
      <w:r w:rsidRPr="00F55810">
        <w:t>Schwartz</w:t>
      </w:r>
      <w:r>
        <w:t>,</w:t>
      </w:r>
      <w:r w:rsidRPr="00F55810">
        <w:t xml:space="preserve"> Mary and Wilson</w:t>
      </w:r>
      <w:r>
        <w:t>,</w:t>
      </w:r>
      <w:r w:rsidRPr="00F55810">
        <w:t xml:space="preserve"> Ellen</w:t>
      </w:r>
      <w:r>
        <w:t>, “Who Can Afford To Live in a Home?: A look at data from the 2006 American Community Survey,” U.S. Census Bureau,</w:t>
      </w:r>
      <w:r w:rsidRPr="00F55810">
        <w:t xml:space="preserve"> </w:t>
      </w:r>
      <w:hyperlink w:history="1" r:id="rId94">
        <w:r w:rsidRPr="00606D76">
          <w:rPr>
            <w:rStyle w:val="Hyperlink"/>
          </w:rPr>
          <w:t>https://cdn2.hubspot.net/hubfs/4408380/PDF/General-Housing-Homelessness/who-can-afford.pdf</w:t>
        </w:r>
      </w:hyperlink>
      <w:r>
        <w:t>.</w:t>
      </w:r>
    </w:p>
  </w:footnote>
  <w:footnote w:id="152">
    <w:p w:rsidR="00571998" w:rsidP="00571998" w:rsidRDefault="00571998" w14:paraId="0B66A40E" w14:textId="24075F8F">
      <w:pPr>
        <w:pStyle w:val="FootnoteText"/>
      </w:pPr>
      <w:r>
        <w:rPr>
          <w:rStyle w:val="FootnoteReference"/>
        </w:rPr>
        <w:footnoteRef/>
      </w:r>
      <w:r>
        <w:t xml:space="preserve"> </w:t>
      </w:r>
      <w:r w:rsidRPr="00F4414E" w:rsidR="008B4A1D">
        <w:rPr>
          <w:i/>
        </w:rPr>
        <w:t>See</w:t>
      </w:r>
      <w:r w:rsidR="001C64A2">
        <w:t xml:space="preserve"> “Developing a New Framework for Community Affordability of Clean Water Services: A Report by a Panel of the National Academy of Public Administration,” NAPA</w:t>
      </w:r>
      <w:r w:rsidR="003B7BEE">
        <w:t xml:space="preserve"> (</w:t>
      </w:r>
      <w:r w:rsidR="001C64A2">
        <w:t>October 2017</w:t>
      </w:r>
      <w:r w:rsidR="003B7BEE">
        <w:t>)</w:t>
      </w:r>
      <w:r w:rsidR="001C64A2">
        <w:t>,</w:t>
      </w:r>
      <w:r w:rsidR="008B4A1D">
        <w:t xml:space="preserve"> </w:t>
      </w:r>
      <w:hyperlink w:history="1" r:id="rId95">
        <w:r w:rsidRPr="007944FE">
          <w:rPr>
            <w:rStyle w:val="Hyperlink"/>
          </w:rPr>
          <w:t>https://napawash.org/u</w:t>
        </w:r>
        <w:bookmarkStart w:name="_Hlt150337672" w:id="311"/>
        <w:bookmarkStart w:name="_Hlt150337673" w:id="312"/>
        <w:r w:rsidRPr="007944FE">
          <w:rPr>
            <w:rStyle w:val="Hyperlink"/>
          </w:rPr>
          <w:t>p</w:t>
        </w:r>
        <w:bookmarkEnd w:id="311"/>
        <w:bookmarkEnd w:id="312"/>
        <w:r w:rsidRPr="007944FE">
          <w:rPr>
            <w:rStyle w:val="Hyperlink"/>
          </w:rPr>
          <w:t>loads/Academy_Studies/NAPA_EPA_FINAL_REPORT_110117.pdf</w:t>
        </w:r>
      </w:hyperlink>
      <w:r w:rsidR="008B4A1D">
        <w:t>.</w:t>
      </w:r>
      <w:r>
        <w:t xml:space="preserve"> </w:t>
      </w:r>
    </w:p>
  </w:footnote>
  <w:footnote w:id="153">
    <w:p w:rsidR="00571998" w:rsidP="00571998" w:rsidRDefault="00571998" w14:paraId="7BB076AA" w14:textId="6AFB814F">
      <w:pPr>
        <w:pStyle w:val="FootnoteText"/>
      </w:pPr>
      <w:r>
        <w:rPr>
          <w:rStyle w:val="FootnoteReference"/>
        </w:rPr>
        <w:footnoteRef/>
      </w:r>
      <w:r>
        <w:t xml:space="preserve"> </w:t>
      </w:r>
      <w:r w:rsidRPr="00733CFD" w:rsidR="008B4A1D">
        <w:rPr>
          <w:i/>
        </w:rPr>
        <w:t>See</w:t>
      </w:r>
      <w:r w:rsidR="00DB5479">
        <w:t xml:space="preserve"> “Affordability Assessment Tool for Federal Water Mandates</w:t>
      </w:r>
      <w:r w:rsidR="00794F0A">
        <w:t>: Prepared for The United States Conference of Mayors, The American Water Works Association</w:t>
      </w:r>
      <w:r w:rsidR="006F63AB">
        <w:t>,</w:t>
      </w:r>
      <w:r w:rsidR="00794F0A">
        <w:t xml:space="preserve"> and The Water Environment Federation</w:t>
      </w:r>
      <w:r w:rsidR="004974F5">
        <w:t>,” American Water Works Association</w:t>
      </w:r>
      <w:r w:rsidR="001F1BD7">
        <w:t xml:space="preserve"> (</w:t>
      </w:r>
      <w:r w:rsidR="004974F5">
        <w:t>2013</w:t>
      </w:r>
      <w:r w:rsidR="001F1BD7">
        <w:t>)</w:t>
      </w:r>
      <w:r w:rsidR="008B4A1D">
        <w:t xml:space="preserve">, </w:t>
      </w:r>
      <w:hyperlink w:history="1" r:id="rId96">
        <w:r w:rsidRPr="007944FE">
          <w:rPr>
            <w:rStyle w:val="Hyperlink"/>
          </w:rPr>
          <w:t>https://www.awwa.org/Portals/0/A</w:t>
        </w:r>
        <w:bookmarkStart w:name="_Hlt150337740" w:id="313"/>
        <w:bookmarkStart w:name="_Hlt150337741" w:id="314"/>
        <w:r w:rsidRPr="007944FE">
          <w:rPr>
            <w:rStyle w:val="Hyperlink"/>
          </w:rPr>
          <w:t>W</w:t>
        </w:r>
        <w:bookmarkEnd w:id="313"/>
        <w:bookmarkEnd w:id="314"/>
        <w:r w:rsidRPr="007944FE">
          <w:rPr>
            <w:rStyle w:val="Hyperlink"/>
          </w:rPr>
          <w:t>WA/ETS/Resources/AffordabilityAssessmentTool.pdf</w:t>
        </w:r>
      </w:hyperlink>
      <w:r w:rsidR="008B4A1D">
        <w:t>.</w:t>
      </w:r>
      <w:r>
        <w:t xml:space="preserve"> </w:t>
      </w:r>
    </w:p>
  </w:footnote>
  <w:footnote w:id="154">
    <w:p w:rsidR="00571998" w:rsidP="00571998" w:rsidRDefault="00571998" w14:paraId="3BC53FD5" w14:textId="01F7E2F6">
      <w:pPr>
        <w:pStyle w:val="FootnoteText"/>
      </w:pPr>
      <w:r>
        <w:rPr>
          <w:rStyle w:val="FootnoteReference"/>
        </w:rPr>
        <w:footnoteRef/>
      </w:r>
      <w:r>
        <w:t xml:space="preserve"> </w:t>
      </w:r>
      <w:r w:rsidRPr="005202CF" w:rsidR="008B4A1D">
        <w:rPr>
          <w:i/>
        </w:rPr>
        <w:t>See</w:t>
      </w:r>
      <w:r w:rsidR="008B4A1D">
        <w:t xml:space="preserve"> </w:t>
      </w:r>
      <w:r w:rsidR="00485EFA">
        <w:t>“Improving the Evaluation of Household-Level Affordability in SDWA Rulemaking: New Approaches</w:t>
      </w:r>
      <w:r w:rsidR="0023442F">
        <w:t>: An Expert Panel Report,”</w:t>
      </w:r>
      <w:r w:rsidR="00485EFA">
        <w:t xml:space="preserve"> </w:t>
      </w:r>
      <w:r w:rsidR="00646F19">
        <w:t xml:space="preserve">prepared by the authors for the </w:t>
      </w:r>
      <w:r w:rsidRPr="008A242F" w:rsidR="008A242F">
        <w:t>American Water Works Association</w:t>
      </w:r>
      <w:r w:rsidR="00CF5EE7">
        <w:t xml:space="preserve"> (</w:t>
      </w:r>
      <w:r w:rsidR="008A242F">
        <w:t>April 2021</w:t>
      </w:r>
      <w:r w:rsidR="00CF5EE7">
        <w:t>),</w:t>
      </w:r>
      <w:r w:rsidR="008B4A1D">
        <w:t xml:space="preserve"> </w:t>
      </w:r>
      <w:hyperlink w:history="1" r:id="rId97">
        <w:r w:rsidRPr="00F42D1C">
          <w:rPr>
            <w:rStyle w:val="Hyperlink"/>
          </w:rPr>
          <w:t>https://www.awwa.org/</w:t>
        </w:r>
        <w:bookmarkStart w:name="_Hlt150337809" w:id="315"/>
        <w:bookmarkStart w:name="_Hlt150337810" w:id="316"/>
        <w:r w:rsidRPr="00F42D1C">
          <w:rPr>
            <w:rStyle w:val="Hyperlink"/>
          </w:rPr>
          <w:t>P</w:t>
        </w:r>
        <w:bookmarkEnd w:id="315"/>
        <w:bookmarkEnd w:id="316"/>
        <w:r w:rsidRPr="00F42D1C">
          <w:rPr>
            <w:rStyle w:val="Hyperlink"/>
          </w:rPr>
          <w:t>ortals/0/AWWA/Government/ImprovingtheEvaluationofHouseholdLevelAffordabilityinSDWARulemakingNewApproaches.pdf</w:t>
        </w:r>
      </w:hyperlink>
      <w:r w:rsidR="008B4A1D">
        <w:t>.</w:t>
      </w:r>
      <w:r>
        <w:t xml:space="preserve"> </w:t>
      </w:r>
    </w:p>
  </w:footnote>
  <w:footnote w:id="155">
    <w:p w:rsidRPr="00EF2B59" w:rsidR="00571998" w:rsidP="00571998" w:rsidRDefault="00571998" w14:paraId="192EB3C2" w14:textId="42BCFC2A">
      <w:pPr>
        <w:pStyle w:val="FootnoteText"/>
        <w:rPr>
          <w:rFonts w:ascii="Roboto Slab" w:hAnsi="Roboto Slab" w:cs="Roboto Slab"/>
        </w:rPr>
      </w:pPr>
      <w:r w:rsidRPr="00EF2B59">
        <w:rPr>
          <w:rStyle w:val="FootnoteReference"/>
          <w:rFonts w:ascii="Roboto Slab" w:hAnsi="Roboto Slab" w:cs="Roboto Slab"/>
        </w:rPr>
        <w:footnoteRef/>
      </w:r>
      <w:r w:rsidRPr="00EF2B59">
        <w:rPr>
          <w:rFonts w:ascii="Roboto Slab" w:hAnsi="Roboto Slab" w:cs="Roboto Slab"/>
        </w:rPr>
        <w:t xml:space="preserve"> </w:t>
      </w:r>
      <w:r w:rsidRPr="008C77BA">
        <w:rPr>
          <w:rFonts w:cstheme="minorHAnsi"/>
        </w:rPr>
        <w:t>U.S. Census Bureau, American Community Survey Public Use Microdata, 2021. Accessed August 29, 2023.</w:t>
      </w:r>
      <w:r w:rsidR="00886F63">
        <w:rPr>
          <w:rFonts w:cstheme="minorHAnsi"/>
        </w:rPr>
        <w:t xml:space="preserve"> More information on internet adoption rates in covered and non-covered populations in Alabama can be found in Section </w:t>
      </w:r>
      <w:r w:rsidR="000E2765">
        <w:rPr>
          <w:rFonts w:cstheme="minorHAnsi"/>
        </w:rPr>
        <w:t>3.2.2.1 of the Alabama Statewide Digital Opportunity Plan.</w:t>
      </w:r>
    </w:p>
  </w:footnote>
  <w:footnote w:id="156">
    <w:p w:rsidRPr="00537155" w:rsidR="00571998" w:rsidP="00571998" w:rsidRDefault="00571998" w14:paraId="7DCBAC00" w14:textId="2BDCD93B">
      <w:pPr>
        <w:pStyle w:val="FootnoteText"/>
      </w:pPr>
      <w:r w:rsidRPr="00537155">
        <w:rPr>
          <w:rStyle w:val="FootnoteReference"/>
        </w:rPr>
        <w:footnoteRef/>
      </w:r>
      <w:r w:rsidRPr="00537155">
        <w:t xml:space="preserve"> </w:t>
      </w:r>
      <w:r w:rsidR="0043451A">
        <w:rPr>
          <w:i/>
          <w:iCs/>
        </w:rPr>
        <w:t>See, e.g.</w:t>
      </w:r>
      <w:r w:rsidR="0043451A">
        <w:t>,</w:t>
      </w:r>
      <w:r>
        <w:rPr>
          <w:i/>
        </w:rPr>
        <w:t xml:space="preserve"> </w:t>
      </w:r>
      <w:r w:rsidR="00780A7B">
        <w:t>“</w:t>
      </w:r>
      <w:r w:rsidRPr="00A040D2" w:rsidR="00A040D2">
        <w:t>Is Broadband Affordable for Middle-Class Families?</w:t>
      </w:r>
      <w:r w:rsidR="00A040D2">
        <w:t>”</w:t>
      </w:r>
      <w:r w:rsidRPr="00537155">
        <w:t xml:space="preserve"> </w:t>
      </w:r>
      <w:r w:rsidR="004E2E8C">
        <w:t xml:space="preserve">The </w:t>
      </w:r>
      <w:r w:rsidRPr="00537155" w:rsidR="004E2E8C">
        <w:t>Pew Charitable Trust</w:t>
      </w:r>
      <w:r w:rsidR="004E2E8C">
        <w:t xml:space="preserve">s, </w:t>
      </w:r>
      <w:r w:rsidR="00A040D2">
        <w:t>Aug</w:t>
      </w:r>
      <w:r w:rsidR="008A3E75">
        <w:t>ust</w:t>
      </w:r>
      <w:r w:rsidR="00A040D2">
        <w:t xml:space="preserve"> 30, 2023,</w:t>
      </w:r>
      <w:r w:rsidRPr="00537155">
        <w:t xml:space="preserve"> </w:t>
      </w:r>
      <w:hyperlink w:history="1" r:id="rId98">
        <w:r w:rsidRPr="00537155">
          <w:rPr>
            <w:rStyle w:val="Hyperlink"/>
          </w:rPr>
          <w:t>https://www.pewtrusts.org/en</w:t>
        </w:r>
        <w:bookmarkStart w:name="_Hlt150338417" w:id="317"/>
        <w:bookmarkStart w:name="_Hlt150338418" w:id="318"/>
        <w:r w:rsidRPr="00537155">
          <w:rPr>
            <w:rStyle w:val="Hyperlink"/>
          </w:rPr>
          <w:t>/</w:t>
        </w:r>
        <w:bookmarkEnd w:id="317"/>
        <w:bookmarkEnd w:id="318"/>
        <w:r w:rsidRPr="00537155">
          <w:rPr>
            <w:rStyle w:val="Hyperlink"/>
          </w:rPr>
          <w:t>research-and-analysis/articles/2023/08/30/is-broadband-affordable-for-middle-class-families</w:t>
        </w:r>
      </w:hyperlink>
      <w:r w:rsidRPr="00537155">
        <w:t xml:space="preserve">. </w:t>
      </w:r>
    </w:p>
  </w:footnote>
  <w:footnote w:id="157">
    <w:p w:rsidRPr="00537155" w:rsidR="00571998" w:rsidP="00571998" w:rsidRDefault="00571998" w14:paraId="54DBBB64" w14:textId="77777777">
      <w:pPr>
        <w:pStyle w:val="FootnoteText"/>
        <w:rPr>
          <w:kern w:val="2"/>
          <w14:ligatures w14:val="standardContextual"/>
        </w:rPr>
      </w:pPr>
      <w:r w:rsidRPr="00537155">
        <w:rPr>
          <w:rStyle w:val="FootnoteReference"/>
        </w:rPr>
        <w:footnoteRef/>
      </w:r>
      <w:r w:rsidRPr="00537155">
        <w:t xml:space="preserve"> “QuickFacts: </w:t>
      </w:r>
      <w:r>
        <w:t>Alabama</w:t>
      </w:r>
      <w:r w:rsidRPr="00537155">
        <w:t>,” U.S. Census Bureau,</w:t>
      </w:r>
      <w:r>
        <w:t xml:space="preserve"> </w:t>
      </w:r>
      <w:hyperlink w:history="1" r:id="rId99">
        <w:r w:rsidRPr="006E7CD1">
          <w:rPr>
            <w:rStyle w:val="Hyperlink"/>
          </w:rPr>
          <w:t>https://www.census.gov/quickfacts/fact/table/AL,US/INC110221</w:t>
        </w:r>
      </w:hyperlink>
      <w:r>
        <w:t xml:space="preserve">. </w:t>
      </w:r>
    </w:p>
  </w:footnote>
  <w:footnote w:id="158">
    <w:p w:rsidRPr="00352927" w:rsidR="001F63D3" w:rsidRDefault="001F63D3" w14:paraId="466D6716" w14:textId="0CEB50E5">
      <w:pPr>
        <w:pStyle w:val="FootnoteText"/>
      </w:pPr>
      <w:r>
        <w:rPr>
          <w:rStyle w:val="FootnoteReference"/>
        </w:rPr>
        <w:footnoteRef/>
      </w:r>
      <w:r>
        <w:t xml:space="preserve"> </w:t>
      </w:r>
      <w:r w:rsidR="0051730E">
        <w:rPr>
          <w:i/>
          <w:iCs/>
        </w:rPr>
        <w:t xml:space="preserve">See </w:t>
      </w:r>
      <w:r w:rsidR="0051730E">
        <w:t>Ala. Const. art. XI, § 213.</w:t>
      </w:r>
    </w:p>
  </w:footnote>
  <w:footnote w:id="159">
    <w:p w:rsidR="00AD4170" w:rsidRDefault="00AD4170" w14:paraId="699C7EB8" w14:textId="1AA07DE8">
      <w:pPr>
        <w:pStyle w:val="FootnoteText"/>
      </w:pPr>
      <w:r>
        <w:rPr>
          <w:rStyle w:val="FootnoteReference"/>
        </w:rPr>
        <w:footnoteRef/>
      </w:r>
      <w:r>
        <w:t xml:space="preserve"> Additional details regarding ADECA’s planned use </w:t>
      </w:r>
      <w:r w:rsidR="00E24BE9">
        <w:t>of requested funds will be provided in the Initial Proposal Funding Request that ADECA submits to NTIA with this Initial Proposal.</w:t>
      </w:r>
    </w:p>
  </w:footnote>
  <w:footnote w:id="160">
    <w:p w:rsidR="008928EC" w:rsidRDefault="008928EC" w14:paraId="65F06EA5" w14:textId="2AA135E0">
      <w:pPr>
        <w:pStyle w:val="FootnoteText"/>
      </w:pPr>
      <w:r>
        <w:rPr>
          <w:rStyle w:val="FootnoteReference"/>
        </w:rPr>
        <w:footnoteRef/>
      </w:r>
      <w:r>
        <w:t xml:space="preserve"> </w:t>
      </w:r>
      <w:r w:rsidRPr="002A321E" w:rsidR="002A321E">
        <w:t>ADECA intends to utilize the funding obligated to programmatic expenses following approval of the Initial Proposal</w:t>
      </w:r>
      <w:r w:rsidR="002A321E">
        <w:t>.</w:t>
      </w:r>
    </w:p>
  </w:footnote>
  <w:footnote w:id="161">
    <w:p w:rsidR="002A321E" w:rsidRDefault="002A321E" w14:paraId="6528F26E" w14:textId="5C566ED7">
      <w:pPr>
        <w:pStyle w:val="FootnoteText"/>
      </w:pPr>
      <w:r>
        <w:rPr>
          <w:rStyle w:val="FootnoteReference"/>
        </w:rPr>
        <w:footnoteRef/>
      </w:r>
      <w:r>
        <w:t xml:space="preserve"> </w:t>
      </w:r>
      <w:r w:rsidRPr="002A321E">
        <w:t xml:space="preserve">ADECA intends to utilize the funding obligated to </w:t>
      </w:r>
      <w:r>
        <w:t>administrative</w:t>
      </w:r>
      <w:r w:rsidRPr="002A321E">
        <w:t xml:space="preserve"> expenses following approval of the Initial Proposal</w:t>
      </w:r>
      <w:r>
        <w:t>.</w:t>
      </w:r>
    </w:p>
  </w:footnote>
  <w:footnote w:id="162">
    <w:p w:rsidR="008D58C1" w:rsidRDefault="008D58C1" w14:paraId="12C7B44B" w14:textId="488DDAB6">
      <w:pPr>
        <w:pStyle w:val="FootnoteText"/>
      </w:pPr>
      <w:r>
        <w:rPr>
          <w:rStyle w:val="FootnoteReference"/>
        </w:rPr>
        <w:footnoteRef/>
      </w:r>
      <w:r>
        <w:t xml:space="preserve"> BEAD NOFO, p</w:t>
      </w:r>
      <w:r w:rsidR="00D31AB8">
        <w:t xml:space="preserve">p. </w:t>
      </w:r>
      <w:r w:rsidR="00C80C18">
        <w:t xml:space="preserve">14, </w:t>
      </w:r>
      <w:r w:rsidR="00D31AB8">
        <w:t>37</w:t>
      </w:r>
      <w:r w:rsidR="00C80C18">
        <w:t>.</w:t>
      </w:r>
    </w:p>
  </w:footnote>
  <w:footnote w:id="163">
    <w:p w:rsidR="00AD4D73" w:rsidRDefault="00AD4D73" w14:paraId="10829C23" w14:textId="2A2EAD16">
      <w:pPr>
        <w:pStyle w:val="FootnoteText"/>
      </w:pPr>
      <w:r>
        <w:rPr>
          <w:rStyle w:val="FootnoteReference"/>
        </w:rPr>
        <w:footnoteRef/>
      </w:r>
      <w:r>
        <w:t xml:space="preserve"> </w:t>
      </w:r>
      <w:r w:rsidR="00711143">
        <w:t xml:space="preserve">“Alabama Legislative Session Information,” </w:t>
      </w:r>
      <w:r w:rsidR="00861195">
        <w:t xml:space="preserve">Alabama Legislature, </w:t>
      </w:r>
      <w:hyperlink w:history="1" r:id="rId100">
        <w:r w:rsidRPr="00C77CB3" w:rsidR="000A4E2E">
          <w:rPr>
            <w:rStyle w:val="Hyperlink"/>
          </w:rPr>
          <w:t>https://alison.legislature.state.al.us/session-information-sublanding</w:t>
        </w:r>
      </w:hyperlink>
      <w:r w:rsidR="000A4E2E">
        <w:t xml:space="preserve">. </w:t>
      </w:r>
    </w:p>
  </w:footnote>
  <w:footnote w:id="164">
    <w:p w:rsidRPr="001D7D66" w:rsidR="000A4E2E" w:rsidRDefault="000A4E2E" w14:paraId="7EBE6A6D" w14:textId="78D4A938">
      <w:pPr>
        <w:pStyle w:val="FootnoteText"/>
        <w:rPr>
          <w:i/>
        </w:rPr>
      </w:pPr>
      <w:r>
        <w:rPr>
          <w:rStyle w:val="FootnoteReference"/>
        </w:rPr>
        <w:footnoteRef/>
      </w:r>
      <w:r>
        <w:t xml:space="preserve"> </w:t>
      </w:r>
      <w:r>
        <w:rPr>
          <w:i/>
          <w:iCs/>
        </w:rPr>
        <w:t>Id.</w:t>
      </w:r>
    </w:p>
  </w:footnote>
  <w:footnote w:id="165">
    <w:p w:rsidRPr="00A76FBA" w:rsidR="00A76FBA" w:rsidRDefault="00A76FBA" w14:paraId="377DA1C2" w14:textId="4EE2E649">
      <w:pPr>
        <w:pStyle w:val="FootnoteText"/>
      </w:pPr>
      <w:r>
        <w:rPr>
          <w:rStyle w:val="FootnoteReference"/>
        </w:rPr>
        <w:footnoteRef/>
      </w:r>
      <w:r>
        <w:t xml:space="preserve"> </w:t>
      </w:r>
      <w:r w:rsidRPr="009E5B94">
        <w:t>Ala. Act. No. 2018-395, as amended by Ala. Act. Nos. 2019-327, 2022-138</w:t>
      </w:r>
      <w:r>
        <w:t xml:space="preserve">. </w:t>
      </w:r>
      <w:r>
        <w:rPr>
          <w:i/>
          <w:iCs/>
        </w:rPr>
        <w:t xml:space="preserve">See </w:t>
      </w:r>
      <w:r>
        <w:t>ADECA, “</w:t>
      </w:r>
      <w:r w:rsidRPr="00A0735D">
        <w:t>Alabama Broadband Accessibility Act</w:t>
      </w:r>
      <w:r>
        <w:t xml:space="preserve">,” </w:t>
      </w:r>
      <w:hyperlink w:history="1" r:id="rId101">
        <w:r w:rsidRPr="00A76FBA">
          <w:rPr>
            <w:rStyle w:val="Hyperlink"/>
          </w:rPr>
          <w:t>https://adeca.alabama.gov/wp-content/uploads/Alabama-Broadband-Accessibility-Act.pdf</w:t>
        </w:r>
      </w:hyperlink>
      <w:r>
        <w:t>.</w:t>
      </w:r>
    </w:p>
  </w:footnote>
  <w:footnote w:id="166">
    <w:p w:rsidR="00A76FBA" w:rsidRDefault="00A76FBA" w14:paraId="7E760FAF" w14:textId="7EBA9DF3">
      <w:pPr>
        <w:pStyle w:val="FootnoteText"/>
      </w:pPr>
      <w:r>
        <w:rPr>
          <w:rStyle w:val="FootnoteReference"/>
        </w:rPr>
        <w:footnoteRef/>
      </w:r>
      <w:r>
        <w:t xml:space="preserve"> </w:t>
      </w:r>
      <w:r w:rsidRPr="00A76FBA">
        <w:t>Ala. Code § 41-23-213(b).</w:t>
      </w:r>
    </w:p>
  </w:footnote>
  <w:footnote w:id="167">
    <w:p w:rsidR="7EEAD058" w:rsidRDefault="7EEAD058" w14:paraId="71C236DE" w14:textId="40204EC3">
      <w:pPr>
        <w:pStyle w:val="FootnoteText"/>
      </w:pPr>
      <w:r>
        <w:rPr>
          <w:rStyle w:val="FootnoteReference"/>
        </w:rPr>
        <w:footnoteRef/>
      </w:r>
      <w:r w:rsidR="00910A3E">
        <w:t xml:space="preserve"> </w:t>
      </w:r>
      <w:r w:rsidR="00355B39">
        <w:rPr>
          <w:i/>
          <w:iCs/>
        </w:rPr>
        <w:t xml:space="preserve">See </w:t>
      </w:r>
      <w:r w:rsidR="00141C19">
        <w:t>“</w:t>
      </w:r>
      <w:r w:rsidR="008A165B">
        <w:t xml:space="preserve">Alabama Capital Projects Fund Program Guide,” </w:t>
      </w:r>
      <w:r w:rsidR="00861195">
        <w:t xml:space="preserve">ADECA, </w:t>
      </w:r>
      <w:hyperlink w:history="1" r:id="rId102">
        <w:r w:rsidRPr="00C77CB3" w:rsidR="008A165B">
          <w:rPr>
            <w:rStyle w:val="Hyperlink"/>
          </w:rPr>
          <w:t>https://adeca.alabama.gov/wp-content/uploads/Alabama-Capital-Projects-Fund-Program-Guide.pdf</w:t>
        </w:r>
      </w:hyperlink>
      <w:r w:rsidR="008A165B">
        <w:t xml:space="preserve">; </w:t>
      </w:r>
      <w:r w:rsidR="00D33028">
        <w:t>“</w:t>
      </w:r>
      <w:r w:rsidR="00660059">
        <w:t xml:space="preserve">Alabama Anchor Institution/Middle-Mile Program Guide,” </w:t>
      </w:r>
      <w:r w:rsidR="00861195">
        <w:t xml:space="preserve">ADECA, </w:t>
      </w:r>
      <w:hyperlink w:history="1" r:id="rId103">
        <w:r w:rsidRPr="00C77CB3" w:rsidR="00660059">
          <w:rPr>
            <w:rStyle w:val="Hyperlink"/>
          </w:rPr>
          <w:t>https://adeca.alabama.gov/wp-content/uploads/AIMM-Program-Guide.pdf</w:t>
        </w:r>
      </w:hyperlink>
      <w:r w:rsidR="00660059">
        <w:t>.</w:t>
      </w:r>
      <w:r w:rsidR="00C3559C">
        <w:t xml:space="preserve"> </w:t>
      </w:r>
    </w:p>
  </w:footnote>
  <w:footnote w:id="168">
    <w:p w:rsidR="00A76FBA" w:rsidRDefault="00A76FBA" w14:paraId="76DE1741" w14:textId="24CE0E97">
      <w:pPr>
        <w:pStyle w:val="FootnoteText"/>
      </w:pPr>
      <w:r>
        <w:rPr>
          <w:rStyle w:val="FootnoteReference"/>
        </w:rPr>
        <w:footnoteRef/>
      </w:r>
      <w:r>
        <w:t xml:space="preserve"> </w:t>
      </w:r>
      <w:r w:rsidRPr="00A76FBA">
        <w:t>Ala. Const. Art. IV, § 93.18</w:t>
      </w:r>
      <w:r>
        <w:t xml:space="preserve">. </w:t>
      </w:r>
    </w:p>
  </w:footnote>
  <w:footnote w:id="169">
    <w:p w:rsidRPr="001D6B7E" w:rsidR="00A76FBA" w:rsidRDefault="00A76FBA" w14:paraId="651EB5CE" w14:textId="6F3EEB1C">
      <w:pPr>
        <w:pStyle w:val="FootnoteText"/>
        <w:rPr>
          <w:i/>
        </w:rPr>
      </w:pPr>
      <w:r>
        <w:rPr>
          <w:rStyle w:val="FootnoteReference"/>
        </w:rPr>
        <w:footnoteRef/>
      </w:r>
      <w:r>
        <w:t xml:space="preserve"> </w:t>
      </w:r>
      <w:r>
        <w:rPr>
          <w:i/>
          <w:iCs/>
        </w:rPr>
        <w:t>Id.</w:t>
      </w:r>
    </w:p>
  </w:footnote>
  <w:footnote w:id="170">
    <w:p w:rsidRPr="00293C2F" w:rsidR="003D051B" w:rsidRDefault="003D051B" w14:paraId="511FAC4D" w14:textId="2F3CC328">
      <w:pPr>
        <w:pStyle w:val="FootnoteText"/>
        <w:rPr>
          <w:lang w:val="fr-FR"/>
        </w:rPr>
      </w:pPr>
      <w:r>
        <w:rPr>
          <w:rStyle w:val="FootnoteReference"/>
        </w:rPr>
        <w:footnoteRef/>
      </w:r>
      <w:r w:rsidRPr="00293C2F">
        <w:rPr>
          <w:lang w:val="fr-FR"/>
        </w:rPr>
        <w:t xml:space="preserve"> Ala. Code § 11-50B-3. </w:t>
      </w:r>
    </w:p>
  </w:footnote>
  <w:footnote w:id="171">
    <w:p w:rsidRPr="00293C2F" w:rsidR="00E20FF1" w:rsidRDefault="00E20FF1" w14:paraId="715490B2" w14:textId="467D565C">
      <w:pPr>
        <w:pStyle w:val="FootnoteText"/>
        <w:rPr>
          <w:lang w:val="fr-FR"/>
        </w:rPr>
      </w:pPr>
      <w:r w:rsidRPr="00D61E6E">
        <w:rPr>
          <w:rStyle w:val="FootnoteReference"/>
        </w:rPr>
        <w:footnoteRef/>
      </w:r>
      <w:r w:rsidRPr="00293C2F">
        <w:rPr>
          <w:lang w:val="fr-FR"/>
        </w:rPr>
        <w:t xml:space="preserve"> </w:t>
      </w:r>
      <w:r w:rsidRPr="00293C2F">
        <w:rPr>
          <w:i/>
          <w:lang w:val="fr-FR"/>
        </w:rPr>
        <w:t>See</w:t>
      </w:r>
      <w:r w:rsidRPr="00293C2F">
        <w:rPr>
          <w:lang w:val="fr-FR"/>
        </w:rPr>
        <w:t xml:space="preserve"> Ala. Code §§ 11-50B-3–11-50B-11</w:t>
      </w:r>
      <w:r w:rsidRPr="00293C2F" w:rsidR="00976A04">
        <w:rPr>
          <w:lang w:val="fr-FR"/>
        </w:rPr>
        <w:t>.</w:t>
      </w:r>
    </w:p>
  </w:footnote>
  <w:footnote w:id="172">
    <w:p w:rsidR="00976A04" w:rsidRDefault="00976A04" w14:paraId="3C98DA11" w14:textId="435F9FAC">
      <w:pPr>
        <w:pStyle w:val="FootnoteText"/>
      </w:pPr>
      <w:r>
        <w:rPr>
          <w:rStyle w:val="FootnoteReference"/>
        </w:rPr>
        <w:footnoteRef/>
      </w:r>
      <w:r>
        <w:t xml:space="preserve"> </w:t>
      </w:r>
      <w:r w:rsidRPr="00976A04">
        <w:t>Ala. Code § 37-16-4(a)</w:t>
      </w:r>
      <w:r>
        <w:t>.</w:t>
      </w:r>
    </w:p>
  </w:footnote>
  <w:footnote w:id="173">
    <w:p w:rsidR="005F28B5" w:rsidRDefault="005F28B5" w14:paraId="52357C03" w14:textId="268366D2">
      <w:pPr>
        <w:pStyle w:val="FootnoteText"/>
      </w:pPr>
      <w:r>
        <w:rPr>
          <w:rStyle w:val="FootnoteReference"/>
        </w:rPr>
        <w:footnoteRef/>
      </w:r>
      <w:r>
        <w:t xml:space="preserve"> </w:t>
      </w:r>
      <w:r w:rsidRPr="001D6B7E">
        <w:rPr>
          <w:i/>
        </w:rPr>
        <w:t>See</w:t>
      </w:r>
      <w:r w:rsidRPr="00DC59F5">
        <w:t xml:space="preserve"> Ala. Code §§ 37-16-4, 37-16-9</w:t>
      </w:r>
      <w:r w:rsidR="00E36003">
        <w:t>. Many of the provisions that are applicable to electric cooperatives do not apply to those cooperatives that are TVA</w:t>
      </w:r>
      <w:r w:rsidR="00A420D5">
        <w:t xml:space="preserve"> distributors</w:t>
      </w:r>
      <w:r w:rsidR="00E36003">
        <w:t xml:space="preserve"> or entities defined as a “utility.” </w:t>
      </w:r>
      <w:r w:rsidRPr="00F4414E" w:rsidR="00E36003">
        <w:rPr>
          <w:i/>
        </w:rPr>
        <w:t>See</w:t>
      </w:r>
      <w:r w:rsidRPr="00E36003" w:rsidR="00E36003">
        <w:t xml:space="preserve"> Ala. Code §§ 37-4-1, 37-16-9</w:t>
      </w:r>
      <w:r w:rsidR="00E36003">
        <w:t>.</w:t>
      </w:r>
    </w:p>
  </w:footnote>
  <w:footnote w:id="174">
    <w:p w:rsidRPr="00940B47" w:rsidR="000D0441" w:rsidP="001B0B64" w:rsidRDefault="000D0441" w14:paraId="584CDCA7" w14:textId="687E6B4F">
      <w:pPr>
        <w:pStyle w:val="FootnoteText"/>
      </w:pPr>
      <w:r>
        <w:rPr>
          <w:rStyle w:val="FootnoteReference"/>
        </w:rPr>
        <w:footnoteRef/>
      </w:r>
      <w:r>
        <w:t xml:space="preserve"> </w:t>
      </w:r>
      <w:r w:rsidR="00612A7A">
        <w:rPr>
          <w:i/>
          <w:iCs/>
        </w:rPr>
        <w:t xml:space="preserve">See </w:t>
      </w:r>
      <w:r w:rsidR="00612A7A">
        <w:t>2 C.F.R. § 200.332</w:t>
      </w:r>
      <w:r w:rsidR="0037255C">
        <w:t xml:space="preserve">; </w:t>
      </w:r>
      <w:r w:rsidR="0037255C">
        <w:rPr>
          <w:i/>
          <w:iCs/>
        </w:rPr>
        <w:t>see, e.g.</w:t>
      </w:r>
      <w:r w:rsidR="0037255C">
        <w:t>, “</w:t>
      </w:r>
      <w:r w:rsidR="00EA410B">
        <w:t xml:space="preserve">Alabama Capital Projects Fund Application,” </w:t>
      </w:r>
      <w:r w:rsidR="00237532">
        <w:t xml:space="preserve">ADECA, </w:t>
      </w:r>
      <w:hyperlink w:history="1" r:id="rId104">
        <w:r w:rsidRPr="00C77CB3" w:rsidR="00EA410B">
          <w:rPr>
            <w:rStyle w:val="Hyperlink"/>
          </w:rPr>
          <w:t>https://adeca.alabama.gov/wp-content/uploads/Alabama-Capital-Projects-Fund-Application.pdf</w:t>
        </w:r>
      </w:hyperlink>
      <w:r w:rsidR="00EA410B">
        <w:t>; “</w:t>
      </w:r>
      <w:r w:rsidR="001B0B64">
        <w:t xml:space="preserve">Alabama Anchor Institution/Middle-Mile Program Application and Application Guide,” </w:t>
      </w:r>
      <w:r w:rsidR="00152A31">
        <w:t xml:space="preserve">ADECA, </w:t>
      </w:r>
      <w:hyperlink w:history="1" r:id="rId105">
        <w:r w:rsidRPr="00C77CB3" w:rsidR="001B0B64">
          <w:rPr>
            <w:rStyle w:val="Hyperlink"/>
          </w:rPr>
          <w:t>https://adeca.alabama.gov/wp-content/uploads/AIMM-Application-and-Guide.pdf</w:t>
        </w:r>
      </w:hyperlink>
      <w:r w:rsidR="001B0B64">
        <w:t xml:space="preserve">. </w:t>
      </w:r>
    </w:p>
  </w:footnote>
  <w:footnote w:id="175">
    <w:p w:rsidR="00107146" w:rsidRDefault="00107146" w14:paraId="4B97EB5C" w14:textId="11515A17">
      <w:pPr>
        <w:pStyle w:val="FootnoteText"/>
      </w:pPr>
      <w:r>
        <w:rPr>
          <w:rStyle w:val="FootnoteReference"/>
        </w:rPr>
        <w:footnoteRef/>
      </w:r>
      <w:r>
        <w:t xml:space="preserve"> “</w:t>
      </w:r>
      <w:r w:rsidRPr="00107146">
        <w:t>Report Fraud, Waste, and Abuse</w:t>
      </w:r>
      <w:r>
        <w:t xml:space="preserve">,” ADECA, </w:t>
      </w:r>
      <w:hyperlink w:history="1" r:id="rId106">
        <w:r w:rsidRPr="0071189A">
          <w:rPr>
            <w:rStyle w:val="Hyperlink"/>
          </w:rPr>
          <w:t>https://adeca.alabama.gov/fraud/</w:t>
        </w:r>
      </w:hyperlink>
      <w:r>
        <w:t xml:space="preserve">. </w:t>
      </w:r>
    </w:p>
  </w:footnote>
  <w:footnote w:id="176">
    <w:p w:rsidR="001645E2" w:rsidP="001645E2" w:rsidRDefault="001645E2" w14:paraId="3224EBB1" w14:textId="77777777">
      <w:pPr>
        <w:pStyle w:val="FootnoteText"/>
      </w:pPr>
      <w:r>
        <w:rPr>
          <w:rStyle w:val="FootnoteReference"/>
        </w:rPr>
        <w:footnoteRef/>
      </w:r>
      <w:r>
        <w:t xml:space="preserve"> “</w:t>
      </w:r>
      <w:r w:rsidRPr="00987D18">
        <w:t>Report Fraud, Waste, Abuse, &amp; Whistleblower Reprisal</w:t>
      </w:r>
      <w:r>
        <w:t xml:space="preserve">,” Office of the Inspector General, U.S. Department of Commerce, </w:t>
      </w:r>
      <w:hyperlink w:history="1" r:id="rId107">
        <w:r w:rsidRPr="002A6ACD">
          <w:rPr>
            <w:rStyle w:val="Hyperlink"/>
          </w:rPr>
          <w:t>https://www.oig.doc.gov/Pages/Hotline.aspx</w:t>
        </w:r>
      </w:hyperlink>
      <w:r>
        <w:t xml:space="preserve">. </w:t>
      </w:r>
    </w:p>
  </w:footnote>
  <w:footnote w:id="177">
    <w:p w:rsidRPr="00940B47" w:rsidR="001D4E9F" w:rsidRDefault="001D4E9F" w14:paraId="117FD133" w14:textId="6AF4AD22">
      <w:pPr>
        <w:pStyle w:val="FootnoteText"/>
      </w:pPr>
      <w:r>
        <w:rPr>
          <w:rStyle w:val="FootnoteReference"/>
        </w:rPr>
        <w:footnoteRef/>
      </w:r>
      <w:r>
        <w:t xml:space="preserve"> </w:t>
      </w:r>
      <w:r w:rsidR="003455F6">
        <w:t>Under the Alabama Broadband Accessibility Fund program, broadband providers do not receive any grant funding until a project is complete and ADECA has reviewed and approved all required project closeout information.</w:t>
      </w:r>
      <w:r w:rsidR="00DA3ACD">
        <w:t xml:space="preserve"> </w:t>
      </w:r>
      <w:r w:rsidR="00DA3ACD">
        <w:rPr>
          <w:i/>
          <w:iCs/>
        </w:rPr>
        <w:t xml:space="preserve">See </w:t>
      </w:r>
      <w:r w:rsidR="00DA3ACD">
        <w:t>ADECA, “</w:t>
      </w:r>
      <w:r w:rsidRPr="00DA3ACD" w:rsidR="00DA3ACD">
        <w:t>Alabama Broadband Accessibility Fund Grant Application and Implementation</w:t>
      </w:r>
      <w:r w:rsidR="00DA3ACD">
        <w:t xml:space="preserve">,” </w:t>
      </w:r>
      <w:hyperlink w:history="1" r:id="rId108">
        <w:r w:rsidRPr="00C77CB3" w:rsidR="00DA3ACD">
          <w:rPr>
            <w:rStyle w:val="Hyperlink"/>
          </w:rPr>
          <w:t>https://adeca.alabama.gov/grant-application-and-implementation/</w:t>
        </w:r>
      </w:hyperlink>
      <w:r w:rsidR="00DA3ACD">
        <w:t xml:space="preserve">. </w:t>
      </w:r>
    </w:p>
  </w:footnote>
  <w:footnote w:id="178">
    <w:p w:rsidRPr="00940B47" w:rsidR="00842C1A" w:rsidP="00940B47" w:rsidRDefault="00842C1A" w14:paraId="255B55EF" w14:textId="50810485">
      <w:pPr>
        <w:pStyle w:val="FootnoteText"/>
      </w:pPr>
      <w:r>
        <w:rPr>
          <w:rStyle w:val="FootnoteReference"/>
        </w:rPr>
        <w:footnoteRef/>
      </w:r>
      <w:r>
        <w:t xml:space="preserve"> </w:t>
      </w:r>
      <w:r>
        <w:rPr>
          <w:i/>
          <w:iCs/>
        </w:rPr>
        <w:t>See, e.g.,</w:t>
      </w:r>
      <w:r>
        <w:t xml:space="preserve"> “</w:t>
      </w:r>
      <w:r w:rsidR="00850844">
        <w:t xml:space="preserve">Alabama Capital Projects Fund Program Guide,” </w:t>
      </w:r>
      <w:r w:rsidR="000566BD">
        <w:t xml:space="preserve">ADECA, </w:t>
      </w:r>
      <w:hyperlink w:history="1" r:id="rId109">
        <w:r w:rsidRPr="00C77CB3" w:rsidR="00850844">
          <w:rPr>
            <w:rStyle w:val="Hyperlink"/>
          </w:rPr>
          <w:t>https://adeca.alabama.gov/wp-content/uploads/Alabama-Capital-Projects-Fund-Program-Guide.pdf</w:t>
        </w:r>
      </w:hyperlink>
      <w:r w:rsidR="00850844">
        <w:t xml:space="preserve"> (</w:t>
      </w:r>
      <w:r w:rsidR="000572CC">
        <w:t>explaining</w:t>
      </w:r>
      <w:r w:rsidR="000352AC">
        <w:t xml:space="preserve"> that</w:t>
      </w:r>
      <w:r w:rsidR="00CB0198">
        <w:t xml:space="preserve"> </w:t>
      </w:r>
      <w:r w:rsidR="000572CC">
        <w:t xml:space="preserve">ADECA will have the right to recoup </w:t>
      </w:r>
      <w:r w:rsidR="00441A1C">
        <w:t>grant funds</w:t>
      </w:r>
      <w:r w:rsidR="000572CC">
        <w:t xml:space="preserve"> from the subrecipient in the amount attributable to the subrecipient’s noncompliance without offset);</w:t>
      </w:r>
      <w:r w:rsidR="000352AC">
        <w:t xml:space="preserve"> “</w:t>
      </w:r>
      <w:r w:rsidR="00B30B64">
        <w:t xml:space="preserve">Alabama Anchor Institution/Middle-Mile Program Guide,” </w:t>
      </w:r>
      <w:r w:rsidR="000566BD">
        <w:t xml:space="preserve">ADECA, </w:t>
      </w:r>
      <w:hyperlink w:history="1" r:id="rId110">
        <w:r w:rsidRPr="00C77CB3" w:rsidR="00B30B64">
          <w:rPr>
            <w:rStyle w:val="Hyperlink"/>
          </w:rPr>
          <w:t>https://adeca.alabama.gov/wp-content/uploads/AIMM-Program-Guide.pdf</w:t>
        </w:r>
      </w:hyperlink>
      <w:r w:rsidR="00B30B64">
        <w:t xml:space="preserve"> (same).</w:t>
      </w:r>
    </w:p>
  </w:footnote>
  <w:footnote w:id="179">
    <w:p w:rsidRPr="00940B47" w:rsidR="00967CEC" w:rsidRDefault="00967CEC" w14:paraId="3E960DAD" w14:textId="5608DC78">
      <w:pPr>
        <w:pStyle w:val="FootnoteText"/>
      </w:pPr>
      <w:r>
        <w:rPr>
          <w:rStyle w:val="FootnoteReference"/>
        </w:rPr>
        <w:footnoteRef/>
      </w:r>
      <w:r>
        <w:t xml:space="preserve"> </w:t>
      </w:r>
      <w:r>
        <w:rPr>
          <w:i/>
          <w:iCs/>
        </w:rPr>
        <w:t xml:space="preserve">See </w:t>
      </w:r>
      <w:r>
        <w:t>2 C.F.R. § 200.332.</w:t>
      </w:r>
    </w:p>
  </w:footnote>
  <w:footnote w:id="180">
    <w:p w:rsidR="00B738AB" w:rsidRDefault="00B738AB" w14:paraId="7D97E686" w14:textId="5A23C8B1">
      <w:pPr>
        <w:pStyle w:val="FootnoteText"/>
      </w:pPr>
      <w:r>
        <w:rPr>
          <w:rStyle w:val="FootnoteReference"/>
        </w:rPr>
        <w:footnoteRef/>
      </w:r>
      <w:r>
        <w:t xml:space="preserve"> “Cy</w:t>
      </w:r>
      <w:r w:rsidR="004709E2">
        <w:t xml:space="preserve">ber Security,” Made in Alabama, </w:t>
      </w:r>
      <w:hyperlink w:history="1" r:id="rId111">
        <w:r w:rsidRPr="0071189A" w:rsidR="004709E2">
          <w:rPr>
            <w:rStyle w:val="Hyperlink"/>
          </w:rPr>
          <w:t>https://www.madeinalabama.com/industries/industry/cyber-security/</w:t>
        </w:r>
      </w:hyperlink>
      <w:r w:rsidR="004709E2">
        <w:t xml:space="preserve">. </w:t>
      </w:r>
    </w:p>
  </w:footnote>
  <w:footnote w:id="181">
    <w:p w:rsidR="00FE256B" w:rsidRDefault="00FE256B" w14:paraId="663B67F7" w14:textId="33EDEEE9">
      <w:pPr>
        <w:pStyle w:val="FootnoteText"/>
      </w:pPr>
      <w:r>
        <w:rPr>
          <w:rStyle w:val="FootnoteReference"/>
        </w:rPr>
        <w:footnoteRef/>
      </w:r>
      <w:r>
        <w:t xml:space="preserve"> “Cybersecurity,” </w:t>
      </w:r>
      <w:r w:rsidR="00F94C72">
        <w:t xml:space="preserve">Alabama Office of Information Technology, </w:t>
      </w:r>
      <w:hyperlink w:history="1" r:id="rId112">
        <w:r w:rsidRPr="0071189A" w:rsidR="00F94C72">
          <w:rPr>
            <w:rStyle w:val="Hyperlink"/>
          </w:rPr>
          <w:t>https://oit.alabama.gov/cybersecurity/</w:t>
        </w:r>
      </w:hyperlink>
      <w:r w:rsidR="00F94C72">
        <w:t xml:space="preserve">. </w:t>
      </w:r>
    </w:p>
  </w:footnote>
  <w:footnote w:id="182">
    <w:p w:rsidR="000268E5" w:rsidRDefault="000268E5" w14:paraId="39733013" w14:textId="0EB2310F">
      <w:pPr>
        <w:pStyle w:val="FootnoteText"/>
      </w:pPr>
      <w:r>
        <w:rPr>
          <w:rStyle w:val="FootnoteReference"/>
        </w:rPr>
        <w:footnoteRef/>
      </w:r>
      <w:r>
        <w:t xml:space="preserve"> </w:t>
      </w:r>
      <w:r w:rsidRPr="001B3CF3" w:rsidR="00B90BBD">
        <w:rPr>
          <w:rFonts w:cstheme="minorHAnsi"/>
          <w:color w:val="242424"/>
          <w:bdr w:val="none" w:color="auto" w:sz="0" w:space="0" w:frame="1"/>
        </w:rPr>
        <w:t xml:space="preserve">A proposed scoring rubric will be included </w:t>
      </w:r>
      <w:r w:rsidR="00B90BBD">
        <w:rPr>
          <w:rFonts w:cstheme="minorHAnsi"/>
          <w:color w:val="242424"/>
          <w:bdr w:val="none" w:color="auto" w:sz="0" w:space="0" w:frame="1"/>
        </w:rPr>
        <w:t>as</w:t>
      </w:r>
      <w:r w:rsidRPr="00E4178C" w:rsidR="00B90BBD">
        <w:rPr>
          <w:rFonts w:cstheme="minorHAnsi"/>
          <w:color w:val="242424"/>
          <w:bdr w:val="none" w:color="auto" w:sz="0" w:space="0" w:frame="1"/>
        </w:rPr>
        <w:t xml:space="preserve"> </w:t>
      </w:r>
      <w:r w:rsidR="00B90BBD">
        <w:rPr>
          <w:rFonts w:cstheme="minorHAnsi"/>
          <w:color w:val="242424"/>
          <w:bdr w:val="none" w:color="auto" w:sz="0" w:space="0" w:frame="1"/>
        </w:rPr>
        <w:t>A</w:t>
      </w:r>
      <w:r w:rsidRPr="00E4178C" w:rsidR="00B90BBD">
        <w:rPr>
          <w:rFonts w:cstheme="minorHAnsi"/>
          <w:color w:val="242424"/>
          <w:bdr w:val="none" w:color="auto" w:sz="0" w:space="0" w:frame="1"/>
        </w:rPr>
        <w:t xml:space="preserve">ppendix </w:t>
      </w:r>
      <w:r w:rsidR="00B90BBD">
        <w:rPr>
          <w:rFonts w:cstheme="minorHAnsi"/>
          <w:color w:val="242424"/>
          <w:bdr w:val="none" w:color="auto" w:sz="0" w:space="0" w:frame="1"/>
        </w:rPr>
        <w:t xml:space="preserve">E </w:t>
      </w:r>
      <w:r w:rsidRPr="001B3CF3" w:rsidR="00B90BBD">
        <w:rPr>
          <w:rFonts w:cstheme="minorHAnsi"/>
          <w:color w:val="242424"/>
          <w:bdr w:val="none" w:color="auto" w:sz="0" w:space="0" w:frame="1"/>
        </w:rPr>
        <w:t xml:space="preserve">in the version of this Initial Proposal that is submitted to NTIA. See Section </w:t>
      </w:r>
      <w:r w:rsidRPr="00C153DE" w:rsidR="00B90BBD">
        <w:rPr>
          <w:rFonts w:cstheme="minorHAnsi"/>
          <w:color w:val="242424"/>
          <w:bdr w:val="none" w:color="auto" w:sz="0" w:space="0" w:frame="1"/>
        </w:rPr>
        <w:fldChar w:fldCharType="begin"/>
      </w:r>
      <w:r w:rsidRPr="001B3CF3" w:rsidR="00B90BBD">
        <w:rPr>
          <w:rFonts w:cstheme="minorHAnsi"/>
          <w:color w:val="242424"/>
          <w:bdr w:val="none" w:color="auto" w:sz="0" w:space="0" w:frame="1"/>
        </w:rPr>
        <w:instrText xml:space="preserve"> REF _Ref149834570 \r \h </w:instrText>
      </w:r>
      <w:r w:rsidRPr="00C153DE" w:rsidR="00B90BBD">
        <w:rPr>
          <w:rFonts w:cstheme="minorHAnsi"/>
          <w:color w:val="242424"/>
          <w:bdr w:val="none" w:color="auto" w:sz="0" w:space="0" w:frame="1"/>
        </w:rPr>
        <w:instrText xml:space="preserve"> \* MERGEFORMA</w:instrText>
      </w:r>
      <w:r w:rsidRPr="000D3581" w:rsidR="00B90BBD">
        <w:rPr>
          <w:rFonts w:cstheme="minorHAnsi"/>
          <w:color w:val="242424"/>
          <w:bdr w:val="none" w:color="auto" w:sz="0" w:space="0" w:frame="1"/>
        </w:rPr>
        <w:instrText xml:space="preserve">T </w:instrText>
      </w:r>
      <w:r w:rsidRPr="00C153DE" w:rsidR="00B90BBD">
        <w:rPr>
          <w:rFonts w:cstheme="minorHAnsi"/>
          <w:color w:val="242424"/>
          <w:bdr w:val="none" w:color="auto" w:sz="0" w:space="0" w:frame="1"/>
        </w:rPr>
      </w:r>
      <w:r w:rsidRPr="00C153DE" w:rsidR="00B90BBD">
        <w:rPr>
          <w:rFonts w:cstheme="minorHAnsi"/>
          <w:color w:val="242424"/>
          <w:bdr w:val="none" w:color="auto" w:sz="0" w:space="0" w:frame="1"/>
        </w:rPr>
        <w:fldChar w:fldCharType="separate"/>
      </w:r>
      <w:r w:rsidR="00B90BBD">
        <w:rPr>
          <w:rFonts w:cstheme="minorHAnsi"/>
          <w:color w:val="242424"/>
          <w:bdr w:val="none" w:color="auto" w:sz="0" w:space="0" w:frame="1"/>
        </w:rPr>
        <w:t>5.3.3</w:t>
      </w:r>
      <w:r w:rsidRPr="00C153DE" w:rsidR="00B90BBD">
        <w:rPr>
          <w:rFonts w:cstheme="minorHAnsi"/>
          <w:color w:val="242424"/>
          <w:bdr w:val="none" w:color="auto" w:sz="0" w:space="0" w:frame="1"/>
        </w:rPr>
        <w:fldChar w:fldCharType="end"/>
      </w:r>
      <w:r w:rsidRPr="001B3CF3" w:rsidR="00B90BBD">
        <w:rPr>
          <w:rFonts w:cstheme="minorHAnsi"/>
          <w:color w:val="242424"/>
          <w:bdr w:val="none" w:color="auto" w:sz="0" w:space="0" w:frame="1"/>
        </w:rPr>
        <w:t xml:space="preserve"> for more details.</w:t>
      </w:r>
    </w:p>
  </w:footnote>
  <w:footnote w:id="183">
    <w:p w:rsidR="00B90BBD" w:rsidRDefault="00B90BBD" w14:paraId="70189DC4" w14:textId="0349D118">
      <w:pPr>
        <w:pStyle w:val="FootnoteText"/>
      </w:pPr>
      <w:r>
        <w:rPr>
          <w:rStyle w:val="FootnoteReference"/>
        </w:rPr>
        <w:footnoteRef/>
      </w:r>
      <w:r>
        <w:t xml:space="preserve"> </w:t>
      </w:r>
      <w:r w:rsidRPr="001B3CF3">
        <w:rPr>
          <w:rFonts w:cstheme="minorHAnsi"/>
          <w:color w:val="242424"/>
          <w:bdr w:val="none" w:color="auto" w:sz="0" w:space="0" w:frame="1"/>
        </w:rPr>
        <w:t xml:space="preserve">A proposed scoring rubric will be included </w:t>
      </w:r>
      <w:r>
        <w:rPr>
          <w:rFonts w:cstheme="minorHAnsi"/>
          <w:color w:val="242424"/>
          <w:bdr w:val="none" w:color="auto" w:sz="0" w:space="0" w:frame="1"/>
        </w:rPr>
        <w:t>as</w:t>
      </w:r>
      <w:r w:rsidRPr="00E4178C">
        <w:rPr>
          <w:rFonts w:cstheme="minorHAnsi"/>
          <w:color w:val="242424"/>
          <w:bdr w:val="none" w:color="auto" w:sz="0" w:space="0" w:frame="1"/>
        </w:rPr>
        <w:t xml:space="preserve"> </w:t>
      </w:r>
      <w:r>
        <w:rPr>
          <w:rFonts w:cstheme="minorHAnsi"/>
          <w:color w:val="242424"/>
          <w:bdr w:val="none" w:color="auto" w:sz="0" w:space="0" w:frame="1"/>
        </w:rPr>
        <w:t>A</w:t>
      </w:r>
      <w:r w:rsidRPr="00E4178C">
        <w:rPr>
          <w:rFonts w:cstheme="minorHAnsi"/>
          <w:color w:val="242424"/>
          <w:bdr w:val="none" w:color="auto" w:sz="0" w:space="0" w:frame="1"/>
        </w:rPr>
        <w:t xml:space="preserve">ppendix </w:t>
      </w:r>
      <w:r>
        <w:rPr>
          <w:rFonts w:cstheme="minorHAnsi"/>
          <w:color w:val="242424"/>
          <w:bdr w:val="none" w:color="auto" w:sz="0" w:space="0" w:frame="1"/>
        </w:rPr>
        <w:t xml:space="preserve">E </w:t>
      </w:r>
      <w:r w:rsidRPr="001B3CF3">
        <w:rPr>
          <w:rFonts w:cstheme="minorHAnsi"/>
          <w:color w:val="242424"/>
          <w:bdr w:val="none" w:color="auto" w:sz="0" w:space="0" w:frame="1"/>
        </w:rPr>
        <w:t xml:space="preserve">in the version of this Initial Proposal that is submitted to NTIA. See Section </w:t>
      </w:r>
      <w:r w:rsidRPr="00C153DE">
        <w:rPr>
          <w:rFonts w:cstheme="minorHAnsi"/>
          <w:color w:val="242424"/>
          <w:bdr w:val="none" w:color="auto" w:sz="0" w:space="0" w:frame="1"/>
        </w:rPr>
        <w:fldChar w:fldCharType="begin"/>
      </w:r>
      <w:r w:rsidRPr="001B3CF3">
        <w:rPr>
          <w:rFonts w:cstheme="minorHAnsi"/>
          <w:color w:val="242424"/>
          <w:bdr w:val="none" w:color="auto" w:sz="0" w:space="0" w:frame="1"/>
        </w:rPr>
        <w:instrText xml:space="preserve"> REF _Ref149834570 \r \h </w:instrText>
      </w:r>
      <w:r w:rsidRPr="00C153DE">
        <w:rPr>
          <w:rFonts w:cstheme="minorHAnsi"/>
          <w:color w:val="242424"/>
          <w:bdr w:val="none" w:color="auto" w:sz="0" w:space="0" w:frame="1"/>
        </w:rPr>
        <w:instrText xml:space="preserve"> \* MERGEFORMA</w:instrText>
      </w:r>
      <w:r w:rsidRPr="000D3581">
        <w:rPr>
          <w:rFonts w:cstheme="minorHAnsi"/>
          <w:color w:val="242424"/>
          <w:bdr w:val="none" w:color="auto" w:sz="0" w:space="0" w:frame="1"/>
        </w:rPr>
        <w:instrText xml:space="preserve">T </w:instrText>
      </w:r>
      <w:r w:rsidRPr="00C153DE">
        <w:rPr>
          <w:rFonts w:cstheme="minorHAnsi"/>
          <w:color w:val="242424"/>
          <w:bdr w:val="none" w:color="auto" w:sz="0" w:space="0" w:frame="1"/>
        </w:rPr>
      </w:r>
      <w:r w:rsidRPr="00C153DE">
        <w:rPr>
          <w:rFonts w:cstheme="minorHAnsi"/>
          <w:color w:val="242424"/>
          <w:bdr w:val="none" w:color="auto" w:sz="0" w:space="0" w:frame="1"/>
        </w:rPr>
        <w:fldChar w:fldCharType="separate"/>
      </w:r>
      <w:r>
        <w:rPr>
          <w:rFonts w:cstheme="minorHAnsi"/>
          <w:color w:val="242424"/>
          <w:bdr w:val="none" w:color="auto" w:sz="0" w:space="0" w:frame="1"/>
        </w:rPr>
        <w:t>5.3.3</w:t>
      </w:r>
      <w:r w:rsidRPr="00C153DE">
        <w:rPr>
          <w:rFonts w:cstheme="minorHAnsi"/>
          <w:color w:val="242424"/>
          <w:bdr w:val="none" w:color="auto" w:sz="0" w:space="0" w:frame="1"/>
        </w:rPr>
        <w:fldChar w:fldCharType="end"/>
      </w:r>
      <w:r w:rsidRPr="001B3CF3">
        <w:rPr>
          <w:rFonts w:cstheme="minorHAnsi"/>
          <w:color w:val="242424"/>
          <w:bdr w:val="none" w:color="auto" w:sz="0" w:space="0" w:frame="1"/>
        </w:rPr>
        <w:t xml:space="preserve"> for more details.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EA22A3" w:rsidR="009109E3" w:rsidP="00484F7B" w:rsidRDefault="009109E3" w14:paraId="549E0411" w14:textId="658BF5D7">
    <w:pPr>
      <w:pStyle w:val="Header"/>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869A6"/>
    <w:multiLevelType w:val="multilevel"/>
    <w:tmpl w:val="6F8A83F8"/>
    <w:lvl w:ilvl="0">
      <w:start w:val="1"/>
      <w:numFmt w:val="decimal"/>
      <w:lvlText w:val="%1."/>
      <w:lvlJc w:val="left"/>
      <w:pPr>
        <w:ind w:left="720" w:hanging="360"/>
      </w:pPr>
      <w:rPr>
        <w:rFonts w:hint="default"/>
      </w:rPr>
    </w:lvl>
    <w:lvl w:ilvl="1">
      <w:start w:val="4"/>
      <w:numFmt w:val="decimal"/>
      <w:isLgl/>
      <w:lvlText w:val="%1.%2"/>
      <w:lvlJc w:val="left"/>
      <w:pPr>
        <w:ind w:left="1800" w:hanging="1440"/>
      </w:pPr>
      <w:rPr>
        <w:rFonts w:hint="default"/>
        <w:b/>
        <w:i w:val="0"/>
        <w:color w:val="4C483D"/>
      </w:rPr>
    </w:lvl>
    <w:lvl w:ilvl="2">
      <w:start w:val="11"/>
      <w:numFmt w:val="decimal"/>
      <w:isLgl/>
      <w:lvlText w:val="%1.%2.%3"/>
      <w:lvlJc w:val="left"/>
      <w:pPr>
        <w:ind w:left="1800" w:hanging="1440"/>
      </w:pPr>
      <w:rPr>
        <w:rFonts w:hint="default"/>
        <w:b/>
        <w:i w:val="0"/>
        <w:color w:val="4C483D"/>
      </w:rPr>
    </w:lvl>
    <w:lvl w:ilvl="3">
      <w:start w:val="1"/>
      <w:numFmt w:val="decimal"/>
      <w:isLgl/>
      <w:lvlText w:val="%1.%2.%3.%4"/>
      <w:lvlJc w:val="left"/>
      <w:pPr>
        <w:ind w:left="1800" w:hanging="1440"/>
      </w:pPr>
      <w:rPr>
        <w:rFonts w:hint="default"/>
        <w:b/>
        <w:i w:val="0"/>
        <w:color w:val="4C483D"/>
      </w:rPr>
    </w:lvl>
    <w:lvl w:ilvl="4">
      <w:start w:val="1"/>
      <w:numFmt w:val="decimal"/>
      <w:isLgl/>
      <w:lvlText w:val="%1.%2.%3.%4.%5"/>
      <w:lvlJc w:val="left"/>
      <w:pPr>
        <w:ind w:left="1800" w:hanging="1440"/>
      </w:pPr>
      <w:rPr>
        <w:rFonts w:hint="default"/>
        <w:b/>
        <w:i w:val="0"/>
        <w:color w:val="4C483D"/>
      </w:rPr>
    </w:lvl>
    <w:lvl w:ilvl="5">
      <w:start w:val="1"/>
      <w:numFmt w:val="decimal"/>
      <w:isLgl/>
      <w:lvlText w:val="%1.%2.%3.%4.%5.%6"/>
      <w:lvlJc w:val="left"/>
      <w:pPr>
        <w:ind w:left="1800" w:hanging="1440"/>
      </w:pPr>
      <w:rPr>
        <w:rFonts w:hint="default"/>
        <w:b/>
        <w:i w:val="0"/>
        <w:color w:val="4C483D"/>
      </w:rPr>
    </w:lvl>
    <w:lvl w:ilvl="6">
      <w:start w:val="1"/>
      <w:numFmt w:val="decimal"/>
      <w:isLgl/>
      <w:lvlText w:val="%1.%2.%3.%4.%5.%6.%7"/>
      <w:lvlJc w:val="left"/>
      <w:pPr>
        <w:ind w:left="1800" w:hanging="1440"/>
      </w:pPr>
      <w:rPr>
        <w:rFonts w:hint="default"/>
        <w:b/>
        <w:i w:val="0"/>
        <w:color w:val="4C483D"/>
      </w:rPr>
    </w:lvl>
    <w:lvl w:ilvl="7">
      <w:start w:val="1"/>
      <w:numFmt w:val="decimal"/>
      <w:isLgl/>
      <w:lvlText w:val="%1.%2.%3.%4.%5.%6.%7.%8"/>
      <w:lvlJc w:val="left"/>
      <w:pPr>
        <w:ind w:left="1800" w:hanging="1440"/>
      </w:pPr>
      <w:rPr>
        <w:rFonts w:hint="default"/>
        <w:b/>
        <w:i w:val="0"/>
        <w:color w:val="4C483D"/>
      </w:rPr>
    </w:lvl>
    <w:lvl w:ilvl="8">
      <w:start w:val="1"/>
      <w:numFmt w:val="decimal"/>
      <w:isLgl/>
      <w:lvlText w:val="%1.%2.%3.%4.%5.%6.%7.%8.%9"/>
      <w:lvlJc w:val="left"/>
      <w:pPr>
        <w:ind w:left="1800" w:hanging="1440"/>
      </w:pPr>
      <w:rPr>
        <w:rFonts w:hint="default"/>
        <w:b/>
        <w:i w:val="0"/>
        <w:color w:val="4C483D"/>
      </w:rPr>
    </w:lvl>
  </w:abstractNum>
  <w:abstractNum w:abstractNumId="1" w15:restartNumberingAfterBreak="0">
    <w:nsid w:val="01293D11"/>
    <w:multiLevelType w:val="hybridMultilevel"/>
    <w:tmpl w:val="E79CE3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3061B98"/>
    <w:multiLevelType w:val="multilevel"/>
    <w:tmpl w:val="2384C692"/>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BC6ED3"/>
    <w:multiLevelType w:val="hybridMultilevel"/>
    <w:tmpl w:val="EB28E7B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7463BD8"/>
    <w:multiLevelType w:val="hybridMultilevel"/>
    <w:tmpl w:val="160E5FC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7865B0B"/>
    <w:multiLevelType w:val="hybridMultilevel"/>
    <w:tmpl w:val="0E4CEF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454ACF"/>
    <w:multiLevelType w:val="hybridMultilevel"/>
    <w:tmpl w:val="748A3FD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B0C730C"/>
    <w:multiLevelType w:val="multilevel"/>
    <w:tmpl w:val="E9DC5840"/>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B9175B0"/>
    <w:multiLevelType w:val="hybridMultilevel"/>
    <w:tmpl w:val="62FCD810"/>
    <w:lvl w:ilvl="0" w:tplc="FFFFFFFF">
      <w:start w:val="1"/>
      <w:numFmt w:val="bullet"/>
      <w:lvlText w:val=""/>
      <w:lvlJc w:val="left"/>
      <w:pPr>
        <w:ind w:left="720" w:hanging="360"/>
      </w:pPr>
      <w:rPr>
        <w:rFonts w:hint="default" w:ascii="Symbol" w:hAnsi="Symbol"/>
      </w:rPr>
    </w:lvl>
    <w:lvl w:ilvl="1" w:tplc="FFFFFFFF">
      <w:start w:val="1"/>
      <w:numFmt w:val="bullet"/>
      <w:lvlText w:val=""/>
      <w:lvlJc w:val="left"/>
      <w:pPr>
        <w:ind w:left="1440" w:hanging="360"/>
      </w:pPr>
      <w:rPr>
        <w:rFonts w:hint="default" w:ascii="Symbol" w:hAnsi="Symbol"/>
      </w:rPr>
    </w:lvl>
    <w:lvl w:ilvl="2" w:tplc="04090001">
      <w:start w:val="1"/>
      <w:numFmt w:val="bullet"/>
      <w:lvlText w:val=""/>
      <w:lvlJc w:val="left"/>
      <w:pPr>
        <w:ind w:left="2520" w:hanging="360"/>
      </w:pPr>
      <w:rPr>
        <w:rFonts w:hint="default" w:ascii="Symbol" w:hAnsi="Symbol"/>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 w15:restartNumberingAfterBreak="0">
    <w:nsid w:val="0CB820F7"/>
    <w:multiLevelType w:val="hybridMultilevel"/>
    <w:tmpl w:val="BAE8E6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0E69030F"/>
    <w:multiLevelType w:val="hybridMultilevel"/>
    <w:tmpl w:val="02B41FD2"/>
    <w:lvl w:ilvl="0" w:tplc="323CB0F4">
      <w:start w:val="1"/>
      <w:numFmt w:val="decimal"/>
      <w:lvlText w:val="%1)"/>
      <w:lvlJc w:val="left"/>
      <w:pPr>
        <w:ind w:left="720" w:hanging="360"/>
      </w:pPr>
      <w:rPr>
        <w:rFonts w:ascii="Gill Sans MT" w:hAnsi="Gill Sans MT" w:eastAsia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703C45"/>
    <w:multiLevelType w:val="hybridMultilevel"/>
    <w:tmpl w:val="BBD8F0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09A2140"/>
    <w:multiLevelType w:val="hybridMultilevel"/>
    <w:tmpl w:val="B27CC77A"/>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72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3" w15:restartNumberingAfterBreak="0">
    <w:nsid w:val="133B1BC3"/>
    <w:multiLevelType w:val="hybridMultilevel"/>
    <w:tmpl w:val="FFFFFFFF"/>
    <w:lvl w:ilvl="0" w:tplc="1898EE46">
      <w:start w:val="1"/>
      <w:numFmt w:val="bullet"/>
      <w:lvlText w:val=""/>
      <w:lvlJc w:val="left"/>
      <w:pPr>
        <w:ind w:left="720" w:hanging="360"/>
      </w:pPr>
      <w:rPr>
        <w:rFonts w:hint="default" w:ascii="Symbol" w:hAnsi="Symbol"/>
      </w:rPr>
    </w:lvl>
    <w:lvl w:ilvl="1" w:tplc="BBF2BA96">
      <w:start w:val="1"/>
      <w:numFmt w:val="bullet"/>
      <w:lvlText w:val="o"/>
      <w:lvlJc w:val="left"/>
      <w:pPr>
        <w:ind w:left="1440" w:hanging="360"/>
      </w:pPr>
      <w:rPr>
        <w:rFonts w:hint="default" w:ascii="Courier New" w:hAnsi="Courier New"/>
      </w:rPr>
    </w:lvl>
    <w:lvl w:ilvl="2" w:tplc="7E04EE76">
      <w:start w:val="1"/>
      <w:numFmt w:val="bullet"/>
      <w:lvlText w:val=""/>
      <w:lvlJc w:val="left"/>
      <w:pPr>
        <w:ind w:left="2160" w:hanging="360"/>
      </w:pPr>
      <w:rPr>
        <w:rFonts w:hint="default" w:ascii="Wingdings" w:hAnsi="Wingdings"/>
      </w:rPr>
    </w:lvl>
    <w:lvl w:ilvl="3" w:tplc="C00889DE">
      <w:start w:val="1"/>
      <w:numFmt w:val="bullet"/>
      <w:lvlText w:val=""/>
      <w:lvlJc w:val="left"/>
      <w:pPr>
        <w:ind w:left="2880" w:hanging="360"/>
      </w:pPr>
      <w:rPr>
        <w:rFonts w:hint="default" w:ascii="Symbol" w:hAnsi="Symbol"/>
      </w:rPr>
    </w:lvl>
    <w:lvl w:ilvl="4" w:tplc="A60C972A">
      <w:start w:val="1"/>
      <w:numFmt w:val="bullet"/>
      <w:lvlText w:val="o"/>
      <w:lvlJc w:val="left"/>
      <w:pPr>
        <w:ind w:left="3600" w:hanging="360"/>
      </w:pPr>
      <w:rPr>
        <w:rFonts w:hint="default" w:ascii="Courier New" w:hAnsi="Courier New"/>
      </w:rPr>
    </w:lvl>
    <w:lvl w:ilvl="5" w:tplc="A65C95AC">
      <w:start w:val="1"/>
      <w:numFmt w:val="bullet"/>
      <w:lvlText w:val=""/>
      <w:lvlJc w:val="left"/>
      <w:pPr>
        <w:ind w:left="4320" w:hanging="360"/>
      </w:pPr>
      <w:rPr>
        <w:rFonts w:hint="default" w:ascii="Wingdings" w:hAnsi="Wingdings"/>
      </w:rPr>
    </w:lvl>
    <w:lvl w:ilvl="6" w:tplc="7C7E69C4">
      <w:start w:val="1"/>
      <w:numFmt w:val="bullet"/>
      <w:lvlText w:val=""/>
      <w:lvlJc w:val="left"/>
      <w:pPr>
        <w:ind w:left="5040" w:hanging="360"/>
      </w:pPr>
      <w:rPr>
        <w:rFonts w:hint="default" w:ascii="Symbol" w:hAnsi="Symbol"/>
      </w:rPr>
    </w:lvl>
    <w:lvl w:ilvl="7" w:tplc="1C1480C2">
      <w:start w:val="1"/>
      <w:numFmt w:val="bullet"/>
      <w:lvlText w:val="o"/>
      <w:lvlJc w:val="left"/>
      <w:pPr>
        <w:ind w:left="5760" w:hanging="360"/>
      </w:pPr>
      <w:rPr>
        <w:rFonts w:hint="default" w:ascii="Courier New" w:hAnsi="Courier New"/>
      </w:rPr>
    </w:lvl>
    <w:lvl w:ilvl="8" w:tplc="37D66DDE">
      <w:start w:val="1"/>
      <w:numFmt w:val="bullet"/>
      <w:lvlText w:val=""/>
      <w:lvlJc w:val="left"/>
      <w:pPr>
        <w:ind w:left="6480" w:hanging="360"/>
      </w:pPr>
      <w:rPr>
        <w:rFonts w:hint="default" w:ascii="Wingdings" w:hAnsi="Wingdings"/>
      </w:rPr>
    </w:lvl>
  </w:abstractNum>
  <w:abstractNum w:abstractNumId="14" w15:restartNumberingAfterBreak="0">
    <w:nsid w:val="138629D1"/>
    <w:multiLevelType w:val="hybridMultilevel"/>
    <w:tmpl w:val="A7088B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17510F"/>
    <w:multiLevelType w:val="hybridMultilevel"/>
    <w:tmpl w:val="DF24EB50"/>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6" w15:restartNumberingAfterBreak="0">
    <w:nsid w:val="19225210"/>
    <w:multiLevelType w:val="hybridMultilevel"/>
    <w:tmpl w:val="0C4054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1ABA185B"/>
    <w:multiLevelType w:val="hybridMultilevel"/>
    <w:tmpl w:val="10C22F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1AFB528F"/>
    <w:multiLevelType w:val="hybridMultilevel"/>
    <w:tmpl w:val="D78A461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1C435CD4"/>
    <w:multiLevelType w:val="hybridMultilevel"/>
    <w:tmpl w:val="D0444640"/>
    <w:lvl w:ilvl="0" w:tplc="AA2622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9F2967"/>
    <w:multiLevelType w:val="multilevel"/>
    <w:tmpl w:val="F5EE537C"/>
    <w:lvl w:ilvl="0">
      <w:start w:val="1"/>
      <w:numFmt w:val="decimal"/>
      <w:lvlText w:val="%1."/>
      <w:lvlJc w:val="left"/>
      <w:pPr>
        <w:ind w:left="720" w:hanging="360"/>
      </w:pPr>
      <w:rPr>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1F0408F8"/>
    <w:multiLevelType w:val="hybridMultilevel"/>
    <w:tmpl w:val="7CB248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2273563B"/>
    <w:multiLevelType w:val="multilevel"/>
    <w:tmpl w:val="BF663E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273B3912"/>
    <w:multiLevelType w:val="multilevel"/>
    <w:tmpl w:val="341C82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28BA23CE"/>
    <w:multiLevelType w:val="hybridMultilevel"/>
    <w:tmpl w:val="1D3A8418"/>
    <w:lvl w:ilvl="0" w:tplc="F6023AD6">
      <w:start w:val="1"/>
      <w:numFmt w:val="bullet"/>
      <w:pStyle w:val="BulletedList"/>
      <w:lvlText w:val=""/>
      <w:lvlJc w:val="left"/>
      <w:pPr>
        <w:ind w:left="720" w:hanging="360"/>
      </w:pPr>
      <w:rPr>
        <w:rFonts w:hint="default" w:ascii="Symbol" w:hAnsi="Symbol"/>
        <w:b w:val="0"/>
        <w:color w:val="44546A"/>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29015446"/>
    <w:multiLevelType w:val="hybridMultilevel"/>
    <w:tmpl w:val="B49C3242"/>
    <w:lvl w:ilvl="0" w:tplc="FFFFFFFF">
      <w:start w:val="1"/>
      <w:numFmt w:val="bullet"/>
      <w:lvlText w:val=""/>
      <w:lvlJc w:val="left"/>
      <w:pPr>
        <w:ind w:left="720" w:hanging="360"/>
      </w:pPr>
      <w:rPr>
        <w:rFonts w:hint="default" w:ascii="Symbol" w:hAnsi="Symbol"/>
      </w:rPr>
    </w:lvl>
    <w:lvl w:ilvl="1" w:tplc="FFFFFFFF">
      <w:start w:val="1"/>
      <w:numFmt w:val="bullet"/>
      <w:lvlText w:val=""/>
      <w:lvlJc w:val="left"/>
      <w:pPr>
        <w:ind w:left="1440" w:hanging="360"/>
      </w:pPr>
      <w:rPr>
        <w:rFonts w:hint="default" w:ascii="Symbol" w:hAnsi="Symbol"/>
      </w:rPr>
    </w:lvl>
    <w:lvl w:ilvl="2" w:tplc="04090001">
      <w:start w:val="1"/>
      <w:numFmt w:val="bullet"/>
      <w:lvlText w:val=""/>
      <w:lvlJc w:val="left"/>
      <w:pPr>
        <w:ind w:left="2520" w:hanging="360"/>
      </w:pPr>
      <w:rPr>
        <w:rFonts w:hint="default" w:ascii="Symbol" w:hAnsi="Symbol"/>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6" w15:restartNumberingAfterBreak="0">
    <w:nsid w:val="296D70BA"/>
    <w:multiLevelType w:val="hybridMultilevel"/>
    <w:tmpl w:val="0AB65AD2"/>
    <w:lvl w:ilvl="0" w:tplc="FFFFFFFF">
      <w:start w:val="1"/>
      <w:numFmt w:val="bullet"/>
      <w:lvlText w:val=""/>
      <w:lvlJc w:val="left"/>
      <w:pPr>
        <w:ind w:left="720" w:hanging="360"/>
      </w:pPr>
      <w:rPr>
        <w:rFonts w:hint="default" w:ascii="Symbol" w:hAnsi="Symbol"/>
      </w:rPr>
    </w:lvl>
    <w:lvl w:ilvl="1" w:tplc="04090001">
      <w:start w:val="1"/>
      <w:numFmt w:val="bullet"/>
      <w:lvlText w:val=""/>
      <w:lvlJc w:val="left"/>
      <w:pPr>
        <w:ind w:left="720" w:hanging="360"/>
      </w:pPr>
      <w:rPr>
        <w:rFonts w:hint="default" w:ascii="Symbol" w:hAnsi="Symbol"/>
      </w:rPr>
    </w:lvl>
    <w:lvl w:ilvl="2" w:tplc="FFFFFFFF">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7" w15:restartNumberingAfterBreak="0">
    <w:nsid w:val="2BAA4443"/>
    <w:multiLevelType w:val="hybridMultilevel"/>
    <w:tmpl w:val="14AA386A"/>
    <w:lvl w:ilvl="0" w:tplc="04090001">
      <w:start w:val="1"/>
      <w:numFmt w:val="bullet"/>
      <w:lvlText w:val=""/>
      <w:lvlJc w:val="left"/>
      <w:pPr>
        <w:ind w:left="770" w:hanging="360"/>
      </w:pPr>
      <w:rPr>
        <w:rFonts w:hint="default" w:ascii="Symbol" w:hAnsi="Symbol"/>
      </w:rPr>
    </w:lvl>
    <w:lvl w:ilvl="1" w:tplc="04090003" w:tentative="1">
      <w:start w:val="1"/>
      <w:numFmt w:val="bullet"/>
      <w:lvlText w:val="o"/>
      <w:lvlJc w:val="left"/>
      <w:pPr>
        <w:ind w:left="1490" w:hanging="360"/>
      </w:pPr>
      <w:rPr>
        <w:rFonts w:hint="default" w:ascii="Courier New" w:hAnsi="Courier New" w:cs="Courier New"/>
      </w:rPr>
    </w:lvl>
    <w:lvl w:ilvl="2" w:tplc="04090005" w:tentative="1">
      <w:start w:val="1"/>
      <w:numFmt w:val="bullet"/>
      <w:lvlText w:val=""/>
      <w:lvlJc w:val="left"/>
      <w:pPr>
        <w:ind w:left="2210" w:hanging="360"/>
      </w:pPr>
      <w:rPr>
        <w:rFonts w:hint="default" w:ascii="Wingdings" w:hAnsi="Wingdings"/>
      </w:rPr>
    </w:lvl>
    <w:lvl w:ilvl="3" w:tplc="04090001" w:tentative="1">
      <w:start w:val="1"/>
      <w:numFmt w:val="bullet"/>
      <w:lvlText w:val=""/>
      <w:lvlJc w:val="left"/>
      <w:pPr>
        <w:ind w:left="2930" w:hanging="360"/>
      </w:pPr>
      <w:rPr>
        <w:rFonts w:hint="default" w:ascii="Symbol" w:hAnsi="Symbol"/>
      </w:rPr>
    </w:lvl>
    <w:lvl w:ilvl="4" w:tplc="04090003" w:tentative="1">
      <w:start w:val="1"/>
      <w:numFmt w:val="bullet"/>
      <w:lvlText w:val="o"/>
      <w:lvlJc w:val="left"/>
      <w:pPr>
        <w:ind w:left="3650" w:hanging="360"/>
      </w:pPr>
      <w:rPr>
        <w:rFonts w:hint="default" w:ascii="Courier New" w:hAnsi="Courier New" w:cs="Courier New"/>
      </w:rPr>
    </w:lvl>
    <w:lvl w:ilvl="5" w:tplc="04090005" w:tentative="1">
      <w:start w:val="1"/>
      <w:numFmt w:val="bullet"/>
      <w:lvlText w:val=""/>
      <w:lvlJc w:val="left"/>
      <w:pPr>
        <w:ind w:left="4370" w:hanging="360"/>
      </w:pPr>
      <w:rPr>
        <w:rFonts w:hint="default" w:ascii="Wingdings" w:hAnsi="Wingdings"/>
      </w:rPr>
    </w:lvl>
    <w:lvl w:ilvl="6" w:tplc="04090001" w:tentative="1">
      <w:start w:val="1"/>
      <w:numFmt w:val="bullet"/>
      <w:lvlText w:val=""/>
      <w:lvlJc w:val="left"/>
      <w:pPr>
        <w:ind w:left="5090" w:hanging="360"/>
      </w:pPr>
      <w:rPr>
        <w:rFonts w:hint="default" w:ascii="Symbol" w:hAnsi="Symbol"/>
      </w:rPr>
    </w:lvl>
    <w:lvl w:ilvl="7" w:tplc="04090003" w:tentative="1">
      <w:start w:val="1"/>
      <w:numFmt w:val="bullet"/>
      <w:lvlText w:val="o"/>
      <w:lvlJc w:val="left"/>
      <w:pPr>
        <w:ind w:left="5810" w:hanging="360"/>
      </w:pPr>
      <w:rPr>
        <w:rFonts w:hint="default" w:ascii="Courier New" w:hAnsi="Courier New" w:cs="Courier New"/>
      </w:rPr>
    </w:lvl>
    <w:lvl w:ilvl="8" w:tplc="04090005" w:tentative="1">
      <w:start w:val="1"/>
      <w:numFmt w:val="bullet"/>
      <w:lvlText w:val=""/>
      <w:lvlJc w:val="left"/>
      <w:pPr>
        <w:ind w:left="6530" w:hanging="360"/>
      </w:pPr>
      <w:rPr>
        <w:rFonts w:hint="default" w:ascii="Wingdings" w:hAnsi="Wingdings"/>
      </w:rPr>
    </w:lvl>
  </w:abstractNum>
  <w:abstractNum w:abstractNumId="28" w15:restartNumberingAfterBreak="0">
    <w:nsid w:val="2BDB36CC"/>
    <w:multiLevelType w:val="hybridMultilevel"/>
    <w:tmpl w:val="40BE0D4C"/>
    <w:lvl w:ilvl="0" w:tplc="7766198E">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2C7B2075"/>
    <w:multiLevelType w:val="hybridMultilevel"/>
    <w:tmpl w:val="2F646D62"/>
    <w:lvl w:ilvl="0" w:tplc="941A193A">
      <w:start w:val="1"/>
      <w:numFmt w:val="bullet"/>
      <w:pStyle w:val="ProposalBulletPoints"/>
      <w:lvlText w:val=""/>
      <w:lvlJc w:val="left"/>
      <w:pPr>
        <w:tabs>
          <w:tab w:val="num" w:pos="1440"/>
        </w:tabs>
        <w:ind w:left="1440" w:hanging="360"/>
      </w:pPr>
      <w:rPr>
        <w:rFonts w:hint="default" w:ascii="Symbol" w:hAnsi="Symbol"/>
        <w:color w:val="000000"/>
        <w:sz w:val="20"/>
      </w:rPr>
    </w:lvl>
    <w:lvl w:ilvl="1" w:tplc="04090003">
      <w:start w:val="1"/>
      <w:numFmt w:val="bullet"/>
      <w:lvlText w:val="o"/>
      <w:lvlJc w:val="left"/>
      <w:pPr>
        <w:tabs>
          <w:tab w:val="num" w:pos="2160"/>
        </w:tabs>
        <w:ind w:left="2160" w:hanging="360"/>
      </w:pPr>
      <w:rPr>
        <w:rFonts w:hint="default" w:ascii="Courier New" w:hAnsi="Courier New" w:cs="Courier New"/>
        <w:color w:val="000000"/>
        <w:sz w:val="20"/>
      </w:rPr>
    </w:lvl>
    <w:lvl w:ilvl="2" w:tplc="04090005">
      <w:start w:val="1"/>
      <w:numFmt w:val="bullet"/>
      <w:lvlText w:val=""/>
      <w:lvlJc w:val="left"/>
      <w:pPr>
        <w:tabs>
          <w:tab w:val="num" w:pos="2880"/>
        </w:tabs>
        <w:ind w:left="2880" w:hanging="360"/>
      </w:pPr>
      <w:rPr>
        <w:rFonts w:hint="default" w:ascii="Wingdings" w:hAnsi="Wingdings"/>
        <w:color w:val="000000"/>
        <w:sz w:val="20"/>
      </w:rPr>
    </w:lvl>
    <w:lvl w:ilvl="3" w:tplc="04090001">
      <w:start w:val="1"/>
      <w:numFmt w:val="bullet"/>
      <w:lvlText w:val=""/>
      <w:lvlJc w:val="left"/>
      <w:pPr>
        <w:tabs>
          <w:tab w:val="num" w:pos="3600"/>
        </w:tabs>
        <w:ind w:left="3600" w:hanging="360"/>
      </w:pPr>
      <w:rPr>
        <w:rFonts w:hint="default" w:ascii="Symbol" w:hAnsi="Symbol"/>
      </w:rPr>
    </w:lvl>
    <w:lvl w:ilvl="4" w:tplc="04090003" w:tentative="1">
      <w:start w:val="1"/>
      <w:numFmt w:val="bullet"/>
      <w:lvlText w:val="o"/>
      <w:lvlJc w:val="left"/>
      <w:pPr>
        <w:tabs>
          <w:tab w:val="num" w:pos="4320"/>
        </w:tabs>
        <w:ind w:left="4320" w:hanging="360"/>
      </w:pPr>
      <w:rPr>
        <w:rFonts w:hint="default" w:ascii="Courier New" w:hAnsi="Courier New"/>
      </w:rPr>
    </w:lvl>
    <w:lvl w:ilvl="5" w:tplc="04090005" w:tentative="1">
      <w:start w:val="1"/>
      <w:numFmt w:val="bullet"/>
      <w:lvlText w:val=""/>
      <w:lvlJc w:val="left"/>
      <w:pPr>
        <w:tabs>
          <w:tab w:val="num" w:pos="5040"/>
        </w:tabs>
        <w:ind w:left="5040" w:hanging="360"/>
      </w:pPr>
      <w:rPr>
        <w:rFonts w:hint="default" w:ascii="Wingdings" w:hAnsi="Wingdings"/>
      </w:rPr>
    </w:lvl>
    <w:lvl w:ilvl="6" w:tplc="04090001" w:tentative="1">
      <w:start w:val="1"/>
      <w:numFmt w:val="bullet"/>
      <w:lvlText w:val=""/>
      <w:lvlJc w:val="left"/>
      <w:pPr>
        <w:tabs>
          <w:tab w:val="num" w:pos="5760"/>
        </w:tabs>
        <w:ind w:left="5760" w:hanging="360"/>
      </w:pPr>
      <w:rPr>
        <w:rFonts w:hint="default" w:ascii="Symbol" w:hAnsi="Symbol"/>
      </w:rPr>
    </w:lvl>
    <w:lvl w:ilvl="7" w:tplc="04090003" w:tentative="1">
      <w:start w:val="1"/>
      <w:numFmt w:val="bullet"/>
      <w:lvlText w:val="o"/>
      <w:lvlJc w:val="left"/>
      <w:pPr>
        <w:tabs>
          <w:tab w:val="num" w:pos="6480"/>
        </w:tabs>
        <w:ind w:left="6480" w:hanging="360"/>
      </w:pPr>
      <w:rPr>
        <w:rFonts w:hint="default" w:ascii="Courier New" w:hAnsi="Courier New"/>
      </w:rPr>
    </w:lvl>
    <w:lvl w:ilvl="8" w:tplc="04090005" w:tentative="1">
      <w:start w:val="1"/>
      <w:numFmt w:val="bullet"/>
      <w:lvlText w:val=""/>
      <w:lvlJc w:val="left"/>
      <w:pPr>
        <w:tabs>
          <w:tab w:val="num" w:pos="7200"/>
        </w:tabs>
        <w:ind w:left="7200" w:hanging="360"/>
      </w:pPr>
      <w:rPr>
        <w:rFonts w:hint="default" w:ascii="Wingdings" w:hAnsi="Wingdings"/>
      </w:rPr>
    </w:lvl>
  </w:abstractNum>
  <w:abstractNum w:abstractNumId="30" w15:restartNumberingAfterBreak="0">
    <w:nsid w:val="2DC806E6"/>
    <w:multiLevelType w:val="hybridMultilevel"/>
    <w:tmpl w:val="57361A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06E39BA"/>
    <w:multiLevelType w:val="hybridMultilevel"/>
    <w:tmpl w:val="84A63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1F36DB4"/>
    <w:multiLevelType w:val="hybridMultilevel"/>
    <w:tmpl w:val="DA2088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325D6524"/>
    <w:multiLevelType w:val="multilevel"/>
    <w:tmpl w:val="BFD278F4"/>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upperLetter"/>
      <w:lvlText w:val="%1.%2.%3.%4.%5"/>
      <w:lvlJc w:val="left"/>
      <w:pPr>
        <w:ind w:left="2520" w:hanging="1080"/>
      </w:pPr>
      <w:rPr>
        <w:rFonts w:hint="default"/>
      </w:rPr>
    </w:lvl>
    <w:lvl w:ilvl="5">
      <w:start w:val="1"/>
      <w:numFmt w:val="upperLetter"/>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4612FCA"/>
    <w:multiLevelType w:val="multilevel"/>
    <w:tmpl w:val="8876A0D0"/>
    <w:lvl w:ilvl="0">
      <w:start w:val="1"/>
      <w:numFmt w:val="bullet"/>
      <w:lvlText w:val=""/>
      <w:lvlJc w:val="left"/>
      <w:pPr>
        <w:ind w:left="716" w:hanging="432"/>
      </w:pPr>
      <w:rPr>
        <w:rFonts w:hint="default" w:ascii="Symbol" w:hAnsi="Symbol"/>
      </w:rPr>
    </w:lvl>
    <w:lvl w:ilvl="1">
      <w:start w:val="1"/>
      <w:numFmt w:val="decimal"/>
      <w:lvlText w:val="%1.%2"/>
      <w:lvlJc w:val="left"/>
      <w:pPr>
        <w:ind w:left="860" w:hanging="576"/>
      </w:pPr>
      <w:rPr>
        <w:color w:val="4F81BD" w:themeColor="accent1"/>
      </w:rPr>
    </w:lvl>
    <w:lvl w:ilvl="2">
      <w:start w:val="1"/>
      <w:numFmt w:val="decimal"/>
      <w:lvlText w:val="%1.%2.%3"/>
      <w:lvlJc w:val="left"/>
      <w:pPr>
        <w:ind w:left="1004" w:hanging="720"/>
      </w:pPr>
      <w:rPr>
        <w:sz w:val="24"/>
        <w:szCs w:val="24"/>
      </w:rPr>
    </w:lvl>
    <w:lvl w:ilvl="3">
      <w:start w:val="1"/>
      <w:numFmt w:val="decimal"/>
      <w:lvlText w:val="%1.%2.%3.%4"/>
      <w:lvlJc w:val="left"/>
      <w:pPr>
        <w:ind w:left="1148" w:hanging="864"/>
      </w:pPr>
    </w:lvl>
    <w:lvl w:ilvl="4">
      <w:start w:val="1"/>
      <w:numFmt w:val="decimal"/>
      <w:lvlText w:val="%1.%2.%3.%4.%5"/>
      <w:lvlJc w:val="left"/>
      <w:pPr>
        <w:ind w:left="1292" w:hanging="1008"/>
      </w:pPr>
    </w:lvl>
    <w:lvl w:ilvl="5">
      <w:start w:val="1"/>
      <w:numFmt w:val="decimal"/>
      <w:lvlText w:val="%1.%2.%3.%4.%5.%6"/>
      <w:lvlJc w:val="left"/>
      <w:pPr>
        <w:ind w:left="1436" w:hanging="1152"/>
      </w:pPr>
    </w:lvl>
    <w:lvl w:ilvl="6">
      <w:start w:val="1"/>
      <w:numFmt w:val="decimal"/>
      <w:lvlText w:val="%1.%2.%3.%4.%5.%6.%7"/>
      <w:lvlJc w:val="left"/>
      <w:pPr>
        <w:ind w:left="1580" w:hanging="1296"/>
      </w:pPr>
    </w:lvl>
    <w:lvl w:ilvl="7">
      <w:start w:val="1"/>
      <w:numFmt w:val="decimal"/>
      <w:lvlText w:val="%1.%2.%3.%4.%5.%6.%7.%8"/>
      <w:lvlJc w:val="left"/>
      <w:pPr>
        <w:ind w:left="1724" w:hanging="1440"/>
      </w:pPr>
    </w:lvl>
    <w:lvl w:ilvl="8">
      <w:start w:val="1"/>
      <w:numFmt w:val="decimal"/>
      <w:lvlText w:val="%1.%2.%3.%4.%5.%6.%7.%8.%9"/>
      <w:lvlJc w:val="left"/>
      <w:pPr>
        <w:ind w:left="1868" w:hanging="1584"/>
      </w:pPr>
    </w:lvl>
  </w:abstractNum>
  <w:abstractNum w:abstractNumId="35" w15:restartNumberingAfterBreak="0">
    <w:nsid w:val="34EF7F33"/>
    <w:multiLevelType w:val="hybridMultilevel"/>
    <w:tmpl w:val="DED053B6"/>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7264EAE4" w:tentative="1">
      <w:start w:val="1"/>
      <w:numFmt w:val="bullet"/>
      <w:lvlText w:val=""/>
      <w:lvlJc w:val="left"/>
      <w:pPr>
        <w:tabs>
          <w:tab w:val="num" w:pos="2160"/>
        </w:tabs>
        <w:ind w:left="2160" w:hanging="360"/>
      </w:pPr>
      <w:rPr>
        <w:rFonts w:hint="default" w:ascii="Wingdings" w:hAnsi="Wingdings"/>
      </w:rPr>
    </w:lvl>
    <w:lvl w:ilvl="3" w:tplc="D3A4C962" w:tentative="1">
      <w:start w:val="1"/>
      <w:numFmt w:val="bullet"/>
      <w:lvlText w:val=""/>
      <w:lvlJc w:val="left"/>
      <w:pPr>
        <w:tabs>
          <w:tab w:val="num" w:pos="2880"/>
        </w:tabs>
        <w:ind w:left="2880" w:hanging="360"/>
      </w:pPr>
      <w:rPr>
        <w:rFonts w:hint="default" w:ascii="Wingdings" w:hAnsi="Wingdings"/>
      </w:rPr>
    </w:lvl>
    <w:lvl w:ilvl="4" w:tplc="62387F1E" w:tentative="1">
      <w:start w:val="1"/>
      <w:numFmt w:val="bullet"/>
      <w:lvlText w:val=""/>
      <w:lvlJc w:val="left"/>
      <w:pPr>
        <w:tabs>
          <w:tab w:val="num" w:pos="3600"/>
        </w:tabs>
        <w:ind w:left="3600" w:hanging="360"/>
      </w:pPr>
      <w:rPr>
        <w:rFonts w:hint="default" w:ascii="Wingdings" w:hAnsi="Wingdings"/>
      </w:rPr>
    </w:lvl>
    <w:lvl w:ilvl="5" w:tplc="3A52E556" w:tentative="1">
      <w:start w:val="1"/>
      <w:numFmt w:val="bullet"/>
      <w:lvlText w:val=""/>
      <w:lvlJc w:val="left"/>
      <w:pPr>
        <w:tabs>
          <w:tab w:val="num" w:pos="4320"/>
        </w:tabs>
        <w:ind w:left="4320" w:hanging="360"/>
      </w:pPr>
      <w:rPr>
        <w:rFonts w:hint="default" w:ascii="Wingdings" w:hAnsi="Wingdings"/>
      </w:rPr>
    </w:lvl>
    <w:lvl w:ilvl="6" w:tplc="BA502424" w:tentative="1">
      <w:start w:val="1"/>
      <w:numFmt w:val="bullet"/>
      <w:lvlText w:val=""/>
      <w:lvlJc w:val="left"/>
      <w:pPr>
        <w:tabs>
          <w:tab w:val="num" w:pos="5040"/>
        </w:tabs>
        <w:ind w:left="5040" w:hanging="360"/>
      </w:pPr>
      <w:rPr>
        <w:rFonts w:hint="default" w:ascii="Wingdings" w:hAnsi="Wingdings"/>
      </w:rPr>
    </w:lvl>
    <w:lvl w:ilvl="7" w:tplc="E00A8F9A" w:tentative="1">
      <w:start w:val="1"/>
      <w:numFmt w:val="bullet"/>
      <w:lvlText w:val=""/>
      <w:lvlJc w:val="left"/>
      <w:pPr>
        <w:tabs>
          <w:tab w:val="num" w:pos="5760"/>
        </w:tabs>
        <w:ind w:left="5760" w:hanging="360"/>
      </w:pPr>
      <w:rPr>
        <w:rFonts w:hint="default" w:ascii="Wingdings" w:hAnsi="Wingdings"/>
      </w:rPr>
    </w:lvl>
    <w:lvl w:ilvl="8" w:tplc="931865E2" w:tentative="1">
      <w:start w:val="1"/>
      <w:numFmt w:val="bullet"/>
      <w:lvlText w:val=""/>
      <w:lvlJc w:val="left"/>
      <w:pPr>
        <w:tabs>
          <w:tab w:val="num" w:pos="6480"/>
        </w:tabs>
        <w:ind w:left="6480" w:hanging="360"/>
      </w:pPr>
      <w:rPr>
        <w:rFonts w:hint="default" w:ascii="Wingdings" w:hAnsi="Wingdings"/>
      </w:rPr>
    </w:lvl>
  </w:abstractNum>
  <w:abstractNum w:abstractNumId="36" w15:restartNumberingAfterBreak="0">
    <w:nsid w:val="358F7DCB"/>
    <w:multiLevelType w:val="hybridMultilevel"/>
    <w:tmpl w:val="2EA62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5F83B37"/>
    <w:multiLevelType w:val="hybridMultilevel"/>
    <w:tmpl w:val="D0260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6162C31"/>
    <w:multiLevelType w:val="hybridMultilevel"/>
    <w:tmpl w:val="210C297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37405D5A"/>
    <w:multiLevelType w:val="hybridMultilevel"/>
    <w:tmpl w:val="44E6A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97F7DBF"/>
    <w:multiLevelType w:val="multilevel"/>
    <w:tmpl w:val="C5AA9BB8"/>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9DF7099"/>
    <w:multiLevelType w:val="hybridMultilevel"/>
    <w:tmpl w:val="0D76D2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AC02AC3"/>
    <w:multiLevelType w:val="hybridMultilevel"/>
    <w:tmpl w:val="2AA464A8"/>
    <w:lvl w:ilvl="0" w:tplc="111A5078">
      <w:start w:val="1"/>
      <w:numFmt w:val="bullet"/>
      <w:lvlText w:val=""/>
      <w:lvlJc w:val="left"/>
      <w:pPr>
        <w:ind w:left="720" w:hanging="360"/>
      </w:pPr>
      <w:rPr>
        <w:rFonts w:hint="default" w:ascii="Wingdings" w:hAnsi="Wingdings"/>
      </w:rPr>
    </w:lvl>
    <w:lvl w:ilvl="1" w:tplc="84A29CE4">
      <w:start w:val="1"/>
      <w:numFmt w:val="bullet"/>
      <w:lvlText w:val="o"/>
      <w:lvlJc w:val="left"/>
      <w:pPr>
        <w:ind w:left="1440" w:hanging="360"/>
      </w:pPr>
      <w:rPr>
        <w:rFonts w:hint="default" w:ascii="Courier New" w:hAnsi="Courier New"/>
      </w:rPr>
    </w:lvl>
    <w:lvl w:ilvl="2" w:tplc="5D367190">
      <w:start w:val="1"/>
      <w:numFmt w:val="bullet"/>
      <w:lvlText w:val=""/>
      <w:lvlJc w:val="left"/>
      <w:pPr>
        <w:ind w:left="2160" w:hanging="360"/>
      </w:pPr>
      <w:rPr>
        <w:rFonts w:hint="default" w:ascii="Wingdings" w:hAnsi="Wingdings"/>
      </w:rPr>
    </w:lvl>
    <w:lvl w:ilvl="3" w:tplc="104A49DA">
      <w:start w:val="1"/>
      <w:numFmt w:val="bullet"/>
      <w:lvlText w:val=""/>
      <w:lvlJc w:val="left"/>
      <w:pPr>
        <w:ind w:left="2880" w:hanging="360"/>
      </w:pPr>
      <w:rPr>
        <w:rFonts w:hint="default" w:ascii="Symbol" w:hAnsi="Symbol"/>
      </w:rPr>
    </w:lvl>
    <w:lvl w:ilvl="4" w:tplc="94E80ECC">
      <w:start w:val="1"/>
      <w:numFmt w:val="bullet"/>
      <w:lvlText w:val="o"/>
      <w:lvlJc w:val="left"/>
      <w:pPr>
        <w:ind w:left="3600" w:hanging="360"/>
      </w:pPr>
      <w:rPr>
        <w:rFonts w:hint="default" w:ascii="Courier New" w:hAnsi="Courier New"/>
      </w:rPr>
    </w:lvl>
    <w:lvl w:ilvl="5" w:tplc="05C833C2">
      <w:start w:val="1"/>
      <w:numFmt w:val="bullet"/>
      <w:lvlText w:val=""/>
      <w:lvlJc w:val="left"/>
      <w:pPr>
        <w:ind w:left="4320" w:hanging="360"/>
      </w:pPr>
      <w:rPr>
        <w:rFonts w:hint="default" w:ascii="Wingdings" w:hAnsi="Wingdings"/>
      </w:rPr>
    </w:lvl>
    <w:lvl w:ilvl="6" w:tplc="1E58981A">
      <w:start w:val="1"/>
      <w:numFmt w:val="bullet"/>
      <w:lvlText w:val=""/>
      <w:lvlJc w:val="left"/>
      <w:pPr>
        <w:ind w:left="5040" w:hanging="360"/>
      </w:pPr>
      <w:rPr>
        <w:rFonts w:hint="default" w:ascii="Symbol" w:hAnsi="Symbol"/>
      </w:rPr>
    </w:lvl>
    <w:lvl w:ilvl="7" w:tplc="A0D6C6CA">
      <w:start w:val="1"/>
      <w:numFmt w:val="bullet"/>
      <w:lvlText w:val="o"/>
      <w:lvlJc w:val="left"/>
      <w:pPr>
        <w:ind w:left="5760" w:hanging="360"/>
      </w:pPr>
      <w:rPr>
        <w:rFonts w:hint="default" w:ascii="Courier New" w:hAnsi="Courier New"/>
      </w:rPr>
    </w:lvl>
    <w:lvl w:ilvl="8" w:tplc="E2B6FEE8">
      <w:start w:val="1"/>
      <w:numFmt w:val="bullet"/>
      <w:lvlText w:val=""/>
      <w:lvlJc w:val="left"/>
      <w:pPr>
        <w:ind w:left="6480" w:hanging="360"/>
      </w:pPr>
      <w:rPr>
        <w:rFonts w:hint="default" w:ascii="Wingdings" w:hAnsi="Wingdings"/>
      </w:rPr>
    </w:lvl>
  </w:abstractNum>
  <w:abstractNum w:abstractNumId="43" w15:restartNumberingAfterBreak="0">
    <w:nsid w:val="3ADA7A69"/>
    <w:multiLevelType w:val="hybridMultilevel"/>
    <w:tmpl w:val="9AFAFB48"/>
    <w:lvl w:ilvl="0" w:tplc="260CE8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CC80B17"/>
    <w:multiLevelType w:val="hybridMultilevel"/>
    <w:tmpl w:val="979CB94E"/>
    <w:lvl w:ilvl="0" w:tplc="0409000F">
      <w:start w:val="1"/>
      <w:numFmt w:val="decimal"/>
      <w:lvlText w:val="%1."/>
      <w:lvlJc w:val="left"/>
      <w:pPr>
        <w:ind w:left="720" w:hanging="360"/>
      </w:pPr>
    </w:lvl>
    <w:lvl w:ilvl="1" w:tplc="04090001">
      <w:start w:val="1"/>
      <w:numFmt w:val="bullet"/>
      <w:lvlText w:val=""/>
      <w:lvlJc w:val="left"/>
      <w:pPr>
        <w:ind w:left="720" w:hanging="360"/>
      </w:pPr>
      <w:rPr>
        <w:rFonts w:hint="default" w:ascii="Symbol" w:hAnsi="Symbo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18B23E9"/>
    <w:multiLevelType w:val="multilevel"/>
    <w:tmpl w:val="DFF67C46"/>
    <w:lvl w:ilvl="0">
      <w:start w:val="1"/>
      <w:numFmt w:val="decimal"/>
      <w:lvlText w:val="%1."/>
      <w:lvlJc w:val="left"/>
      <w:pPr>
        <w:ind w:left="720" w:hanging="360"/>
      </w:p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780" w:hanging="2160"/>
      </w:pPr>
      <w:rPr>
        <w:rFonts w:hint="default"/>
      </w:rPr>
    </w:lvl>
    <w:lvl w:ilvl="8">
      <w:start w:val="1"/>
      <w:numFmt w:val="decimal"/>
      <w:isLgl/>
      <w:lvlText w:val="%1.%2.%3.%4.%5.%6.%7.%8.%9"/>
      <w:lvlJc w:val="left"/>
      <w:pPr>
        <w:ind w:left="3960" w:hanging="2160"/>
      </w:pPr>
      <w:rPr>
        <w:rFonts w:hint="default"/>
      </w:rPr>
    </w:lvl>
  </w:abstractNum>
  <w:abstractNum w:abstractNumId="46" w15:restartNumberingAfterBreak="0">
    <w:nsid w:val="4193609E"/>
    <w:multiLevelType w:val="hybridMultilevel"/>
    <w:tmpl w:val="9EA6F2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42393BFA"/>
    <w:multiLevelType w:val="hybridMultilevel"/>
    <w:tmpl w:val="9DBEF8B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48" w15:restartNumberingAfterBreak="0">
    <w:nsid w:val="43F6C5E0"/>
    <w:multiLevelType w:val="hybridMultilevel"/>
    <w:tmpl w:val="FFFFFFFF"/>
    <w:lvl w:ilvl="0" w:tplc="B21C5730">
      <w:start w:val="1"/>
      <w:numFmt w:val="bullet"/>
      <w:lvlText w:val=""/>
      <w:lvlJc w:val="left"/>
      <w:pPr>
        <w:ind w:left="720" w:hanging="360"/>
      </w:pPr>
      <w:rPr>
        <w:rFonts w:hint="default" w:ascii="Symbol" w:hAnsi="Symbol"/>
      </w:rPr>
    </w:lvl>
    <w:lvl w:ilvl="1" w:tplc="209A3188">
      <w:start w:val="1"/>
      <w:numFmt w:val="bullet"/>
      <w:lvlText w:val="o"/>
      <w:lvlJc w:val="left"/>
      <w:pPr>
        <w:ind w:left="1440" w:hanging="360"/>
      </w:pPr>
      <w:rPr>
        <w:rFonts w:hint="default" w:ascii="Courier New" w:hAnsi="Courier New"/>
      </w:rPr>
    </w:lvl>
    <w:lvl w:ilvl="2" w:tplc="B13489DC">
      <w:start w:val="1"/>
      <w:numFmt w:val="bullet"/>
      <w:lvlText w:val=""/>
      <w:lvlJc w:val="left"/>
      <w:pPr>
        <w:ind w:left="2160" w:hanging="360"/>
      </w:pPr>
      <w:rPr>
        <w:rFonts w:hint="default" w:ascii="Wingdings" w:hAnsi="Wingdings"/>
      </w:rPr>
    </w:lvl>
    <w:lvl w:ilvl="3" w:tplc="1CD6B696">
      <w:start w:val="1"/>
      <w:numFmt w:val="bullet"/>
      <w:lvlText w:val=""/>
      <w:lvlJc w:val="left"/>
      <w:pPr>
        <w:ind w:left="2880" w:hanging="360"/>
      </w:pPr>
      <w:rPr>
        <w:rFonts w:hint="default" w:ascii="Symbol" w:hAnsi="Symbol"/>
      </w:rPr>
    </w:lvl>
    <w:lvl w:ilvl="4" w:tplc="51BC07C4">
      <w:start w:val="1"/>
      <w:numFmt w:val="bullet"/>
      <w:lvlText w:val="o"/>
      <w:lvlJc w:val="left"/>
      <w:pPr>
        <w:ind w:left="3600" w:hanging="360"/>
      </w:pPr>
      <w:rPr>
        <w:rFonts w:hint="default" w:ascii="Courier New" w:hAnsi="Courier New"/>
      </w:rPr>
    </w:lvl>
    <w:lvl w:ilvl="5" w:tplc="53204870">
      <w:start w:val="1"/>
      <w:numFmt w:val="bullet"/>
      <w:lvlText w:val=""/>
      <w:lvlJc w:val="left"/>
      <w:pPr>
        <w:ind w:left="4320" w:hanging="360"/>
      </w:pPr>
      <w:rPr>
        <w:rFonts w:hint="default" w:ascii="Wingdings" w:hAnsi="Wingdings"/>
      </w:rPr>
    </w:lvl>
    <w:lvl w:ilvl="6" w:tplc="6DBE9122">
      <w:start w:val="1"/>
      <w:numFmt w:val="bullet"/>
      <w:lvlText w:val=""/>
      <w:lvlJc w:val="left"/>
      <w:pPr>
        <w:ind w:left="5040" w:hanging="360"/>
      </w:pPr>
      <w:rPr>
        <w:rFonts w:hint="default" w:ascii="Symbol" w:hAnsi="Symbol"/>
      </w:rPr>
    </w:lvl>
    <w:lvl w:ilvl="7" w:tplc="3D1E3AC8">
      <w:start w:val="1"/>
      <w:numFmt w:val="bullet"/>
      <w:lvlText w:val="o"/>
      <w:lvlJc w:val="left"/>
      <w:pPr>
        <w:ind w:left="5760" w:hanging="360"/>
      </w:pPr>
      <w:rPr>
        <w:rFonts w:hint="default" w:ascii="Courier New" w:hAnsi="Courier New"/>
      </w:rPr>
    </w:lvl>
    <w:lvl w:ilvl="8" w:tplc="73643710">
      <w:start w:val="1"/>
      <w:numFmt w:val="bullet"/>
      <w:lvlText w:val=""/>
      <w:lvlJc w:val="left"/>
      <w:pPr>
        <w:ind w:left="6480" w:hanging="360"/>
      </w:pPr>
      <w:rPr>
        <w:rFonts w:hint="default" w:ascii="Wingdings" w:hAnsi="Wingdings"/>
      </w:rPr>
    </w:lvl>
  </w:abstractNum>
  <w:abstractNum w:abstractNumId="49" w15:restartNumberingAfterBreak="0">
    <w:nsid w:val="45BC038A"/>
    <w:multiLevelType w:val="hybridMultilevel"/>
    <w:tmpl w:val="F3AA4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608567B"/>
    <w:multiLevelType w:val="multilevel"/>
    <w:tmpl w:val="B34E621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1" w15:restartNumberingAfterBreak="0">
    <w:nsid w:val="46597626"/>
    <w:multiLevelType w:val="multilevel"/>
    <w:tmpl w:val="8B9695FA"/>
    <w:lvl w:ilvl="0">
      <w:start w:val="1"/>
      <w:numFmt w:val="decimal"/>
      <w:lvlText w:val="%1."/>
      <w:lvlJc w:val="left"/>
      <w:pPr>
        <w:ind w:left="720" w:hanging="360"/>
      </w:pPr>
      <w:rPr>
        <w:rFonts w:hint="default"/>
      </w:rPr>
    </w:lvl>
    <w:lvl w:ilvl="1">
      <w:start w:val="1"/>
      <w:numFmt w:val="decimal"/>
      <w:isLgl/>
      <w:lvlText w:val="%1.%2"/>
      <w:lvlJc w:val="left"/>
      <w:pPr>
        <w:ind w:left="972" w:hanging="612"/>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52" w15:restartNumberingAfterBreak="0">
    <w:nsid w:val="46641DBC"/>
    <w:multiLevelType w:val="hybridMultilevel"/>
    <w:tmpl w:val="D814F3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3" w15:restartNumberingAfterBreak="0">
    <w:nsid w:val="46920E5E"/>
    <w:multiLevelType w:val="hybridMultilevel"/>
    <w:tmpl w:val="64242F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6EF0F90"/>
    <w:multiLevelType w:val="hybridMultilevel"/>
    <w:tmpl w:val="93F6AA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5" w15:restartNumberingAfterBreak="0">
    <w:nsid w:val="47F70367"/>
    <w:multiLevelType w:val="hybridMultilevel"/>
    <w:tmpl w:val="67A0DD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6" w15:restartNumberingAfterBreak="0">
    <w:nsid w:val="48663266"/>
    <w:multiLevelType w:val="hybridMultilevel"/>
    <w:tmpl w:val="57361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8BE566F"/>
    <w:multiLevelType w:val="multilevel"/>
    <w:tmpl w:val="2F72B448"/>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8DA0F1B"/>
    <w:multiLevelType w:val="hybridMultilevel"/>
    <w:tmpl w:val="44304554"/>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59" w15:restartNumberingAfterBreak="0">
    <w:nsid w:val="4924363A"/>
    <w:multiLevelType w:val="multilevel"/>
    <w:tmpl w:val="7E0AC664"/>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D311790"/>
    <w:multiLevelType w:val="hybridMultilevel"/>
    <w:tmpl w:val="23ACEE3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1" w15:restartNumberingAfterBreak="0">
    <w:nsid w:val="4D66025B"/>
    <w:multiLevelType w:val="multilevel"/>
    <w:tmpl w:val="46383F56"/>
    <w:lvl w:ilvl="0">
      <w:start w:val="1"/>
      <w:numFmt w:val="decimal"/>
      <w:lvlText w:val="%1"/>
      <w:lvlJc w:val="left"/>
      <w:pPr>
        <w:ind w:left="432" w:hanging="432"/>
      </w:pPr>
    </w:lvl>
    <w:lvl w:ilvl="1">
      <w:start w:val="1"/>
      <w:numFmt w:val="decimal"/>
      <w:pStyle w:val="Heading2"/>
      <w:lvlText w:val="%1.%2"/>
      <w:lvlJc w:val="left"/>
      <w:pPr>
        <w:ind w:left="756" w:hanging="576"/>
      </w:pPr>
      <w:rPr>
        <w:b/>
        <w:bCs w:val="0"/>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2" w15:restartNumberingAfterBreak="0">
    <w:nsid w:val="4DA60C89"/>
    <w:multiLevelType w:val="hybridMultilevel"/>
    <w:tmpl w:val="0840C5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5C8341B"/>
    <w:multiLevelType w:val="multilevel"/>
    <w:tmpl w:val="63D2D1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55D937C1"/>
    <w:multiLevelType w:val="hybridMultilevel"/>
    <w:tmpl w:val="438489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68E494E"/>
    <w:multiLevelType w:val="multilevel"/>
    <w:tmpl w:val="247CEF62"/>
    <w:lvl w:ilvl="0">
      <w:start w:val="1"/>
      <w:numFmt w:val="decimal"/>
      <w:pStyle w:val="Heading1"/>
      <w:lvlText w:val="%1."/>
      <w:lvlJc w:val="left"/>
      <w:pPr>
        <w:ind w:left="720" w:hanging="360"/>
      </w:pPr>
    </w:lvl>
    <w:lvl w:ilvl="1">
      <w:start w:val="1"/>
      <w:numFmt w:val="decimal"/>
      <w:lvlText w:val="%1.%2"/>
      <w:lvlJc w:val="left"/>
      <w:pPr>
        <w:ind w:left="1080" w:hanging="720"/>
      </w:pPr>
      <w:rPr>
        <w:color w:val="242451"/>
      </w:rPr>
    </w:lvl>
    <w:lvl w:ilvl="2">
      <w:start w:val="1"/>
      <w:numFmt w:val="decimal"/>
      <w:lvlText w:val="%1.%2.%3"/>
      <w:lvlJc w:val="left"/>
      <w:pPr>
        <w:ind w:left="1440" w:hanging="720"/>
      </w:pPr>
      <w:rPr>
        <w:sz w:val="24"/>
        <w:szCs w:val="24"/>
      </w:rPr>
    </w:lvl>
    <w:lvl w:ilvl="3">
      <w:start w:val="1"/>
      <w:numFmt w:val="decimal"/>
      <w:pStyle w:val="Heading4"/>
      <w:lvlText w:val="%1.%2.%3.%4"/>
      <w:lvlJc w:val="left"/>
      <w:pPr>
        <w:ind w:left="1440" w:hanging="1080"/>
      </w:pPr>
    </w:lvl>
    <w:lvl w:ilvl="4">
      <w:start w:val="1"/>
      <w:numFmt w:val="decimal"/>
      <w:pStyle w:val="Heading5"/>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66" w15:restartNumberingAfterBreak="0">
    <w:nsid w:val="56C5136D"/>
    <w:multiLevelType w:val="hybridMultilevel"/>
    <w:tmpl w:val="E2927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858726D"/>
    <w:multiLevelType w:val="hybridMultilevel"/>
    <w:tmpl w:val="9C7A63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C0B6BF6"/>
    <w:multiLevelType w:val="multilevel"/>
    <w:tmpl w:val="6B5AC7BC"/>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9" w15:restartNumberingAfterBreak="0">
    <w:nsid w:val="5C707FC7"/>
    <w:multiLevelType w:val="multilevel"/>
    <w:tmpl w:val="8C38B228"/>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70" w15:restartNumberingAfterBreak="0">
    <w:nsid w:val="5D8157CB"/>
    <w:multiLevelType w:val="multilevel"/>
    <w:tmpl w:val="F662AACE"/>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5FA050FB"/>
    <w:multiLevelType w:val="hybridMultilevel"/>
    <w:tmpl w:val="B02E532C"/>
    <w:lvl w:ilvl="0" w:tplc="47F4BE3C">
      <w:start w:val="1"/>
      <w:numFmt w:val="bullet"/>
      <w:pStyle w:val="ListParagraph"/>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72" w15:restartNumberingAfterBreak="0">
    <w:nsid w:val="5FA57925"/>
    <w:multiLevelType w:val="hybridMultilevel"/>
    <w:tmpl w:val="BB08CAB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3" w15:restartNumberingAfterBreak="0">
    <w:nsid w:val="5FFE6041"/>
    <w:multiLevelType w:val="hybridMultilevel"/>
    <w:tmpl w:val="722A14EC"/>
    <w:lvl w:ilvl="0" w:tplc="04090001">
      <w:start w:val="1"/>
      <w:numFmt w:val="bullet"/>
      <w:lvlText w:val=""/>
      <w:lvlJc w:val="left"/>
      <w:pPr>
        <w:ind w:left="720" w:hanging="360"/>
      </w:pPr>
      <w:rPr>
        <w:rFonts w:hint="default" w:ascii="Symbol" w:hAnsi="Symbol"/>
      </w:rPr>
    </w:lvl>
    <w:lvl w:ilvl="1" w:tplc="04090001">
      <w:start w:val="1"/>
      <w:numFmt w:val="bullet"/>
      <w:lvlText w:val=""/>
      <w:lvlJc w:val="left"/>
      <w:pPr>
        <w:ind w:left="1440" w:hanging="360"/>
      </w:pPr>
      <w:rPr>
        <w:rFonts w:hint="default" w:ascii="Symbol" w:hAnsi="Symbol"/>
      </w:rPr>
    </w:lvl>
    <w:lvl w:ilvl="2" w:tplc="3B1AA688">
      <w:numFmt w:val="bullet"/>
      <w:lvlText w:val="•"/>
      <w:lvlJc w:val="left"/>
      <w:pPr>
        <w:ind w:left="2520" w:hanging="720"/>
      </w:pPr>
      <w:rPr>
        <w:rFonts w:hint="default" w:ascii="Gill Sans MT" w:hAnsi="Gill Sans MT" w:eastAsiaTheme="minorEastAsia" w:cstheme="minorBidi"/>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4" w15:restartNumberingAfterBreak="0">
    <w:nsid w:val="60A90191"/>
    <w:multiLevelType w:val="hybridMultilevel"/>
    <w:tmpl w:val="695A1EB6"/>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75" w15:restartNumberingAfterBreak="0">
    <w:nsid w:val="61E43D90"/>
    <w:multiLevelType w:val="multilevel"/>
    <w:tmpl w:val="B34E621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6" w15:restartNumberingAfterBreak="0">
    <w:nsid w:val="61EB4553"/>
    <w:multiLevelType w:val="hybridMultilevel"/>
    <w:tmpl w:val="57361A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62052A4B"/>
    <w:multiLevelType w:val="hybridMultilevel"/>
    <w:tmpl w:val="598CB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3DE1840"/>
    <w:multiLevelType w:val="hybridMultilevel"/>
    <w:tmpl w:val="EBAE28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9" w15:restartNumberingAfterBreak="0">
    <w:nsid w:val="64AB4F1E"/>
    <w:multiLevelType w:val="multilevel"/>
    <w:tmpl w:val="D80037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0" w15:restartNumberingAfterBreak="0">
    <w:nsid w:val="6A212F01"/>
    <w:multiLevelType w:val="hybridMultilevel"/>
    <w:tmpl w:val="FDB495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AB60412"/>
    <w:multiLevelType w:val="hybridMultilevel"/>
    <w:tmpl w:val="AF18C6C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2" w15:restartNumberingAfterBreak="0">
    <w:nsid w:val="6B4A313E"/>
    <w:multiLevelType w:val="hybridMultilevel"/>
    <w:tmpl w:val="903E05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3" w15:restartNumberingAfterBreak="0">
    <w:nsid w:val="6BEF7C5F"/>
    <w:multiLevelType w:val="multilevel"/>
    <w:tmpl w:val="9EC43FBE"/>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6DC72BDB"/>
    <w:multiLevelType w:val="hybridMultilevel"/>
    <w:tmpl w:val="9116932A"/>
    <w:lvl w:ilvl="0" w:tplc="04090003">
      <w:start w:val="1"/>
      <w:numFmt w:val="bullet"/>
      <w:lvlText w:val="o"/>
      <w:lvlJc w:val="left"/>
      <w:pPr>
        <w:ind w:left="1080" w:hanging="360"/>
      </w:pPr>
      <w:rPr>
        <w:rFonts w:hint="default" w:ascii="Courier New" w:hAnsi="Courier New" w:cs="Courier New"/>
      </w:rPr>
    </w:lvl>
    <w:lvl w:ilvl="1" w:tplc="04090003">
      <w:start w:val="1"/>
      <w:numFmt w:val="bullet"/>
      <w:lvlText w:val="o"/>
      <w:lvlJc w:val="left"/>
      <w:pPr>
        <w:ind w:left="1800" w:hanging="360"/>
      </w:pPr>
      <w:rPr>
        <w:rFonts w:hint="default" w:ascii="Courier New" w:hAnsi="Courier New" w:cs="Courier New"/>
      </w:rPr>
    </w:lvl>
    <w:lvl w:ilvl="2" w:tplc="04090001">
      <w:start w:val="1"/>
      <w:numFmt w:val="bullet"/>
      <w:lvlText w:val=""/>
      <w:lvlJc w:val="left"/>
      <w:pPr>
        <w:ind w:left="2520" w:hanging="360"/>
      </w:pPr>
      <w:rPr>
        <w:rFonts w:hint="default" w:ascii="Symbol" w:hAnsi="Symbol"/>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85" w15:restartNumberingAfterBreak="0">
    <w:nsid w:val="6E341861"/>
    <w:multiLevelType w:val="multilevel"/>
    <w:tmpl w:val="DB9A4A40"/>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86" w15:restartNumberingAfterBreak="0">
    <w:nsid w:val="6F222D44"/>
    <w:multiLevelType w:val="hybridMultilevel"/>
    <w:tmpl w:val="A13627C2"/>
    <w:lvl w:ilvl="0" w:tplc="04090001">
      <w:start w:val="1"/>
      <w:numFmt w:val="bullet"/>
      <w:lvlText w:val=""/>
      <w:lvlJc w:val="left"/>
      <w:pPr>
        <w:ind w:left="784" w:hanging="360"/>
      </w:pPr>
      <w:rPr>
        <w:rFonts w:hint="default" w:ascii="Symbol" w:hAnsi="Symbol"/>
      </w:rPr>
    </w:lvl>
    <w:lvl w:ilvl="1" w:tplc="04090003" w:tentative="1">
      <w:start w:val="1"/>
      <w:numFmt w:val="bullet"/>
      <w:lvlText w:val="o"/>
      <w:lvlJc w:val="left"/>
      <w:pPr>
        <w:ind w:left="1504" w:hanging="360"/>
      </w:pPr>
      <w:rPr>
        <w:rFonts w:hint="default" w:ascii="Courier New" w:hAnsi="Courier New" w:cs="Courier New"/>
      </w:rPr>
    </w:lvl>
    <w:lvl w:ilvl="2" w:tplc="04090005" w:tentative="1">
      <w:start w:val="1"/>
      <w:numFmt w:val="bullet"/>
      <w:lvlText w:val=""/>
      <w:lvlJc w:val="left"/>
      <w:pPr>
        <w:ind w:left="2224" w:hanging="360"/>
      </w:pPr>
      <w:rPr>
        <w:rFonts w:hint="default" w:ascii="Wingdings" w:hAnsi="Wingdings"/>
      </w:rPr>
    </w:lvl>
    <w:lvl w:ilvl="3" w:tplc="04090001" w:tentative="1">
      <w:start w:val="1"/>
      <w:numFmt w:val="bullet"/>
      <w:lvlText w:val=""/>
      <w:lvlJc w:val="left"/>
      <w:pPr>
        <w:ind w:left="2944" w:hanging="360"/>
      </w:pPr>
      <w:rPr>
        <w:rFonts w:hint="default" w:ascii="Symbol" w:hAnsi="Symbol"/>
      </w:rPr>
    </w:lvl>
    <w:lvl w:ilvl="4" w:tplc="04090003" w:tentative="1">
      <w:start w:val="1"/>
      <w:numFmt w:val="bullet"/>
      <w:lvlText w:val="o"/>
      <w:lvlJc w:val="left"/>
      <w:pPr>
        <w:ind w:left="3664" w:hanging="360"/>
      </w:pPr>
      <w:rPr>
        <w:rFonts w:hint="default" w:ascii="Courier New" w:hAnsi="Courier New" w:cs="Courier New"/>
      </w:rPr>
    </w:lvl>
    <w:lvl w:ilvl="5" w:tplc="04090005" w:tentative="1">
      <w:start w:val="1"/>
      <w:numFmt w:val="bullet"/>
      <w:lvlText w:val=""/>
      <w:lvlJc w:val="left"/>
      <w:pPr>
        <w:ind w:left="4384" w:hanging="360"/>
      </w:pPr>
      <w:rPr>
        <w:rFonts w:hint="default" w:ascii="Wingdings" w:hAnsi="Wingdings"/>
      </w:rPr>
    </w:lvl>
    <w:lvl w:ilvl="6" w:tplc="04090001" w:tentative="1">
      <w:start w:val="1"/>
      <w:numFmt w:val="bullet"/>
      <w:lvlText w:val=""/>
      <w:lvlJc w:val="left"/>
      <w:pPr>
        <w:ind w:left="5104" w:hanging="360"/>
      </w:pPr>
      <w:rPr>
        <w:rFonts w:hint="default" w:ascii="Symbol" w:hAnsi="Symbol"/>
      </w:rPr>
    </w:lvl>
    <w:lvl w:ilvl="7" w:tplc="04090003" w:tentative="1">
      <w:start w:val="1"/>
      <w:numFmt w:val="bullet"/>
      <w:lvlText w:val="o"/>
      <w:lvlJc w:val="left"/>
      <w:pPr>
        <w:ind w:left="5824" w:hanging="360"/>
      </w:pPr>
      <w:rPr>
        <w:rFonts w:hint="default" w:ascii="Courier New" w:hAnsi="Courier New" w:cs="Courier New"/>
      </w:rPr>
    </w:lvl>
    <w:lvl w:ilvl="8" w:tplc="04090005" w:tentative="1">
      <w:start w:val="1"/>
      <w:numFmt w:val="bullet"/>
      <w:lvlText w:val=""/>
      <w:lvlJc w:val="left"/>
      <w:pPr>
        <w:ind w:left="6544" w:hanging="360"/>
      </w:pPr>
      <w:rPr>
        <w:rFonts w:hint="default" w:ascii="Wingdings" w:hAnsi="Wingdings"/>
      </w:rPr>
    </w:lvl>
  </w:abstractNum>
  <w:abstractNum w:abstractNumId="87" w15:restartNumberingAfterBreak="0">
    <w:nsid w:val="75ED58E1"/>
    <w:multiLevelType w:val="multilevel"/>
    <w:tmpl w:val="2C3C54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7CD3B37"/>
    <w:multiLevelType w:val="multilevel"/>
    <w:tmpl w:val="7F4E7B18"/>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7A753897"/>
    <w:multiLevelType w:val="multilevel"/>
    <w:tmpl w:val="B34E621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0" w15:restartNumberingAfterBreak="0">
    <w:nsid w:val="7AFC7B20"/>
    <w:multiLevelType w:val="hybridMultilevel"/>
    <w:tmpl w:val="9DBEF8BC"/>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rPr>
    </w:lvl>
  </w:abstractNum>
  <w:abstractNum w:abstractNumId="91" w15:restartNumberingAfterBreak="0">
    <w:nsid w:val="7C227196"/>
    <w:multiLevelType w:val="hybridMultilevel"/>
    <w:tmpl w:val="B9069F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CFE0157"/>
    <w:multiLevelType w:val="hybridMultilevel"/>
    <w:tmpl w:val="4CF279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796479541">
    <w:abstractNumId w:val="13"/>
  </w:num>
  <w:num w:numId="2" w16cid:durableId="669676798">
    <w:abstractNumId w:val="61"/>
  </w:num>
  <w:num w:numId="3" w16cid:durableId="713653486">
    <w:abstractNumId w:val="29"/>
  </w:num>
  <w:num w:numId="4" w16cid:durableId="798039032">
    <w:abstractNumId w:val="24"/>
  </w:num>
  <w:num w:numId="5" w16cid:durableId="1036853540">
    <w:abstractNumId w:val="71"/>
  </w:num>
  <w:num w:numId="6" w16cid:durableId="1966080740">
    <w:abstractNumId w:val="55"/>
  </w:num>
  <w:num w:numId="7" w16cid:durableId="1146246037">
    <w:abstractNumId w:val="54"/>
  </w:num>
  <w:num w:numId="8" w16cid:durableId="1312052935">
    <w:abstractNumId w:val="38"/>
  </w:num>
  <w:num w:numId="9" w16cid:durableId="1647782382">
    <w:abstractNumId w:val="73"/>
  </w:num>
  <w:num w:numId="10" w16cid:durableId="1197424076">
    <w:abstractNumId w:val="87"/>
  </w:num>
  <w:num w:numId="11" w16cid:durableId="485167875">
    <w:abstractNumId w:val="15"/>
  </w:num>
  <w:num w:numId="12" w16cid:durableId="2082754571">
    <w:abstractNumId w:val="47"/>
  </w:num>
  <w:num w:numId="13" w16cid:durableId="1839880889">
    <w:abstractNumId w:val="43"/>
  </w:num>
  <w:num w:numId="14" w16cid:durableId="1038355280">
    <w:abstractNumId w:val="26"/>
  </w:num>
  <w:num w:numId="15" w16cid:durableId="843588151">
    <w:abstractNumId w:val="12"/>
  </w:num>
  <w:num w:numId="16" w16cid:durableId="1634943512">
    <w:abstractNumId w:val="84"/>
  </w:num>
  <w:num w:numId="17" w16cid:durableId="1430006452">
    <w:abstractNumId w:val="8"/>
  </w:num>
  <w:num w:numId="18" w16cid:durableId="2051302608">
    <w:abstractNumId w:val="25"/>
  </w:num>
  <w:num w:numId="19" w16cid:durableId="70280845">
    <w:abstractNumId w:val="17"/>
  </w:num>
  <w:num w:numId="20" w16cid:durableId="1492285275">
    <w:abstractNumId w:val="42"/>
  </w:num>
  <w:num w:numId="21" w16cid:durableId="1366297514">
    <w:abstractNumId w:val="33"/>
  </w:num>
  <w:num w:numId="22" w16cid:durableId="1615289352">
    <w:abstractNumId w:val="65"/>
  </w:num>
  <w:num w:numId="23" w16cid:durableId="328145164">
    <w:abstractNumId w:val="65"/>
  </w:num>
  <w:num w:numId="24" w16cid:durableId="2051297250">
    <w:abstractNumId w:val="59"/>
  </w:num>
  <w:num w:numId="25" w16cid:durableId="1944073302">
    <w:abstractNumId w:val="2"/>
  </w:num>
  <w:num w:numId="26" w16cid:durableId="293876913">
    <w:abstractNumId w:val="68"/>
  </w:num>
  <w:num w:numId="27" w16cid:durableId="1272398754">
    <w:abstractNumId w:val="57"/>
  </w:num>
  <w:num w:numId="28" w16cid:durableId="1771117795">
    <w:abstractNumId w:val="83"/>
  </w:num>
  <w:num w:numId="29" w16cid:durableId="1818571369">
    <w:abstractNumId w:val="20"/>
  </w:num>
  <w:num w:numId="30" w16cid:durableId="267734727">
    <w:abstractNumId w:val="70"/>
  </w:num>
  <w:num w:numId="31" w16cid:durableId="1328284098">
    <w:abstractNumId w:val="7"/>
  </w:num>
  <w:num w:numId="32" w16cid:durableId="1790079458">
    <w:abstractNumId w:val="88"/>
  </w:num>
  <w:num w:numId="33" w16cid:durableId="341200220">
    <w:abstractNumId w:val="40"/>
  </w:num>
  <w:num w:numId="34" w16cid:durableId="2141262669">
    <w:abstractNumId w:val="63"/>
  </w:num>
  <w:num w:numId="35" w16cid:durableId="19866449">
    <w:abstractNumId w:val="11"/>
  </w:num>
  <w:num w:numId="36" w16cid:durableId="181670529">
    <w:abstractNumId w:val="21"/>
  </w:num>
  <w:num w:numId="37" w16cid:durableId="612906552">
    <w:abstractNumId w:val="39"/>
  </w:num>
  <w:num w:numId="38" w16cid:durableId="1342925481">
    <w:abstractNumId w:val="37"/>
  </w:num>
  <w:num w:numId="39" w16cid:durableId="401678032">
    <w:abstractNumId w:val="49"/>
  </w:num>
  <w:num w:numId="40" w16cid:durableId="628321258">
    <w:abstractNumId w:val="44"/>
  </w:num>
  <w:num w:numId="41" w16cid:durableId="809907530">
    <w:abstractNumId w:val="16"/>
  </w:num>
  <w:num w:numId="42" w16cid:durableId="2066831349">
    <w:abstractNumId w:val="65"/>
    <w:lvlOverride w:ilvl="0">
      <w:startOverride w:val="7"/>
    </w:lvlOverride>
    <w:lvlOverride w:ilvl="1">
      <w:startOverride w:val="2"/>
    </w:lvlOverride>
    <w:lvlOverride w:ilvl="2">
      <w:startOverride w:val="3"/>
    </w:lvlOverride>
  </w:num>
  <w:num w:numId="43" w16cid:durableId="190072701">
    <w:abstractNumId w:val="65"/>
    <w:lvlOverride w:ilvl="0">
      <w:startOverride w:val="7"/>
    </w:lvlOverride>
    <w:lvlOverride w:ilvl="1">
      <w:startOverride w:val="2"/>
    </w:lvlOverride>
    <w:lvlOverride w:ilvl="2">
      <w:startOverride w:val="8"/>
    </w:lvlOverride>
  </w:num>
  <w:num w:numId="44" w16cid:durableId="80763370">
    <w:abstractNumId w:val="36"/>
  </w:num>
  <w:num w:numId="45" w16cid:durableId="17854363">
    <w:abstractNumId w:val="23"/>
  </w:num>
  <w:num w:numId="46" w16cid:durableId="1731657859">
    <w:abstractNumId w:val="56"/>
  </w:num>
  <w:num w:numId="47" w16cid:durableId="1671568602">
    <w:abstractNumId w:val="6"/>
  </w:num>
  <w:num w:numId="48" w16cid:durableId="101830862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99310696">
    <w:abstractNumId w:val="9"/>
  </w:num>
  <w:num w:numId="50" w16cid:durableId="1517159621">
    <w:abstractNumId w:val="81"/>
  </w:num>
  <w:num w:numId="51" w16cid:durableId="881136826">
    <w:abstractNumId w:val="60"/>
  </w:num>
  <w:num w:numId="52" w16cid:durableId="1622221066">
    <w:abstractNumId w:val="4"/>
  </w:num>
  <w:num w:numId="53" w16cid:durableId="1076901958">
    <w:abstractNumId w:val="3"/>
  </w:num>
  <w:num w:numId="54" w16cid:durableId="91973785">
    <w:abstractNumId w:val="28"/>
  </w:num>
  <w:num w:numId="55" w16cid:durableId="719981759">
    <w:abstractNumId w:val="35"/>
  </w:num>
  <w:num w:numId="56" w16cid:durableId="634338427">
    <w:abstractNumId w:val="66"/>
  </w:num>
  <w:num w:numId="57" w16cid:durableId="1841386158">
    <w:abstractNumId w:val="51"/>
  </w:num>
  <w:num w:numId="58" w16cid:durableId="317348654">
    <w:abstractNumId w:val="31"/>
  </w:num>
  <w:num w:numId="59" w16cid:durableId="1197894347">
    <w:abstractNumId w:val="0"/>
  </w:num>
  <w:num w:numId="60" w16cid:durableId="1094401808">
    <w:abstractNumId w:val="64"/>
  </w:num>
  <w:num w:numId="61" w16cid:durableId="850726150">
    <w:abstractNumId w:val="58"/>
  </w:num>
  <w:num w:numId="62" w16cid:durableId="2068146513">
    <w:abstractNumId w:val="69"/>
  </w:num>
  <w:num w:numId="63" w16cid:durableId="1619289118">
    <w:abstractNumId w:val="85"/>
  </w:num>
  <w:num w:numId="64" w16cid:durableId="568804691">
    <w:abstractNumId w:val="72"/>
  </w:num>
  <w:num w:numId="65" w16cid:durableId="1300453238">
    <w:abstractNumId w:val="89"/>
  </w:num>
  <w:num w:numId="66" w16cid:durableId="415904944">
    <w:abstractNumId w:val="74"/>
  </w:num>
  <w:num w:numId="67" w16cid:durableId="397292976">
    <w:abstractNumId w:val="34"/>
  </w:num>
  <w:num w:numId="68" w16cid:durableId="1926762576">
    <w:abstractNumId w:val="45"/>
  </w:num>
  <w:num w:numId="69" w16cid:durableId="213490279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038581252">
    <w:abstractNumId w:val="1"/>
  </w:num>
  <w:num w:numId="71" w16cid:durableId="1260523534">
    <w:abstractNumId w:val="27"/>
  </w:num>
  <w:num w:numId="72" w16cid:durableId="276184161">
    <w:abstractNumId w:val="18"/>
  </w:num>
  <w:num w:numId="73" w16cid:durableId="2098550520">
    <w:abstractNumId w:val="46"/>
  </w:num>
  <w:num w:numId="74" w16cid:durableId="1634558676">
    <w:abstractNumId w:val="61"/>
  </w:num>
  <w:num w:numId="75" w16cid:durableId="1777944794">
    <w:abstractNumId w:val="61"/>
  </w:num>
  <w:num w:numId="76" w16cid:durableId="153138218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377042771">
    <w:abstractNumId w:val="90"/>
  </w:num>
  <w:num w:numId="78" w16cid:durableId="148578049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65637689">
    <w:abstractNumId w:val="77"/>
  </w:num>
  <w:num w:numId="80" w16cid:durableId="145166570">
    <w:abstractNumId w:val="75"/>
  </w:num>
  <w:num w:numId="81" w16cid:durableId="117991322">
    <w:abstractNumId w:val="50"/>
  </w:num>
  <w:num w:numId="82" w16cid:durableId="2101754061">
    <w:abstractNumId w:val="48"/>
  </w:num>
  <w:num w:numId="83" w16cid:durableId="273833301">
    <w:abstractNumId w:val="52"/>
  </w:num>
  <w:num w:numId="84" w16cid:durableId="1397708449">
    <w:abstractNumId w:val="10"/>
  </w:num>
  <w:num w:numId="85" w16cid:durableId="1272127306">
    <w:abstractNumId w:val="86"/>
  </w:num>
  <w:num w:numId="86" w16cid:durableId="1019509514">
    <w:abstractNumId w:val="92"/>
  </w:num>
  <w:num w:numId="87" w16cid:durableId="928345010">
    <w:abstractNumId w:val="82"/>
  </w:num>
  <w:num w:numId="88" w16cid:durableId="369839641">
    <w:abstractNumId w:val="19"/>
  </w:num>
  <w:num w:numId="89" w16cid:durableId="1851331482">
    <w:abstractNumId w:val="32"/>
  </w:num>
  <w:num w:numId="90" w16cid:durableId="1364599656">
    <w:abstractNumId w:val="76"/>
  </w:num>
  <w:num w:numId="91" w16cid:durableId="1321303027">
    <w:abstractNumId w:val="30"/>
  </w:num>
  <w:num w:numId="92" w16cid:durableId="1638410293">
    <w:abstractNumId w:val="62"/>
  </w:num>
  <w:num w:numId="93" w16cid:durableId="887183424">
    <w:abstractNumId w:val="14"/>
  </w:num>
  <w:num w:numId="94" w16cid:durableId="1374043193">
    <w:abstractNumId w:val="91"/>
  </w:num>
  <w:num w:numId="95" w16cid:durableId="546841658">
    <w:abstractNumId w:val="67"/>
  </w:num>
  <w:num w:numId="96" w16cid:durableId="1192377172">
    <w:abstractNumId w:val="5"/>
  </w:num>
  <w:num w:numId="97" w16cid:durableId="1150055378">
    <w:abstractNumId w:val="53"/>
  </w:num>
  <w:num w:numId="98" w16cid:durableId="1139300837">
    <w:abstractNumId w:val="80"/>
  </w:num>
  <w:num w:numId="99" w16cid:durableId="4675923">
    <w:abstractNumId w:val="41"/>
  </w:num>
  <w:num w:numId="100" w16cid:durableId="1942569227">
    <w:abstractNumId w:val="22"/>
  </w:num>
  <w:num w:numId="101" w16cid:durableId="337778058">
    <w:abstractNumId w:val="79"/>
  </w:num>
  <w:num w:numId="102" w16cid:durableId="728071958">
    <w:abstractNumId w:val="78"/>
  </w:num>
  <w:numIdMacAtCleanup w:val="9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activeWritingStyle w:lang="es-ES" w:vendorID="64" w:dllVersion="0" w:nlCheck="1" w:checkStyle="0" w:appName="MSWord"/>
  <w:activeWritingStyle w:lang="en-US" w:vendorID="64" w:dllVersion="0" w:nlCheck="1" w:checkStyle="0" w:appName="MSWord"/>
  <w:activeWritingStyle w:lang="fr-FR" w:vendorID="64" w:dllVersion="0" w:nlCheck="1" w:checkStyle="0" w:appName="MSWord"/>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D5F"/>
    <w:rsid w:val="00000013"/>
    <w:rsid w:val="000007FA"/>
    <w:rsid w:val="0000096E"/>
    <w:rsid w:val="00000BBD"/>
    <w:rsid w:val="00000CAF"/>
    <w:rsid w:val="000011FB"/>
    <w:rsid w:val="0000138E"/>
    <w:rsid w:val="00001488"/>
    <w:rsid w:val="000017AC"/>
    <w:rsid w:val="0000189A"/>
    <w:rsid w:val="00001B67"/>
    <w:rsid w:val="00001BCE"/>
    <w:rsid w:val="000022C4"/>
    <w:rsid w:val="000022D4"/>
    <w:rsid w:val="00002346"/>
    <w:rsid w:val="00002360"/>
    <w:rsid w:val="00002449"/>
    <w:rsid w:val="00002A47"/>
    <w:rsid w:val="00002AE7"/>
    <w:rsid w:val="00002BC8"/>
    <w:rsid w:val="00002D7F"/>
    <w:rsid w:val="000030F5"/>
    <w:rsid w:val="0000320E"/>
    <w:rsid w:val="00003324"/>
    <w:rsid w:val="0000336A"/>
    <w:rsid w:val="00003672"/>
    <w:rsid w:val="0000373D"/>
    <w:rsid w:val="000037CB"/>
    <w:rsid w:val="00003ADD"/>
    <w:rsid w:val="00003B5B"/>
    <w:rsid w:val="00003C22"/>
    <w:rsid w:val="00003CBC"/>
    <w:rsid w:val="00003F1B"/>
    <w:rsid w:val="00004499"/>
    <w:rsid w:val="000045AE"/>
    <w:rsid w:val="0000487E"/>
    <w:rsid w:val="000049B3"/>
    <w:rsid w:val="00004AF8"/>
    <w:rsid w:val="00004C85"/>
    <w:rsid w:val="00004C90"/>
    <w:rsid w:val="00004EB4"/>
    <w:rsid w:val="00004FCB"/>
    <w:rsid w:val="000050EF"/>
    <w:rsid w:val="00005260"/>
    <w:rsid w:val="00005848"/>
    <w:rsid w:val="000058DE"/>
    <w:rsid w:val="00005D49"/>
    <w:rsid w:val="000063CE"/>
    <w:rsid w:val="000063D0"/>
    <w:rsid w:val="000063FA"/>
    <w:rsid w:val="0000643B"/>
    <w:rsid w:val="00006479"/>
    <w:rsid w:val="00006560"/>
    <w:rsid w:val="0000684D"/>
    <w:rsid w:val="00006DE7"/>
    <w:rsid w:val="00007178"/>
    <w:rsid w:val="00007513"/>
    <w:rsid w:val="000075D5"/>
    <w:rsid w:val="0000791C"/>
    <w:rsid w:val="00007B09"/>
    <w:rsid w:val="00007B27"/>
    <w:rsid w:val="00007B74"/>
    <w:rsid w:val="00007DCC"/>
    <w:rsid w:val="00007FEE"/>
    <w:rsid w:val="000101A5"/>
    <w:rsid w:val="000101E9"/>
    <w:rsid w:val="0001061E"/>
    <w:rsid w:val="00010963"/>
    <w:rsid w:val="00010998"/>
    <w:rsid w:val="00010CBB"/>
    <w:rsid w:val="00010E2D"/>
    <w:rsid w:val="00010FF9"/>
    <w:rsid w:val="0001160C"/>
    <w:rsid w:val="00011766"/>
    <w:rsid w:val="000118D4"/>
    <w:rsid w:val="00011B2C"/>
    <w:rsid w:val="00011CF8"/>
    <w:rsid w:val="00011FDD"/>
    <w:rsid w:val="00012022"/>
    <w:rsid w:val="000120B9"/>
    <w:rsid w:val="00012190"/>
    <w:rsid w:val="0001245F"/>
    <w:rsid w:val="000126F1"/>
    <w:rsid w:val="00012A11"/>
    <w:rsid w:val="00012BB5"/>
    <w:rsid w:val="00012FA7"/>
    <w:rsid w:val="000130B6"/>
    <w:rsid w:val="00013396"/>
    <w:rsid w:val="0001392F"/>
    <w:rsid w:val="00013A51"/>
    <w:rsid w:val="00013CF3"/>
    <w:rsid w:val="0001433A"/>
    <w:rsid w:val="0001444D"/>
    <w:rsid w:val="00014565"/>
    <w:rsid w:val="00014769"/>
    <w:rsid w:val="00014AC3"/>
    <w:rsid w:val="00014C6C"/>
    <w:rsid w:val="00015109"/>
    <w:rsid w:val="00015120"/>
    <w:rsid w:val="00015171"/>
    <w:rsid w:val="000151CF"/>
    <w:rsid w:val="0001555F"/>
    <w:rsid w:val="000155BC"/>
    <w:rsid w:val="000158B9"/>
    <w:rsid w:val="00015C45"/>
    <w:rsid w:val="00015E20"/>
    <w:rsid w:val="00015F95"/>
    <w:rsid w:val="000161DE"/>
    <w:rsid w:val="0001638B"/>
    <w:rsid w:val="0001638E"/>
    <w:rsid w:val="00016D1A"/>
    <w:rsid w:val="00016D24"/>
    <w:rsid w:val="00016D60"/>
    <w:rsid w:val="00017075"/>
    <w:rsid w:val="00017255"/>
    <w:rsid w:val="0001734E"/>
    <w:rsid w:val="000173D1"/>
    <w:rsid w:val="000173F8"/>
    <w:rsid w:val="00017447"/>
    <w:rsid w:val="00017615"/>
    <w:rsid w:val="00017651"/>
    <w:rsid w:val="00017686"/>
    <w:rsid w:val="0001783C"/>
    <w:rsid w:val="0001786C"/>
    <w:rsid w:val="0001798F"/>
    <w:rsid w:val="00017ACE"/>
    <w:rsid w:val="00017EA4"/>
    <w:rsid w:val="00017F7B"/>
    <w:rsid w:val="00020114"/>
    <w:rsid w:val="000202B0"/>
    <w:rsid w:val="0002069F"/>
    <w:rsid w:val="000207A3"/>
    <w:rsid w:val="000209DB"/>
    <w:rsid w:val="00020B46"/>
    <w:rsid w:val="00020C06"/>
    <w:rsid w:val="00020C10"/>
    <w:rsid w:val="00020C4F"/>
    <w:rsid w:val="00020D05"/>
    <w:rsid w:val="00021037"/>
    <w:rsid w:val="0002125B"/>
    <w:rsid w:val="000216E6"/>
    <w:rsid w:val="00021D1E"/>
    <w:rsid w:val="00021D6B"/>
    <w:rsid w:val="00021DED"/>
    <w:rsid w:val="00022296"/>
    <w:rsid w:val="00022486"/>
    <w:rsid w:val="000224BF"/>
    <w:rsid w:val="00022601"/>
    <w:rsid w:val="000226C0"/>
    <w:rsid w:val="00022A96"/>
    <w:rsid w:val="00023232"/>
    <w:rsid w:val="0002335C"/>
    <w:rsid w:val="000233D3"/>
    <w:rsid w:val="00023DF6"/>
    <w:rsid w:val="00023F9A"/>
    <w:rsid w:val="000240F1"/>
    <w:rsid w:val="00024155"/>
    <w:rsid w:val="00024331"/>
    <w:rsid w:val="0002438E"/>
    <w:rsid w:val="00024E39"/>
    <w:rsid w:val="0002552D"/>
    <w:rsid w:val="000259C2"/>
    <w:rsid w:val="00025A71"/>
    <w:rsid w:val="00025C89"/>
    <w:rsid w:val="000263CA"/>
    <w:rsid w:val="0002657A"/>
    <w:rsid w:val="000268E5"/>
    <w:rsid w:val="00026E14"/>
    <w:rsid w:val="00026E73"/>
    <w:rsid w:val="00026F5E"/>
    <w:rsid w:val="0002711A"/>
    <w:rsid w:val="00027217"/>
    <w:rsid w:val="0002762C"/>
    <w:rsid w:val="00027699"/>
    <w:rsid w:val="00027821"/>
    <w:rsid w:val="0002798A"/>
    <w:rsid w:val="00027CD5"/>
    <w:rsid w:val="00027F70"/>
    <w:rsid w:val="0003072C"/>
    <w:rsid w:val="00030869"/>
    <w:rsid w:val="000309E7"/>
    <w:rsid w:val="00030B29"/>
    <w:rsid w:val="00030B34"/>
    <w:rsid w:val="00030B83"/>
    <w:rsid w:val="00030C5D"/>
    <w:rsid w:val="00031068"/>
    <w:rsid w:val="000310C8"/>
    <w:rsid w:val="000315C4"/>
    <w:rsid w:val="00031767"/>
    <w:rsid w:val="00031779"/>
    <w:rsid w:val="00031A39"/>
    <w:rsid w:val="00031AD5"/>
    <w:rsid w:val="00031B48"/>
    <w:rsid w:val="00031CD2"/>
    <w:rsid w:val="00031DBD"/>
    <w:rsid w:val="00031EA5"/>
    <w:rsid w:val="00031F03"/>
    <w:rsid w:val="00032360"/>
    <w:rsid w:val="000324D5"/>
    <w:rsid w:val="000324DA"/>
    <w:rsid w:val="0003280B"/>
    <w:rsid w:val="00032CDA"/>
    <w:rsid w:val="00032F0E"/>
    <w:rsid w:val="00033C7F"/>
    <w:rsid w:val="00033C80"/>
    <w:rsid w:val="000340F6"/>
    <w:rsid w:val="000340FE"/>
    <w:rsid w:val="0003411D"/>
    <w:rsid w:val="00034FEE"/>
    <w:rsid w:val="00035107"/>
    <w:rsid w:val="000352AC"/>
    <w:rsid w:val="000352E5"/>
    <w:rsid w:val="0003531E"/>
    <w:rsid w:val="0003532E"/>
    <w:rsid w:val="0003543C"/>
    <w:rsid w:val="00035558"/>
    <w:rsid w:val="00035586"/>
    <w:rsid w:val="00035623"/>
    <w:rsid w:val="000356D5"/>
    <w:rsid w:val="00035742"/>
    <w:rsid w:val="00035C0C"/>
    <w:rsid w:val="00035DA8"/>
    <w:rsid w:val="00035DCC"/>
    <w:rsid w:val="00036122"/>
    <w:rsid w:val="00036779"/>
    <w:rsid w:val="0003689C"/>
    <w:rsid w:val="00037080"/>
    <w:rsid w:val="000370FF"/>
    <w:rsid w:val="000375E0"/>
    <w:rsid w:val="00037687"/>
    <w:rsid w:val="000378FD"/>
    <w:rsid w:val="00037F4C"/>
    <w:rsid w:val="00037F7B"/>
    <w:rsid w:val="0004006C"/>
    <w:rsid w:val="000401DE"/>
    <w:rsid w:val="00040399"/>
    <w:rsid w:val="00040638"/>
    <w:rsid w:val="0004084F"/>
    <w:rsid w:val="00040B02"/>
    <w:rsid w:val="00040BCC"/>
    <w:rsid w:val="00040E03"/>
    <w:rsid w:val="00040E4F"/>
    <w:rsid w:val="00040F2C"/>
    <w:rsid w:val="000411C7"/>
    <w:rsid w:val="00041392"/>
    <w:rsid w:val="000413C6"/>
    <w:rsid w:val="000416C9"/>
    <w:rsid w:val="0004184C"/>
    <w:rsid w:val="00041945"/>
    <w:rsid w:val="00041F09"/>
    <w:rsid w:val="0004232D"/>
    <w:rsid w:val="000425E4"/>
    <w:rsid w:val="0004268B"/>
    <w:rsid w:val="000429D3"/>
    <w:rsid w:val="00042B2D"/>
    <w:rsid w:val="00042BA8"/>
    <w:rsid w:val="00042D48"/>
    <w:rsid w:val="00043229"/>
    <w:rsid w:val="0004363D"/>
    <w:rsid w:val="00043694"/>
    <w:rsid w:val="00043B56"/>
    <w:rsid w:val="00043CF6"/>
    <w:rsid w:val="00043E3D"/>
    <w:rsid w:val="00044284"/>
    <w:rsid w:val="000442A7"/>
    <w:rsid w:val="00044337"/>
    <w:rsid w:val="00044B60"/>
    <w:rsid w:val="00044C3A"/>
    <w:rsid w:val="00044E43"/>
    <w:rsid w:val="00044E9E"/>
    <w:rsid w:val="00044F78"/>
    <w:rsid w:val="000451BD"/>
    <w:rsid w:val="00045314"/>
    <w:rsid w:val="00045343"/>
    <w:rsid w:val="00045435"/>
    <w:rsid w:val="000456A4"/>
    <w:rsid w:val="000456D6"/>
    <w:rsid w:val="00046083"/>
    <w:rsid w:val="000461CA"/>
    <w:rsid w:val="0004662B"/>
    <w:rsid w:val="00046655"/>
    <w:rsid w:val="000466DF"/>
    <w:rsid w:val="000469F9"/>
    <w:rsid w:val="00046FA1"/>
    <w:rsid w:val="00046FE2"/>
    <w:rsid w:val="00047108"/>
    <w:rsid w:val="000472C5"/>
    <w:rsid w:val="000478D4"/>
    <w:rsid w:val="0005008D"/>
    <w:rsid w:val="00050198"/>
    <w:rsid w:val="000501CF"/>
    <w:rsid w:val="000502C4"/>
    <w:rsid w:val="000502F0"/>
    <w:rsid w:val="00050300"/>
    <w:rsid w:val="000505C5"/>
    <w:rsid w:val="00050C3F"/>
    <w:rsid w:val="00050EB1"/>
    <w:rsid w:val="00050FC1"/>
    <w:rsid w:val="0005117C"/>
    <w:rsid w:val="0005130C"/>
    <w:rsid w:val="00051461"/>
    <w:rsid w:val="00051D6E"/>
    <w:rsid w:val="00051E50"/>
    <w:rsid w:val="00051F25"/>
    <w:rsid w:val="00051F3D"/>
    <w:rsid w:val="000520E1"/>
    <w:rsid w:val="00052208"/>
    <w:rsid w:val="000524F3"/>
    <w:rsid w:val="000526D8"/>
    <w:rsid w:val="000528C5"/>
    <w:rsid w:val="000528CE"/>
    <w:rsid w:val="00052A3C"/>
    <w:rsid w:val="00052B6E"/>
    <w:rsid w:val="00052F6E"/>
    <w:rsid w:val="00053171"/>
    <w:rsid w:val="0005322B"/>
    <w:rsid w:val="0005330C"/>
    <w:rsid w:val="0005333B"/>
    <w:rsid w:val="000534E2"/>
    <w:rsid w:val="000538F8"/>
    <w:rsid w:val="000539E4"/>
    <w:rsid w:val="00053A03"/>
    <w:rsid w:val="00053D5D"/>
    <w:rsid w:val="00053E14"/>
    <w:rsid w:val="00054A35"/>
    <w:rsid w:val="00054ED6"/>
    <w:rsid w:val="00054F5D"/>
    <w:rsid w:val="00055234"/>
    <w:rsid w:val="00055326"/>
    <w:rsid w:val="00055537"/>
    <w:rsid w:val="000555E8"/>
    <w:rsid w:val="000558B3"/>
    <w:rsid w:val="00055964"/>
    <w:rsid w:val="00055C5B"/>
    <w:rsid w:val="00055C71"/>
    <w:rsid w:val="00056166"/>
    <w:rsid w:val="00056285"/>
    <w:rsid w:val="000562A3"/>
    <w:rsid w:val="00056363"/>
    <w:rsid w:val="000566BD"/>
    <w:rsid w:val="00056840"/>
    <w:rsid w:val="00056D01"/>
    <w:rsid w:val="00056FE5"/>
    <w:rsid w:val="000570C8"/>
    <w:rsid w:val="000572CC"/>
    <w:rsid w:val="000575E2"/>
    <w:rsid w:val="000607A1"/>
    <w:rsid w:val="00060D1A"/>
    <w:rsid w:val="00060D32"/>
    <w:rsid w:val="00060ECE"/>
    <w:rsid w:val="00060FE7"/>
    <w:rsid w:val="0006106B"/>
    <w:rsid w:val="000610BA"/>
    <w:rsid w:val="000610D4"/>
    <w:rsid w:val="0006119B"/>
    <w:rsid w:val="00061242"/>
    <w:rsid w:val="0006150D"/>
    <w:rsid w:val="0006174B"/>
    <w:rsid w:val="000619FA"/>
    <w:rsid w:val="00061A1B"/>
    <w:rsid w:val="0006218F"/>
    <w:rsid w:val="000628F6"/>
    <w:rsid w:val="00062E8C"/>
    <w:rsid w:val="000631A1"/>
    <w:rsid w:val="000632EB"/>
    <w:rsid w:val="0006365F"/>
    <w:rsid w:val="00063721"/>
    <w:rsid w:val="00063763"/>
    <w:rsid w:val="0006389C"/>
    <w:rsid w:val="00063980"/>
    <w:rsid w:val="00063ACE"/>
    <w:rsid w:val="00063BA9"/>
    <w:rsid w:val="0006407F"/>
    <w:rsid w:val="000641CC"/>
    <w:rsid w:val="00064244"/>
    <w:rsid w:val="00064340"/>
    <w:rsid w:val="00064493"/>
    <w:rsid w:val="00064496"/>
    <w:rsid w:val="00064541"/>
    <w:rsid w:val="00064697"/>
    <w:rsid w:val="000646F7"/>
    <w:rsid w:val="000647D1"/>
    <w:rsid w:val="000649B5"/>
    <w:rsid w:val="00064C02"/>
    <w:rsid w:val="00064E22"/>
    <w:rsid w:val="00064FC4"/>
    <w:rsid w:val="000652D3"/>
    <w:rsid w:val="0006554E"/>
    <w:rsid w:val="000655DA"/>
    <w:rsid w:val="000657F0"/>
    <w:rsid w:val="00065821"/>
    <w:rsid w:val="00065AFE"/>
    <w:rsid w:val="00065E88"/>
    <w:rsid w:val="00066160"/>
    <w:rsid w:val="000664A6"/>
    <w:rsid w:val="000666F5"/>
    <w:rsid w:val="00066C75"/>
    <w:rsid w:val="00067049"/>
    <w:rsid w:val="000672B1"/>
    <w:rsid w:val="00067585"/>
    <w:rsid w:val="000677D2"/>
    <w:rsid w:val="00067B73"/>
    <w:rsid w:val="00067E14"/>
    <w:rsid w:val="00070830"/>
    <w:rsid w:val="0007096D"/>
    <w:rsid w:val="00070A79"/>
    <w:rsid w:val="00071575"/>
    <w:rsid w:val="000715E9"/>
    <w:rsid w:val="0007199A"/>
    <w:rsid w:val="00071D08"/>
    <w:rsid w:val="00071E51"/>
    <w:rsid w:val="00071EBA"/>
    <w:rsid w:val="00071EFD"/>
    <w:rsid w:val="0007254D"/>
    <w:rsid w:val="00072828"/>
    <w:rsid w:val="00072966"/>
    <w:rsid w:val="00072AA6"/>
    <w:rsid w:val="00072B21"/>
    <w:rsid w:val="00072BF0"/>
    <w:rsid w:val="00072D66"/>
    <w:rsid w:val="00072DC8"/>
    <w:rsid w:val="000731AB"/>
    <w:rsid w:val="00073211"/>
    <w:rsid w:val="0007331F"/>
    <w:rsid w:val="00073441"/>
    <w:rsid w:val="00073A50"/>
    <w:rsid w:val="00073D3B"/>
    <w:rsid w:val="00073DFA"/>
    <w:rsid w:val="00073E16"/>
    <w:rsid w:val="00074479"/>
    <w:rsid w:val="000746F7"/>
    <w:rsid w:val="0007479B"/>
    <w:rsid w:val="000747BA"/>
    <w:rsid w:val="00074873"/>
    <w:rsid w:val="000748EE"/>
    <w:rsid w:val="00074AA1"/>
    <w:rsid w:val="000752D6"/>
    <w:rsid w:val="0007559B"/>
    <w:rsid w:val="000759C5"/>
    <w:rsid w:val="00075D96"/>
    <w:rsid w:val="00075F9D"/>
    <w:rsid w:val="00075FAF"/>
    <w:rsid w:val="000767A0"/>
    <w:rsid w:val="00076871"/>
    <w:rsid w:val="000769A4"/>
    <w:rsid w:val="00076A46"/>
    <w:rsid w:val="00076A7F"/>
    <w:rsid w:val="00076AB4"/>
    <w:rsid w:val="00076BB2"/>
    <w:rsid w:val="00076F6B"/>
    <w:rsid w:val="00076FA1"/>
    <w:rsid w:val="00077359"/>
    <w:rsid w:val="000775C9"/>
    <w:rsid w:val="000776D1"/>
    <w:rsid w:val="00077A69"/>
    <w:rsid w:val="00077B2D"/>
    <w:rsid w:val="00077CF5"/>
    <w:rsid w:val="00077E1A"/>
    <w:rsid w:val="00077F6C"/>
    <w:rsid w:val="00080326"/>
    <w:rsid w:val="00080A8F"/>
    <w:rsid w:val="00080BC7"/>
    <w:rsid w:val="00080D43"/>
    <w:rsid w:val="00080D74"/>
    <w:rsid w:val="00080ED1"/>
    <w:rsid w:val="00080F32"/>
    <w:rsid w:val="000811DA"/>
    <w:rsid w:val="0008153F"/>
    <w:rsid w:val="00081715"/>
    <w:rsid w:val="000817B7"/>
    <w:rsid w:val="00081B93"/>
    <w:rsid w:val="00081C48"/>
    <w:rsid w:val="000822C2"/>
    <w:rsid w:val="00082318"/>
    <w:rsid w:val="000824AF"/>
    <w:rsid w:val="000826EE"/>
    <w:rsid w:val="000827EE"/>
    <w:rsid w:val="00082B8F"/>
    <w:rsid w:val="00082C19"/>
    <w:rsid w:val="00082D44"/>
    <w:rsid w:val="00082DCB"/>
    <w:rsid w:val="00082FC6"/>
    <w:rsid w:val="000830D1"/>
    <w:rsid w:val="000832EB"/>
    <w:rsid w:val="000834F1"/>
    <w:rsid w:val="00083913"/>
    <w:rsid w:val="000839C5"/>
    <w:rsid w:val="00083EFD"/>
    <w:rsid w:val="00084192"/>
    <w:rsid w:val="0008426C"/>
    <w:rsid w:val="00084655"/>
    <w:rsid w:val="000847A7"/>
    <w:rsid w:val="00084C8C"/>
    <w:rsid w:val="0008514F"/>
    <w:rsid w:val="000855A7"/>
    <w:rsid w:val="00085BDC"/>
    <w:rsid w:val="00085C8B"/>
    <w:rsid w:val="00085D3A"/>
    <w:rsid w:val="00086313"/>
    <w:rsid w:val="00086455"/>
    <w:rsid w:val="0008693E"/>
    <w:rsid w:val="00086A2E"/>
    <w:rsid w:val="00086C84"/>
    <w:rsid w:val="0008740E"/>
    <w:rsid w:val="000874FE"/>
    <w:rsid w:val="000875A3"/>
    <w:rsid w:val="000878B3"/>
    <w:rsid w:val="00087E33"/>
    <w:rsid w:val="000902E2"/>
    <w:rsid w:val="00090327"/>
    <w:rsid w:val="0009044E"/>
    <w:rsid w:val="00090479"/>
    <w:rsid w:val="0009060A"/>
    <w:rsid w:val="00090687"/>
    <w:rsid w:val="000907E5"/>
    <w:rsid w:val="00090DFE"/>
    <w:rsid w:val="00090EDB"/>
    <w:rsid w:val="00090F6A"/>
    <w:rsid w:val="00091285"/>
    <w:rsid w:val="000915D4"/>
    <w:rsid w:val="000916DF"/>
    <w:rsid w:val="00091874"/>
    <w:rsid w:val="000918C7"/>
    <w:rsid w:val="00091F5E"/>
    <w:rsid w:val="00091FA7"/>
    <w:rsid w:val="000921CB"/>
    <w:rsid w:val="000921CD"/>
    <w:rsid w:val="00092229"/>
    <w:rsid w:val="0009224E"/>
    <w:rsid w:val="0009233F"/>
    <w:rsid w:val="0009238B"/>
    <w:rsid w:val="00092585"/>
    <w:rsid w:val="0009265F"/>
    <w:rsid w:val="00092C6A"/>
    <w:rsid w:val="00092EA2"/>
    <w:rsid w:val="00092F1A"/>
    <w:rsid w:val="00092FFA"/>
    <w:rsid w:val="00093278"/>
    <w:rsid w:val="000932C9"/>
    <w:rsid w:val="0009339F"/>
    <w:rsid w:val="000933C8"/>
    <w:rsid w:val="000933E8"/>
    <w:rsid w:val="00093948"/>
    <w:rsid w:val="000939DA"/>
    <w:rsid w:val="00093D1D"/>
    <w:rsid w:val="00093DCB"/>
    <w:rsid w:val="00093DE9"/>
    <w:rsid w:val="00093EFE"/>
    <w:rsid w:val="00094698"/>
    <w:rsid w:val="00094952"/>
    <w:rsid w:val="00094A48"/>
    <w:rsid w:val="00094AFC"/>
    <w:rsid w:val="00094B4B"/>
    <w:rsid w:val="00094D62"/>
    <w:rsid w:val="00094EDB"/>
    <w:rsid w:val="00094F49"/>
    <w:rsid w:val="00095197"/>
    <w:rsid w:val="0009538C"/>
    <w:rsid w:val="000955EF"/>
    <w:rsid w:val="00095723"/>
    <w:rsid w:val="00095884"/>
    <w:rsid w:val="00095C1D"/>
    <w:rsid w:val="00095D4F"/>
    <w:rsid w:val="00095E25"/>
    <w:rsid w:val="000964C0"/>
    <w:rsid w:val="00096C2E"/>
    <w:rsid w:val="00096D5E"/>
    <w:rsid w:val="00096F27"/>
    <w:rsid w:val="000971B7"/>
    <w:rsid w:val="0009729A"/>
    <w:rsid w:val="0009741B"/>
    <w:rsid w:val="0009750D"/>
    <w:rsid w:val="000978EB"/>
    <w:rsid w:val="00097AAF"/>
    <w:rsid w:val="00097B57"/>
    <w:rsid w:val="00097EC0"/>
    <w:rsid w:val="00097FC5"/>
    <w:rsid w:val="000A0174"/>
    <w:rsid w:val="000A07B9"/>
    <w:rsid w:val="000A081B"/>
    <w:rsid w:val="000A0839"/>
    <w:rsid w:val="000A094B"/>
    <w:rsid w:val="000A0995"/>
    <w:rsid w:val="000A0B19"/>
    <w:rsid w:val="000A0E99"/>
    <w:rsid w:val="000A1047"/>
    <w:rsid w:val="000A109D"/>
    <w:rsid w:val="000A112D"/>
    <w:rsid w:val="000A12F4"/>
    <w:rsid w:val="000A1604"/>
    <w:rsid w:val="000A16A3"/>
    <w:rsid w:val="000A1754"/>
    <w:rsid w:val="000A1839"/>
    <w:rsid w:val="000A1AA3"/>
    <w:rsid w:val="000A1AC5"/>
    <w:rsid w:val="000A22CD"/>
    <w:rsid w:val="000A231C"/>
    <w:rsid w:val="000A243E"/>
    <w:rsid w:val="000A2652"/>
    <w:rsid w:val="000A277C"/>
    <w:rsid w:val="000A2A40"/>
    <w:rsid w:val="000A2CC2"/>
    <w:rsid w:val="000A2DFA"/>
    <w:rsid w:val="000A2EC8"/>
    <w:rsid w:val="000A31C2"/>
    <w:rsid w:val="000A31C8"/>
    <w:rsid w:val="000A36B9"/>
    <w:rsid w:val="000A3BFA"/>
    <w:rsid w:val="000A3D2C"/>
    <w:rsid w:val="000A3F7B"/>
    <w:rsid w:val="000A3FE6"/>
    <w:rsid w:val="000A44FE"/>
    <w:rsid w:val="000A4E2E"/>
    <w:rsid w:val="000A4F5B"/>
    <w:rsid w:val="000A5183"/>
    <w:rsid w:val="000A5467"/>
    <w:rsid w:val="000A5499"/>
    <w:rsid w:val="000A5572"/>
    <w:rsid w:val="000A56E3"/>
    <w:rsid w:val="000A5887"/>
    <w:rsid w:val="000A5A4A"/>
    <w:rsid w:val="000A5C4E"/>
    <w:rsid w:val="000A6006"/>
    <w:rsid w:val="000A6019"/>
    <w:rsid w:val="000A635D"/>
    <w:rsid w:val="000A63FC"/>
    <w:rsid w:val="000A6714"/>
    <w:rsid w:val="000A6924"/>
    <w:rsid w:val="000A6B7A"/>
    <w:rsid w:val="000A6BF8"/>
    <w:rsid w:val="000A6C5E"/>
    <w:rsid w:val="000A6DCF"/>
    <w:rsid w:val="000A70BF"/>
    <w:rsid w:val="000A70E9"/>
    <w:rsid w:val="000A72A4"/>
    <w:rsid w:val="000A7457"/>
    <w:rsid w:val="000A74BA"/>
    <w:rsid w:val="000A764D"/>
    <w:rsid w:val="000A7DD9"/>
    <w:rsid w:val="000A7DFE"/>
    <w:rsid w:val="000A7EAA"/>
    <w:rsid w:val="000B006C"/>
    <w:rsid w:val="000B0BAD"/>
    <w:rsid w:val="000B1370"/>
    <w:rsid w:val="000B143E"/>
    <w:rsid w:val="000B1A5D"/>
    <w:rsid w:val="000B1B9B"/>
    <w:rsid w:val="000B1F78"/>
    <w:rsid w:val="000B230A"/>
    <w:rsid w:val="000B291D"/>
    <w:rsid w:val="000B2BD5"/>
    <w:rsid w:val="000B2DA6"/>
    <w:rsid w:val="000B2F87"/>
    <w:rsid w:val="000B3071"/>
    <w:rsid w:val="000B320A"/>
    <w:rsid w:val="000B325D"/>
    <w:rsid w:val="000B335E"/>
    <w:rsid w:val="000B34EB"/>
    <w:rsid w:val="000B3545"/>
    <w:rsid w:val="000B37AD"/>
    <w:rsid w:val="000B37C9"/>
    <w:rsid w:val="000B3A63"/>
    <w:rsid w:val="000B3ED0"/>
    <w:rsid w:val="000B3ED6"/>
    <w:rsid w:val="000B3F2E"/>
    <w:rsid w:val="000B4185"/>
    <w:rsid w:val="000B4555"/>
    <w:rsid w:val="000B4612"/>
    <w:rsid w:val="000B46A9"/>
    <w:rsid w:val="000B48FB"/>
    <w:rsid w:val="000B4A4A"/>
    <w:rsid w:val="000B4EBE"/>
    <w:rsid w:val="000B4F29"/>
    <w:rsid w:val="000B506A"/>
    <w:rsid w:val="000B5195"/>
    <w:rsid w:val="000B57A9"/>
    <w:rsid w:val="000B5917"/>
    <w:rsid w:val="000B5C1F"/>
    <w:rsid w:val="000B5C49"/>
    <w:rsid w:val="000B5E47"/>
    <w:rsid w:val="000B61A4"/>
    <w:rsid w:val="000B6232"/>
    <w:rsid w:val="000B64E1"/>
    <w:rsid w:val="000B6857"/>
    <w:rsid w:val="000B6E16"/>
    <w:rsid w:val="000B73F3"/>
    <w:rsid w:val="000B7770"/>
    <w:rsid w:val="000B7F93"/>
    <w:rsid w:val="000C0228"/>
    <w:rsid w:val="000C0702"/>
    <w:rsid w:val="000C08FC"/>
    <w:rsid w:val="000C0C9D"/>
    <w:rsid w:val="000C0CDB"/>
    <w:rsid w:val="000C0D30"/>
    <w:rsid w:val="000C0E62"/>
    <w:rsid w:val="000C1164"/>
    <w:rsid w:val="000C11D1"/>
    <w:rsid w:val="000C1481"/>
    <w:rsid w:val="000C19BD"/>
    <w:rsid w:val="000C1B5D"/>
    <w:rsid w:val="000C1CCA"/>
    <w:rsid w:val="000C1F08"/>
    <w:rsid w:val="000C1FF2"/>
    <w:rsid w:val="000C216B"/>
    <w:rsid w:val="000C29D7"/>
    <w:rsid w:val="000C2CB3"/>
    <w:rsid w:val="000C2E38"/>
    <w:rsid w:val="000C2F98"/>
    <w:rsid w:val="000C30B0"/>
    <w:rsid w:val="000C3A9A"/>
    <w:rsid w:val="000C3DB8"/>
    <w:rsid w:val="000C4183"/>
    <w:rsid w:val="000C41D3"/>
    <w:rsid w:val="000C4500"/>
    <w:rsid w:val="000C460A"/>
    <w:rsid w:val="000C4754"/>
    <w:rsid w:val="000C47AC"/>
    <w:rsid w:val="000C4A2C"/>
    <w:rsid w:val="000C4A3E"/>
    <w:rsid w:val="000C4B7E"/>
    <w:rsid w:val="000C4BE5"/>
    <w:rsid w:val="000C4C4F"/>
    <w:rsid w:val="000C510C"/>
    <w:rsid w:val="000C5176"/>
    <w:rsid w:val="000C51EF"/>
    <w:rsid w:val="000C5293"/>
    <w:rsid w:val="000C56E4"/>
    <w:rsid w:val="000C59B2"/>
    <w:rsid w:val="000C5B21"/>
    <w:rsid w:val="000C5BAC"/>
    <w:rsid w:val="000C5DA8"/>
    <w:rsid w:val="000C5F54"/>
    <w:rsid w:val="000C5F96"/>
    <w:rsid w:val="000C60A9"/>
    <w:rsid w:val="000C6214"/>
    <w:rsid w:val="000C62EC"/>
    <w:rsid w:val="000C6314"/>
    <w:rsid w:val="000C63C6"/>
    <w:rsid w:val="000C649A"/>
    <w:rsid w:val="000C6813"/>
    <w:rsid w:val="000C69CC"/>
    <w:rsid w:val="000C6C4D"/>
    <w:rsid w:val="000C6C66"/>
    <w:rsid w:val="000C741E"/>
    <w:rsid w:val="000C7613"/>
    <w:rsid w:val="000C7718"/>
    <w:rsid w:val="000C7B5B"/>
    <w:rsid w:val="000C7B70"/>
    <w:rsid w:val="000D006E"/>
    <w:rsid w:val="000D0139"/>
    <w:rsid w:val="000D02A0"/>
    <w:rsid w:val="000D0441"/>
    <w:rsid w:val="000D04A9"/>
    <w:rsid w:val="000D0585"/>
    <w:rsid w:val="000D059E"/>
    <w:rsid w:val="000D0756"/>
    <w:rsid w:val="000D0815"/>
    <w:rsid w:val="000D08E1"/>
    <w:rsid w:val="000D0A9F"/>
    <w:rsid w:val="000D0C92"/>
    <w:rsid w:val="000D1150"/>
    <w:rsid w:val="000D11B3"/>
    <w:rsid w:val="000D11EC"/>
    <w:rsid w:val="000D11FA"/>
    <w:rsid w:val="000D12AA"/>
    <w:rsid w:val="000D12C2"/>
    <w:rsid w:val="000D1893"/>
    <w:rsid w:val="000D18F9"/>
    <w:rsid w:val="000D2433"/>
    <w:rsid w:val="000D2709"/>
    <w:rsid w:val="000D2856"/>
    <w:rsid w:val="000D28AD"/>
    <w:rsid w:val="000D299F"/>
    <w:rsid w:val="000D2B6C"/>
    <w:rsid w:val="000D2BE3"/>
    <w:rsid w:val="000D334E"/>
    <w:rsid w:val="000D33AE"/>
    <w:rsid w:val="000D3575"/>
    <w:rsid w:val="000D3581"/>
    <w:rsid w:val="000D3593"/>
    <w:rsid w:val="000D3730"/>
    <w:rsid w:val="000D3BB1"/>
    <w:rsid w:val="000D3D14"/>
    <w:rsid w:val="000D3E8F"/>
    <w:rsid w:val="000D4085"/>
    <w:rsid w:val="000D46F4"/>
    <w:rsid w:val="000D498F"/>
    <w:rsid w:val="000D4C5A"/>
    <w:rsid w:val="000D4FFF"/>
    <w:rsid w:val="000D544F"/>
    <w:rsid w:val="000D5473"/>
    <w:rsid w:val="000D5671"/>
    <w:rsid w:val="000D58F5"/>
    <w:rsid w:val="000D59A1"/>
    <w:rsid w:val="000D5B04"/>
    <w:rsid w:val="000D5D5D"/>
    <w:rsid w:val="000D5E2F"/>
    <w:rsid w:val="000D5E7F"/>
    <w:rsid w:val="000D5FE8"/>
    <w:rsid w:val="000D6047"/>
    <w:rsid w:val="000D612F"/>
    <w:rsid w:val="000D6283"/>
    <w:rsid w:val="000D647F"/>
    <w:rsid w:val="000D6588"/>
    <w:rsid w:val="000D6E92"/>
    <w:rsid w:val="000D7234"/>
    <w:rsid w:val="000D75DD"/>
    <w:rsid w:val="000D76E4"/>
    <w:rsid w:val="000D7787"/>
    <w:rsid w:val="000D7BA8"/>
    <w:rsid w:val="000D7CFD"/>
    <w:rsid w:val="000D7E4A"/>
    <w:rsid w:val="000D7EB3"/>
    <w:rsid w:val="000E0283"/>
    <w:rsid w:val="000E0582"/>
    <w:rsid w:val="000E0B7C"/>
    <w:rsid w:val="000E0D3C"/>
    <w:rsid w:val="000E0D9A"/>
    <w:rsid w:val="000E17CB"/>
    <w:rsid w:val="000E1A6E"/>
    <w:rsid w:val="000E1ACE"/>
    <w:rsid w:val="000E1BA3"/>
    <w:rsid w:val="000E1C59"/>
    <w:rsid w:val="000E1F7A"/>
    <w:rsid w:val="000E203A"/>
    <w:rsid w:val="000E211D"/>
    <w:rsid w:val="000E21BA"/>
    <w:rsid w:val="000E22FC"/>
    <w:rsid w:val="000E248C"/>
    <w:rsid w:val="000E259D"/>
    <w:rsid w:val="000E2765"/>
    <w:rsid w:val="000E2817"/>
    <w:rsid w:val="000E28CA"/>
    <w:rsid w:val="000E2A66"/>
    <w:rsid w:val="000E2A6B"/>
    <w:rsid w:val="000E2AA8"/>
    <w:rsid w:val="000E2B54"/>
    <w:rsid w:val="000E2C6F"/>
    <w:rsid w:val="000E2FDC"/>
    <w:rsid w:val="000E3148"/>
    <w:rsid w:val="000E3163"/>
    <w:rsid w:val="000E316F"/>
    <w:rsid w:val="000E3348"/>
    <w:rsid w:val="000E3385"/>
    <w:rsid w:val="000E3DE0"/>
    <w:rsid w:val="000E3FDD"/>
    <w:rsid w:val="000E408B"/>
    <w:rsid w:val="000E436B"/>
    <w:rsid w:val="000E4489"/>
    <w:rsid w:val="000E45DE"/>
    <w:rsid w:val="000E5118"/>
    <w:rsid w:val="000E5259"/>
    <w:rsid w:val="000E5450"/>
    <w:rsid w:val="000E5788"/>
    <w:rsid w:val="000E5A3D"/>
    <w:rsid w:val="000E5C9D"/>
    <w:rsid w:val="000E5CB2"/>
    <w:rsid w:val="000E5E07"/>
    <w:rsid w:val="000E627D"/>
    <w:rsid w:val="000E6720"/>
    <w:rsid w:val="000E6742"/>
    <w:rsid w:val="000E67A8"/>
    <w:rsid w:val="000E6C72"/>
    <w:rsid w:val="000E6D40"/>
    <w:rsid w:val="000E755B"/>
    <w:rsid w:val="000E7624"/>
    <w:rsid w:val="000E776D"/>
    <w:rsid w:val="000E777B"/>
    <w:rsid w:val="000E7896"/>
    <w:rsid w:val="000E7ADA"/>
    <w:rsid w:val="000E7C84"/>
    <w:rsid w:val="000F020D"/>
    <w:rsid w:val="000F033F"/>
    <w:rsid w:val="000F0631"/>
    <w:rsid w:val="000F095E"/>
    <w:rsid w:val="000F0989"/>
    <w:rsid w:val="000F0BDB"/>
    <w:rsid w:val="000F1085"/>
    <w:rsid w:val="000F1398"/>
    <w:rsid w:val="000F141E"/>
    <w:rsid w:val="000F1532"/>
    <w:rsid w:val="000F1B5E"/>
    <w:rsid w:val="000F2388"/>
    <w:rsid w:val="000F2949"/>
    <w:rsid w:val="000F2950"/>
    <w:rsid w:val="000F2955"/>
    <w:rsid w:val="000F2C91"/>
    <w:rsid w:val="000F2E48"/>
    <w:rsid w:val="000F30E7"/>
    <w:rsid w:val="000F3650"/>
    <w:rsid w:val="000F378D"/>
    <w:rsid w:val="000F37D4"/>
    <w:rsid w:val="000F382E"/>
    <w:rsid w:val="000F38C3"/>
    <w:rsid w:val="000F3A8B"/>
    <w:rsid w:val="000F3D1E"/>
    <w:rsid w:val="000F3E1A"/>
    <w:rsid w:val="000F3ED2"/>
    <w:rsid w:val="000F3EDB"/>
    <w:rsid w:val="000F404A"/>
    <w:rsid w:val="000F4812"/>
    <w:rsid w:val="000F4A40"/>
    <w:rsid w:val="000F4C87"/>
    <w:rsid w:val="000F4D2A"/>
    <w:rsid w:val="000F5028"/>
    <w:rsid w:val="000F51F2"/>
    <w:rsid w:val="000F5614"/>
    <w:rsid w:val="000F597E"/>
    <w:rsid w:val="000F5A9D"/>
    <w:rsid w:val="000F5AAD"/>
    <w:rsid w:val="000F5DAE"/>
    <w:rsid w:val="000F6078"/>
    <w:rsid w:val="000F60F9"/>
    <w:rsid w:val="000F63B8"/>
    <w:rsid w:val="000F63E0"/>
    <w:rsid w:val="000F6578"/>
    <w:rsid w:val="000F690F"/>
    <w:rsid w:val="000F6AF0"/>
    <w:rsid w:val="000F6BE4"/>
    <w:rsid w:val="000F6BFE"/>
    <w:rsid w:val="000F6C65"/>
    <w:rsid w:val="000F6FBE"/>
    <w:rsid w:val="000F738F"/>
    <w:rsid w:val="000F7445"/>
    <w:rsid w:val="000F7661"/>
    <w:rsid w:val="000F79C5"/>
    <w:rsid w:val="000F7E5B"/>
    <w:rsid w:val="000F7F7F"/>
    <w:rsid w:val="001000ED"/>
    <w:rsid w:val="00100471"/>
    <w:rsid w:val="0010051E"/>
    <w:rsid w:val="001008AA"/>
    <w:rsid w:val="00100EEF"/>
    <w:rsid w:val="00100F17"/>
    <w:rsid w:val="001011B1"/>
    <w:rsid w:val="001015FC"/>
    <w:rsid w:val="00101738"/>
    <w:rsid w:val="00101860"/>
    <w:rsid w:val="00101A5E"/>
    <w:rsid w:val="00101D7E"/>
    <w:rsid w:val="00101EBE"/>
    <w:rsid w:val="00101F1B"/>
    <w:rsid w:val="00102090"/>
    <w:rsid w:val="001020AD"/>
    <w:rsid w:val="001020CE"/>
    <w:rsid w:val="001021DF"/>
    <w:rsid w:val="00102265"/>
    <w:rsid w:val="0010249A"/>
    <w:rsid w:val="00102567"/>
    <w:rsid w:val="001027C0"/>
    <w:rsid w:val="00102E93"/>
    <w:rsid w:val="00102EBC"/>
    <w:rsid w:val="001031B4"/>
    <w:rsid w:val="001037D8"/>
    <w:rsid w:val="00103A08"/>
    <w:rsid w:val="00103A94"/>
    <w:rsid w:val="00103BF4"/>
    <w:rsid w:val="00103C19"/>
    <w:rsid w:val="00103D7C"/>
    <w:rsid w:val="0010409C"/>
    <w:rsid w:val="00104440"/>
    <w:rsid w:val="001044AC"/>
    <w:rsid w:val="00104B92"/>
    <w:rsid w:val="0010506A"/>
    <w:rsid w:val="0010513B"/>
    <w:rsid w:val="0010536F"/>
    <w:rsid w:val="00105382"/>
    <w:rsid w:val="0010542A"/>
    <w:rsid w:val="001054E0"/>
    <w:rsid w:val="001055F1"/>
    <w:rsid w:val="00105667"/>
    <w:rsid w:val="00105670"/>
    <w:rsid w:val="00105733"/>
    <w:rsid w:val="001058D3"/>
    <w:rsid w:val="001059D9"/>
    <w:rsid w:val="00105A9F"/>
    <w:rsid w:val="00105ECB"/>
    <w:rsid w:val="00105F28"/>
    <w:rsid w:val="0010619F"/>
    <w:rsid w:val="001062E1"/>
    <w:rsid w:val="00106573"/>
    <w:rsid w:val="00106610"/>
    <w:rsid w:val="00106765"/>
    <w:rsid w:val="00106793"/>
    <w:rsid w:val="00106B67"/>
    <w:rsid w:val="00106B80"/>
    <w:rsid w:val="00106D19"/>
    <w:rsid w:val="00107146"/>
    <w:rsid w:val="0010715E"/>
    <w:rsid w:val="00107187"/>
    <w:rsid w:val="00107378"/>
    <w:rsid w:val="00107450"/>
    <w:rsid w:val="0010753E"/>
    <w:rsid w:val="0010770D"/>
    <w:rsid w:val="00107780"/>
    <w:rsid w:val="00107C2C"/>
    <w:rsid w:val="00107D4D"/>
    <w:rsid w:val="00107FB9"/>
    <w:rsid w:val="00110029"/>
    <w:rsid w:val="00110036"/>
    <w:rsid w:val="001100AB"/>
    <w:rsid w:val="0011029A"/>
    <w:rsid w:val="0011029B"/>
    <w:rsid w:val="0011062E"/>
    <w:rsid w:val="001106C8"/>
    <w:rsid w:val="00110791"/>
    <w:rsid w:val="001107CF"/>
    <w:rsid w:val="00110876"/>
    <w:rsid w:val="00110981"/>
    <w:rsid w:val="00110BE0"/>
    <w:rsid w:val="0011108F"/>
    <w:rsid w:val="00111135"/>
    <w:rsid w:val="00111339"/>
    <w:rsid w:val="00111405"/>
    <w:rsid w:val="001117DE"/>
    <w:rsid w:val="001117E5"/>
    <w:rsid w:val="001118D8"/>
    <w:rsid w:val="00111CCE"/>
    <w:rsid w:val="00111CD8"/>
    <w:rsid w:val="00111E95"/>
    <w:rsid w:val="00111F80"/>
    <w:rsid w:val="00112173"/>
    <w:rsid w:val="001128F9"/>
    <w:rsid w:val="00112C77"/>
    <w:rsid w:val="00112E32"/>
    <w:rsid w:val="00112FF3"/>
    <w:rsid w:val="001130A0"/>
    <w:rsid w:val="001133F2"/>
    <w:rsid w:val="0011345C"/>
    <w:rsid w:val="00113503"/>
    <w:rsid w:val="00113610"/>
    <w:rsid w:val="00113724"/>
    <w:rsid w:val="00113889"/>
    <w:rsid w:val="001139EF"/>
    <w:rsid w:val="00113ABC"/>
    <w:rsid w:val="00113C45"/>
    <w:rsid w:val="00113C50"/>
    <w:rsid w:val="00113C9D"/>
    <w:rsid w:val="00113E3A"/>
    <w:rsid w:val="00113E63"/>
    <w:rsid w:val="00113F1A"/>
    <w:rsid w:val="00114005"/>
    <w:rsid w:val="00114071"/>
    <w:rsid w:val="001140C8"/>
    <w:rsid w:val="00114149"/>
    <w:rsid w:val="001141CA"/>
    <w:rsid w:val="0011454D"/>
    <w:rsid w:val="00114658"/>
    <w:rsid w:val="001146B7"/>
    <w:rsid w:val="0011473B"/>
    <w:rsid w:val="00114B25"/>
    <w:rsid w:val="00114BD9"/>
    <w:rsid w:val="00114F67"/>
    <w:rsid w:val="00115044"/>
    <w:rsid w:val="00115143"/>
    <w:rsid w:val="00115289"/>
    <w:rsid w:val="00115317"/>
    <w:rsid w:val="0011547D"/>
    <w:rsid w:val="00115557"/>
    <w:rsid w:val="00115719"/>
    <w:rsid w:val="001157AD"/>
    <w:rsid w:val="00115AA3"/>
    <w:rsid w:val="00115B29"/>
    <w:rsid w:val="00115B4C"/>
    <w:rsid w:val="00115C2B"/>
    <w:rsid w:val="00115CC9"/>
    <w:rsid w:val="00115FC1"/>
    <w:rsid w:val="0011612C"/>
    <w:rsid w:val="00116219"/>
    <w:rsid w:val="00116245"/>
    <w:rsid w:val="00116710"/>
    <w:rsid w:val="0011673C"/>
    <w:rsid w:val="00116753"/>
    <w:rsid w:val="0011695B"/>
    <w:rsid w:val="00116DA0"/>
    <w:rsid w:val="00117007"/>
    <w:rsid w:val="00117036"/>
    <w:rsid w:val="00117E97"/>
    <w:rsid w:val="00117F81"/>
    <w:rsid w:val="001200F0"/>
    <w:rsid w:val="0012056F"/>
    <w:rsid w:val="0012080E"/>
    <w:rsid w:val="001208A0"/>
    <w:rsid w:val="001208F4"/>
    <w:rsid w:val="00120D04"/>
    <w:rsid w:val="00120D1C"/>
    <w:rsid w:val="00120D8B"/>
    <w:rsid w:val="00120EAE"/>
    <w:rsid w:val="0012111C"/>
    <w:rsid w:val="001212DB"/>
    <w:rsid w:val="00121315"/>
    <w:rsid w:val="00121419"/>
    <w:rsid w:val="001218E2"/>
    <w:rsid w:val="0012196A"/>
    <w:rsid w:val="001219EA"/>
    <w:rsid w:val="00121C09"/>
    <w:rsid w:val="00121C5A"/>
    <w:rsid w:val="00121D50"/>
    <w:rsid w:val="001220D2"/>
    <w:rsid w:val="00122128"/>
    <w:rsid w:val="001223FD"/>
    <w:rsid w:val="00122942"/>
    <w:rsid w:val="00122A41"/>
    <w:rsid w:val="00122C39"/>
    <w:rsid w:val="00122E8C"/>
    <w:rsid w:val="001231EE"/>
    <w:rsid w:val="0012328D"/>
    <w:rsid w:val="00123658"/>
    <w:rsid w:val="0012423E"/>
    <w:rsid w:val="00124872"/>
    <w:rsid w:val="00124873"/>
    <w:rsid w:val="001248C6"/>
    <w:rsid w:val="00124BCB"/>
    <w:rsid w:val="00124C80"/>
    <w:rsid w:val="00124FE2"/>
    <w:rsid w:val="0012513A"/>
    <w:rsid w:val="0012544B"/>
    <w:rsid w:val="00125575"/>
    <w:rsid w:val="00125803"/>
    <w:rsid w:val="00125DAA"/>
    <w:rsid w:val="00125E92"/>
    <w:rsid w:val="00125FE0"/>
    <w:rsid w:val="001265C6"/>
    <w:rsid w:val="00126D0E"/>
    <w:rsid w:val="00126F03"/>
    <w:rsid w:val="001270A9"/>
    <w:rsid w:val="0012741B"/>
    <w:rsid w:val="0012754F"/>
    <w:rsid w:val="001275D4"/>
    <w:rsid w:val="00127615"/>
    <w:rsid w:val="00127812"/>
    <w:rsid w:val="00127894"/>
    <w:rsid w:val="00127D57"/>
    <w:rsid w:val="00130158"/>
    <w:rsid w:val="001301EF"/>
    <w:rsid w:val="00130573"/>
    <w:rsid w:val="00130632"/>
    <w:rsid w:val="001308CC"/>
    <w:rsid w:val="00130A00"/>
    <w:rsid w:val="00130A31"/>
    <w:rsid w:val="00130D6D"/>
    <w:rsid w:val="00130D8D"/>
    <w:rsid w:val="00131150"/>
    <w:rsid w:val="001315E7"/>
    <w:rsid w:val="001316B1"/>
    <w:rsid w:val="00131A75"/>
    <w:rsid w:val="0013208C"/>
    <w:rsid w:val="001321EF"/>
    <w:rsid w:val="0013241F"/>
    <w:rsid w:val="001325D9"/>
    <w:rsid w:val="00132685"/>
    <w:rsid w:val="00132694"/>
    <w:rsid w:val="00132A5C"/>
    <w:rsid w:val="0013310C"/>
    <w:rsid w:val="001334B1"/>
    <w:rsid w:val="001338C1"/>
    <w:rsid w:val="00133A04"/>
    <w:rsid w:val="00133A32"/>
    <w:rsid w:val="00133D09"/>
    <w:rsid w:val="00134194"/>
    <w:rsid w:val="00134390"/>
    <w:rsid w:val="00134686"/>
    <w:rsid w:val="001349F4"/>
    <w:rsid w:val="00134C09"/>
    <w:rsid w:val="00134EF9"/>
    <w:rsid w:val="0013536E"/>
    <w:rsid w:val="00135512"/>
    <w:rsid w:val="00135833"/>
    <w:rsid w:val="00135A58"/>
    <w:rsid w:val="00135A8E"/>
    <w:rsid w:val="00135AB2"/>
    <w:rsid w:val="00135ADC"/>
    <w:rsid w:val="00135DAA"/>
    <w:rsid w:val="00135F5C"/>
    <w:rsid w:val="00136298"/>
    <w:rsid w:val="00136324"/>
    <w:rsid w:val="0013632F"/>
    <w:rsid w:val="0013644F"/>
    <w:rsid w:val="0013681E"/>
    <w:rsid w:val="00136836"/>
    <w:rsid w:val="001369EE"/>
    <w:rsid w:val="00136A0D"/>
    <w:rsid w:val="0013790E"/>
    <w:rsid w:val="00137BC5"/>
    <w:rsid w:val="00137C72"/>
    <w:rsid w:val="00137CF7"/>
    <w:rsid w:val="00137ED7"/>
    <w:rsid w:val="00140043"/>
    <w:rsid w:val="001400B3"/>
    <w:rsid w:val="0014029C"/>
    <w:rsid w:val="00140300"/>
    <w:rsid w:val="00140669"/>
    <w:rsid w:val="00140784"/>
    <w:rsid w:val="00140913"/>
    <w:rsid w:val="0014099C"/>
    <w:rsid w:val="00140A4C"/>
    <w:rsid w:val="00140BF1"/>
    <w:rsid w:val="00140C5D"/>
    <w:rsid w:val="00140F22"/>
    <w:rsid w:val="0014115F"/>
    <w:rsid w:val="001412D0"/>
    <w:rsid w:val="0014142A"/>
    <w:rsid w:val="00141596"/>
    <w:rsid w:val="00141969"/>
    <w:rsid w:val="00141C19"/>
    <w:rsid w:val="00141D02"/>
    <w:rsid w:val="00142033"/>
    <w:rsid w:val="00142092"/>
    <w:rsid w:val="00142144"/>
    <w:rsid w:val="0014217F"/>
    <w:rsid w:val="001423F4"/>
    <w:rsid w:val="00142882"/>
    <w:rsid w:val="0014288C"/>
    <w:rsid w:val="00142BAC"/>
    <w:rsid w:val="00142CDB"/>
    <w:rsid w:val="00142F25"/>
    <w:rsid w:val="00142F8F"/>
    <w:rsid w:val="00142FDD"/>
    <w:rsid w:val="00143134"/>
    <w:rsid w:val="0014319B"/>
    <w:rsid w:val="00143254"/>
    <w:rsid w:val="001432B0"/>
    <w:rsid w:val="00143333"/>
    <w:rsid w:val="0014345C"/>
    <w:rsid w:val="001434C8"/>
    <w:rsid w:val="0014350D"/>
    <w:rsid w:val="00143EF9"/>
    <w:rsid w:val="001440CE"/>
    <w:rsid w:val="0014450F"/>
    <w:rsid w:val="001449F4"/>
    <w:rsid w:val="00144EC9"/>
    <w:rsid w:val="001450AA"/>
    <w:rsid w:val="0014521A"/>
    <w:rsid w:val="0014555B"/>
    <w:rsid w:val="0014567A"/>
    <w:rsid w:val="00145981"/>
    <w:rsid w:val="001459EB"/>
    <w:rsid w:val="00145CFB"/>
    <w:rsid w:val="00145D9F"/>
    <w:rsid w:val="00145F02"/>
    <w:rsid w:val="001463D2"/>
    <w:rsid w:val="001464F8"/>
    <w:rsid w:val="001466BA"/>
    <w:rsid w:val="001466BE"/>
    <w:rsid w:val="00146A3E"/>
    <w:rsid w:val="00146DC5"/>
    <w:rsid w:val="00146E62"/>
    <w:rsid w:val="001472E0"/>
    <w:rsid w:val="00147352"/>
    <w:rsid w:val="00147379"/>
    <w:rsid w:val="0014746C"/>
    <w:rsid w:val="00147600"/>
    <w:rsid w:val="0014770F"/>
    <w:rsid w:val="00147810"/>
    <w:rsid w:val="001478C5"/>
    <w:rsid w:val="001478DA"/>
    <w:rsid w:val="00147EC7"/>
    <w:rsid w:val="00150103"/>
    <w:rsid w:val="00150360"/>
    <w:rsid w:val="0015045F"/>
    <w:rsid w:val="001507DD"/>
    <w:rsid w:val="00150B21"/>
    <w:rsid w:val="00150C93"/>
    <w:rsid w:val="00150D26"/>
    <w:rsid w:val="00151025"/>
    <w:rsid w:val="001511BC"/>
    <w:rsid w:val="0015127B"/>
    <w:rsid w:val="00151287"/>
    <w:rsid w:val="00151336"/>
    <w:rsid w:val="0015137B"/>
    <w:rsid w:val="00151491"/>
    <w:rsid w:val="0015184B"/>
    <w:rsid w:val="001519AC"/>
    <w:rsid w:val="00152375"/>
    <w:rsid w:val="0015275B"/>
    <w:rsid w:val="0015289E"/>
    <w:rsid w:val="00152A31"/>
    <w:rsid w:val="00152B54"/>
    <w:rsid w:val="00152FF9"/>
    <w:rsid w:val="001530E8"/>
    <w:rsid w:val="00153267"/>
    <w:rsid w:val="00153476"/>
    <w:rsid w:val="0015397E"/>
    <w:rsid w:val="00154598"/>
    <w:rsid w:val="001548A6"/>
    <w:rsid w:val="00154944"/>
    <w:rsid w:val="00154AAF"/>
    <w:rsid w:val="00154ADC"/>
    <w:rsid w:val="00154B05"/>
    <w:rsid w:val="00154D0D"/>
    <w:rsid w:val="00154D61"/>
    <w:rsid w:val="00155253"/>
    <w:rsid w:val="00155744"/>
    <w:rsid w:val="00155886"/>
    <w:rsid w:val="00155C22"/>
    <w:rsid w:val="00155E2C"/>
    <w:rsid w:val="001560D6"/>
    <w:rsid w:val="0015610B"/>
    <w:rsid w:val="001561CA"/>
    <w:rsid w:val="00156279"/>
    <w:rsid w:val="00156662"/>
    <w:rsid w:val="00156992"/>
    <w:rsid w:val="00156A0C"/>
    <w:rsid w:val="00156EE8"/>
    <w:rsid w:val="00156F6E"/>
    <w:rsid w:val="001572BD"/>
    <w:rsid w:val="001575AB"/>
    <w:rsid w:val="0015767A"/>
    <w:rsid w:val="001576BC"/>
    <w:rsid w:val="00157955"/>
    <w:rsid w:val="0015798F"/>
    <w:rsid w:val="00157ED5"/>
    <w:rsid w:val="0016031E"/>
    <w:rsid w:val="00160645"/>
    <w:rsid w:val="00160871"/>
    <w:rsid w:val="001609F6"/>
    <w:rsid w:val="001610BE"/>
    <w:rsid w:val="00161101"/>
    <w:rsid w:val="001614B9"/>
    <w:rsid w:val="00161587"/>
    <w:rsid w:val="00161820"/>
    <w:rsid w:val="00161949"/>
    <w:rsid w:val="00161B7D"/>
    <w:rsid w:val="00161F1C"/>
    <w:rsid w:val="001620BC"/>
    <w:rsid w:val="0016238E"/>
    <w:rsid w:val="001627C6"/>
    <w:rsid w:val="00162A21"/>
    <w:rsid w:val="00162ABE"/>
    <w:rsid w:val="00162ADE"/>
    <w:rsid w:val="00162D1C"/>
    <w:rsid w:val="00162EAE"/>
    <w:rsid w:val="00163459"/>
    <w:rsid w:val="001635CA"/>
    <w:rsid w:val="00163820"/>
    <w:rsid w:val="001638DD"/>
    <w:rsid w:val="00163BBD"/>
    <w:rsid w:val="00163C8D"/>
    <w:rsid w:val="00163CAC"/>
    <w:rsid w:val="00163CB0"/>
    <w:rsid w:val="00163DC9"/>
    <w:rsid w:val="0016420A"/>
    <w:rsid w:val="0016458B"/>
    <w:rsid w:val="001645D4"/>
    <w:rsid w:val="001645E2"/>
    <w:rsid w:val="00164690"/>
    <w:rsid w:val="00164786"/>
    <w:rsid w:val="00165495"/>
    <w:rsid w:val="001656CC"/>
    <w:rsid w:val="0016573F"/>
    <w:rsid w:val="001658FC"/>
    <w:rsid w:val="00165923"/>
    <w:rsid w:val="001660DE"/>
    <w:rsid w:val="001662BC"/>
    <w:rsid w:val="00166376"/>
    <w:rsid w:val="00166416"/>
    <w:rsid w:val="0016662C"/>
    <w:rsid w:val="0016677B"/>
    <w:rsid w:val="00166AF3"/>
    <w:rsid w:val="00166D24"/>
    <w:rsid w:val="00166FBD"/>
    <w:rsid w:val="00166FC5"/>
    <w:rsid w:val="0016722F"/>
    <w:rsid w:val="001674B8"/>
    <w:rsid w:val="00167C11"/>
    <w:rsid w:val="00167EE3"/>
    <w:rsid w:val="00170036"/>
    <w:rsid w:val="00170160"/>
    <w:rsid w:val="0017045A"/>
    <w:rsid w:val="00170486"/>
    <w:rsid w:val="001705BF"/>
    <w:rsid w:val="0017075D"/>
    <w:rsid w:val="00170897"/>
    <w:rsid w:val="00170A3B"/>
    <w:rsid w:val="00170F48"/>
    <w:rsid w:val="00171345"/>
    <w:rsid w:val="00171721"/>
    <w:rsid w:val="001717C8"/>
    <w:rsid w:val="0017190C"/>
    <w:rsid w:val="001719CE"/>
    <w:rsid w:val="00171C29"/>
    <w:rsid w:val="001720EA"/>
    <w:rsid w:val="0017257C"/>
    <w:rsid w:val="001726B4"/>
    <w:rsid w:val="00172820"/>
    <w:rsid w:val="00172971"/>
    <w:rsid w:val="00172E3C"/>
    <w:rsid w:val="00173301"/>
    <w:rsid w:val="0017364B"/>
    <w:rsid w:val="00173C51"/>
    <w:rsid w:val="00173E19"/>
    <w:rsid w:val="00173FBE"/>
    <w:rsid w:val="001742C5"/>
    <w:rsid w:val="00174573"/>
    <w:rsid w:val="001748A2"/>
    <w:rsid w:val="0017490F"/>
    <w:rsid w:val="00174BA6"/>
    <w:rsid w:val="00174BB3"/>
    <w:rsid w:val="001751BD"/>
    <w:rsid w:val="001752BE"/>
    <w:rsid w:val="00175542"/>
    <w:rsid w:val="001755AC"/>
    <w:rsid w:val="001757EE"/>
    <w:rsid w:val="001759C8"/>
    <w:rsid w:val="001761C3"/>
    <w:rsid w:val="00176478"/>
    <w:rsid w:val="001765EF"/>
    <w:rsid w:val="0017678F"/>
    <w:rsid w:val="001767A8"/>
    <w:rsid w:val="001768D5"/>
    <w:rsid w:val="00176999"/>
    <w:rsid w:val="00176B80"/>
    <w:rsid w:val="00176F8A"/>
    <w:rsid w:val="00176FA3"/>
    <w:rsid w:val="0017727E"/>
    <w:rsid w:val="00177315"/>
    <w:rsid w:val="00177324"/>
    <w:rsid w:val="00177329"/>
    <w:rsid w:val="00177931"/>
    <w:rsid w:val="00177BEE"/>
    <w:rsid w:val="00177EAF"/>
    <w:rsid w:val="0018014F"/>
    <w:rsid w:val="001801E3"/>
    <w:rsid w:val="001804D1"/>
    <w:rsid w:val="001806A2"/>
    <w:rsid w:val="001809FC"/>
    <w:rsid w:val="00180D9A"/>
    <w:rsid w:val="00180E79"/>
    <w:rsid w:val="00180E8B"/>
    <w:rsid w:val="00180F03"/>
    <w:rsid w:val="0018102E"/>
    <w:rsid w:val="00181598"/>
    <w:rsid w:val="0018175C"/>
    <w:rsid w:val="00181965"/>
    <w:rsid w:val="001819D7"/>
    <w:rsid w:val="00181ED3"/>
    <w:rsid w:val="00181EEB"/>
    <w:rsid w:val="0018202F"/>
    <w:rsid w:val="00182093"/>
    <w:rsid w:val="001823B4"/>
    <w:rsid w:val="0018263A"/>
    <w:rsid w:val="0018264C"/>
    <w:rsid w:val="00182992"/>
    <w:rsid w:val="00182B0D"/>
    <w:rsid w:val="00182CBE"/>
    <w:rsid w:val="00182D1F"/>
    <w:rsid w:val="00182EE6"/>
    <w:rsid w:val="001833BB"/>
    <w:rsid w:val="0018365C"/>
    <w:rsid w:val="0018396F"/>
    <w:rsid w:val="00183E81"/>
    <w:rsid w:val="001843F0"/>
    <w:rsid w:val="0018449F"/>
    <w:rsid w:val="00184503"/>
    <w:rsid w:val="0018482C"/>
    <w:rsid w:val="001848C3"/>
    <w:rsid w:val="00184AFA"/>
    <w:rsid w:val="00184C1B"/>
    <w:rsid w:val="00184D39"/>
    <w:rsid w:val="00185129"/>
    <w:rsid w:val="00185237"/>
    <w:rsid w:val="001854AE"/>
    <w:rsid w:val="00185585"/>
    <w:rsid w:val="0018566C"/>
    <w:rsid w:val="0018572C"/>
    <w:rsid w:val="0018589E"/>
    <w:rsid w:val="001858EB"/>
    <w:rsid w:val="001859E9"/>
    <w:rsid w:val="00185AC2"/>
    <w:rsid w:val="00185EA7"/>
    <w:rsid w:val="00186488"/>
    <w:rsid w:val="00186492"/>
    <w:rsid w:val="00186675"/>
    <w:rsid w:val="0018669D"/>
    <w:rsid w:val="0018671A"/>
    <w:rsid w:val="00186874"/>
    <w:rsid w:val="00186B23"/>
    <w:rsid w:val="00186B4B"/>
    <w:rsid w:val="00186E98"/>
    <w:rsid w:val="00186F66"/>
    <w:rsid w:val="001872B3"/>
    <w:rsid w:val="00187356"/>
    <w:rsid w:val="0018753F"/>
    <w:rsid w:val="0018760D"/>
    <w:rsid w:val="00187881"/>
    <w:rsid w:val="00187ACE"/>
    <w:rsid w:val="00187E7D"/>
    <w:rsid w:val="00190440"/>
    <w:rsid w:val="001904C2"/>
    <w:rsid w:val="0019057C"/>
    <w:rsid w:val="001905D4"/>
    <w:rsid w:val="001907AA"/>
    <w:rsid w:val="00190EDF"/>
    <w:rsid w:val="00191783"/>
    <w:rsid w:val="00192012"/>
    <w:rsid w:val="0019218D"/>
    <w:rsid w:val="00192308"/>
    <w:rsid w:val="00192626"/>
    <w:rsid w:val="0019263A"/>
    <w:rsid w:val="00192800"/>
    <w:rsid w:val="00192817"/>
    <w:rsid w:val="00192CEC"/>
    <w:rsid w:val="00192F02"/>
    <w:rsid w:val="00192FBD"/>
    <w:rsid w:val="001930FF"/>
    <w:rsid w:val="00193166"/>
    <w:rsid w:val="00193214"/>
    <w:rsid w:val="00193AE0"/>
    <w:rsid w:val="00193B11"/>
    <w:rsid w:val="00193E09"/>
    <w:rsid w:val="00194D1E"/>
    <w:rsid w:val="00194D7B"/>
    <w:rsid w:val="00194F3F"/>
    <w:rsid w:val="00194F72"/>
    <w:rsid w:val="00195249"/>
    <w:rsid w:val="001953A5"/>
    <w:rsid w:val="00195440"/>
    <w:rsid w:val="00195817"/>
    <w:rsid w:val="00195850"/>
    <w:rsid w:val="00195892"/>
    <w:rsid w:val="00195929"/>
    <w:rsid w:val="00195AD8"/>
    <w:rsid w:val="00195B1D"/>
    <w:rsid w:val="00195B8D"/>
    <w:rsid w:val="00195C9E"/>
    <w:rsid w:val="00195DE9"/>
    <w:rsid w:val="00195E64"/>
    <w:rsid w:val="00196477"/>
    <w:rsid w:val="001964A5"/>
    <w:rsid w:val="0019651C"/>
    <w:rsid w:val="0019654E"/>
    <w:rsid w:val="001966B0"/>
    <w:rsid w:val="00196803"/>
    <w:rsid w:val="00196893"/>
    <w:rsid w:val="001968DA"/>
    <w:rsid w:val="0019699D"/>
    <w:rsid w:val="00196A7F"/>
    <w:rsid w:val="00196B94"/>
    <w:rsid w:val="00196C2B"/>
    <w:rsid w:val="00196D83"/>
    <w:rsid w:val="00197BD1"/>
    <w:rsid w:val="00197D26"/>
    <w:rsid w:val="00197D4B"/>
    <w:rsid w:val="001A00D1"/>
    <w:rsid w:val="001A0173"/>
    <w:rsid w:val="001A019A"/>
    <w:rsid w:val="001A01C4"/>
    <w:rsid w:val="001A01FF"/>
    <w:rsid w:val="001A02F8"/>
    <w:rsid w:val="001A03AE"/>
    <w:rsid w:val="001A05A6"/>
    <w:rsid w:val="001A08EA"/>
    <w:rsid w:val="001A092A"/>
    <w:rsid w:val="001A094A"/>
    <w:rsid w:val="001A0A47"/>
    <w:rsid w:val="001A0C6B"/>
    <w:rsid w:val="001A174A"/>
    <w:rsid w:val="001A1760"/>
    <w:rsid w:val="001A197F"/>
    <w:rsid w:val="001A1995"/>
    <w:rsid w:val="001A1CAB"/>
    <w:rsid w:val="001A1ECB"/>
    <w:rsid w:val="001A25F2"/>
    <w:rsid w:val="001A29DB"/>
    <w:rsid w:val="001A2DB7"/>
    <w:rsid w:val="001A351C"/>
    <w:rsid w:val="001A35FB"/>
    <w:rsid w:val="001A37E5"/>
    <w:rsid w:val="001A3EB1"/>
    <w:rsid w:val="001A40AB"/>
    <w:rsid w:val="001A4118"/>
    <w:rsid w:val="001A423C"/>
    <w:rsid w:val="001A4262"/>
    <w:rsid w:val="001A42CC"/>
    <w:rsid w:val="001A47B9"/>
    <w:rsid w:val="001A48C1"/>
    <w:rsid w:val="001A4956"/>
    <w:rsid w:val="001A4970"/>
    <w:rsid w:val="001A4CD9"/>
    <w:rsid w:val="001A4DFF"/>
    <w:rsid w:val="001A4E2D"/>
    <w:rsid w:val="001A4EDC"/>
    <w:rsid w:val="001A5836"/>
    <w:rsid w:val="001A58AF"/>
    <w:rsid w:val="001A58D9"/>
    <w:rsid w:val="001A5FAD"/>
    <w:rsid w:val="001A5FB9"/>
    <w:rsid w:val="001A5FC4"/>
    <w:rsid w:val="001A6084"/>
    <w:rsid w:val="001A611C"/>
    <w:rsid w:val="001A6253"/>
    <w:rsid w:val="001A6490"/>
    <w:rsid w:val="001A6905"/>
    <w:rsid w:val="001A6966"/>
    <w:rsid w:val="001A6987"/>
    <w:rsid w:val="001A6AA0"/>
    <w:rsid w:val="001A6ABF"/>
    <w:rsid w:val="001A7C98"/>
    <w:rsid w:val="001B0032"/>
    <w:rsid w:val="001B0099"/>
    <w:rsid w:val="001B009B"/>
    <w:rsid w:val="001B05E2"/>
    <w:rsid w:val="001B0B64"/>
    <w:rsid w:val="001B0D01"/>
    <w:rsid w:val="001B0E43"/>
    <w:rsid w:val="001B0EC9"/>
    <w:rsid w:val="001B1841"/>
    <w:rsid w:val="001B1C47"/>
    <w:rsid w:val="001B1C48"/>
    <w:rsid w:val="001B1D33"/>
    <w:rsid w:val="001B1E29"/>
    <w:rsid w:val="001B1E34"/>
    <w:rsid w:val="001B1E81"/>
    <w:rsid w:val="001B217D"/>
    <w:rsid w:val="001B276A"/>
    <w:rsid w:val="001B2B32"/>
    <w:rsid w:val="001B2B7C"/>
    <w:rsid w:val="001B3034"/>
    <w:rsid w:val="001B31E6"/>
    <w:rsid w:val="001B32AF"/>
    <w:rsid w:val="001B32E0"/>
    <w:rsid w:val="001B35CF"/>
    <w:rsid w:val="001B36C6"/>
    <w:rsid w:val="001B3841"/>
    <w:rsid w:val="001B3A8F"/>
    <w:rsid w:val="001B3C85"/>
    <w:rsid w:val="001B3CF3"/>
    <w:rsid w:val="001B3EF7"/>
    <w:rsid w:val="001B3F12"/>
    <w:rsid w:val="001B3FAD"/>
    <w:rsid w:val="001B3FB7"/>
    <w:rsid w:val="001B4244"/>
    <w:rsid w:val="001B4445"/>
    <w:rsid w:val="001B4739"/>
    <w:rsid w:val="001B491E"/>
    <w:rsid w:val="001B4998"/>
    <w:rsid w:val="001B4D9D"/>
    <w:rsid w:val="001B4EDE"/>
    <w:rsid w:val="001B531C"/>
    <w:rsid w:val="001B53DF"/>
    <w:rsid w:val="001B56E1"/>
    <w:rsid w:val="001B57FB"/>
    <w:rsid w:val="001B5F9C"/>
    <w:rsid w:val="001B5FB4"/>
    <w:rsid w:val="001B5FEA"/>
    <w:rsid w:val="001B60A0"/>
    <w:rsid w:val="001B6207"/>
    <w:rsid w:val="001B65C4"/>
    <w:rsid w:val="001B6661"/>
    <w:rsid w:val="001B6EA5"/>
    <w:rsid w:val="001B7086"/>
    <w:rsid w:val="001B70BF"/>
    <w:rsid w:val="001B70E4"/>
    <w:rsid w:val="001B72C9"/>
    <w:rsid w:val="001B7556"/>
    <w:rsid w:val="001B7A7B"/>
    <w:rsid w:val="001B7C9F"/>
    <w:rsid w:val="001C01C8"/>
    <w:rsid w:val="001C0249"/>
    <w:rsid w:val="001C07D6"/>
    <w:rsid w:val="001C0DD8"/>
    <w:rsid w:val="001C0FB3"/>
    <w:rsid w:val="001C10C7"/>
    <w:rsid w:val="001C132F"/>
    <w:rsid w:val="001C1581"/>
    <w:rsid w:val="001C1B06"/>
    <w:rsid w:val="001C1F91"/>
    <w:rsid w:val="001C2087"/>
    <w:rsid w:val="001C21F6"/>
    <w:rsid w:val="001C25F0"/>
    <w:rsid w:val="001C26D0"/>
    <w:rsid w:val="001C272A"/>
    <w:rsid w:val="001C28B7"/>
    <w:rsid w:val="001C28D5"/>
    <w:rsid w:val="001C2DA1"/>
    <w:rsid w:val="001C2ECB"/>
    <w:rsid w:val="001C2ECF"/>
    <w:rsid w:val="001C363B"/>
    <w:rsid w:val="001C3F88"/>
    <w:rsid w:val="001C40F3"/>
    <w:rsid w:val="001C422C"/>
    <w:rsid w:val="001C445F"/>
    <w:rsid w:val="001C452D"/>
    <w:rsid w:val="001C4785"/>
    <w:rsid w:val="001C48A6"/>
    <w:rsid w:val="001C48AD"/>
    <w:rsid w:val="001C4ABB"/>
    <w:rsid w:val="001C4B52"/>
    <w:rsid w:val="001C50E4"/>
    <w:rsid w:val="001C5BE9"/>
    <w:rsid w:val="001C5DEE"/>
    <w:rsid w:val="001C5E73"/>
    <w:rsid w:val="001C60A0"/>
    <w:rsid w:val="001C62AB"/>
    <w:rsid w:val="001C64A2"/>
    <w:rsid w:val="001C65BE"/>
    <w:rsid w:val="001C665B"/>
    <w:rsid w:val="001C6779"/>
    <w:rsid w:val="001C69A2"/>
    <w:rsid w:val="001C6DBA"/>
    <w:rsid w:val="001C6EAD"/>
    <w:rsid w:val="001C724D"/>
    <w:rsid w:val="001C7485"/>
    <w:rsid w:val="001C7899"/>
    <w:rsid w:val="001C78F3"/>
    <w:rsid w:val="001C7AC6"/>
    <w:rsid w:val="001C7E11"/>
    <w:rsid w:val="001C7F25"/>
    <w:rsid w:val="001D01F2"/>
    <w:rsid w:val="001D049C"/>
    <w:rsid w:val="001D0534"/>
    <w:rsid w:val="001D0770"/>
    <w:rsid w:val="001D0886"/>
    <w:rsid w:val="001D09A5"/>
    <w:rsid w:val="001D0A2B"/>
    <w:rsid w:val="001D0A3E"/>
    <w:rsid w:val="001D0E92"/>
    <w:rsid w:val="001D12AD"/>
    <w:rsid w:val="001D1314"/>
    <w:rsid w:val="001D15B9"/>
    <w:rsid w:val="001D1752"/>
    <w:rsid w:val="001D1A3F"/>
    <w:rsid w:val="001D1A83"/>
    <w:rsid w:val="001D1D03"/>
    <w:rsid w:val="001D1EF1"/>
    <w:rsid w:val="001D208E"/>
    <w:rsid w:val="001D2B4E"/>
    <w:rsid w:val="001D2C9D"/>
    <w:rsid w:val="001D2E0C"/>
    <w:rsid w:val="001D2E1D"/>
    <w:rsid w:val="001D308C"/>
    <w:rsid w:val="001D384A"/>
    <w:rsid w:val="001D3CCC"/>
    <w:rsid w:val="001D3D33"/>
    <w:rsid w:val="001D404A"/>
    <w:rsid w:val="001D414D"/>
    <w:rsid w:val="001D44B8"/>
    <w:rsid w:val="001D44F3"/>
    <w:rsid w:val="001D455F"/>
    <w:rsid w:val="001D4659"/>
    <w:rsid w:val="001D4C7A"/>
    <w:rsid w:val="001D4D04"/>
    <w:rsid w:val="001D4D95"/>
    <w:rsid w:val="001D4E9F"/>
    <w:rsid w:val="001D4F56"/>
    <w:rsid w:val="001D509C"/>
    <w:rsid w:val="001D52E3"/>
    <w:rsid w:val="001D52F1"/>
    <w:rsid w:val="001D55DB"/>
    <w:rsid w:val="001D5712"/>
    <w:rsid w:val="001D57C1"/>
    <w:rsid w:val="001D58F0"/>
    <w:rsid w:val="001D5F1C"/>
    <w:rsid w:val="001D6084"/>
    <w:rsid w:val="001D645B"/>
    <w:rsid w:val="001D6478"/>
    <w:rsid w:val="001D6684"/>
    <w:rsid w:val="001D684C"/>
    <w:rsid w:val="001D6B7E"/>
    <w:rsid w:val="001D6FE4"/>
    <w:rsid w:val="001D701F"/>
    <w:rsid w:val="001D7247"/>
    <w:rsid w:val="001D72C6"/>
    <w:rsid w:val="001D74D7"/>
    <w:rsid w:val="001D76BB"/>
    <w:rsid w:val="001D7746"/>
    <w:rsid w:val="001D7B01"/>
    <w:rsid w:val="001D7B2F"/>
    <w:rsid w:val="001D7D38"/>
    <w:rsid w:val="001D7D66"/>
    <w:rsid w:val="001D7DE6"/>
    <w:rsid w:val="001E0022"/>
    <w:rsid w:val="001E030C"/>
    <w:rsid w:val="001E0563"/>
    <w:rsid w:val="001E05D0"/>
    <w:rsid w:val="001E0751"/>
    <w:rsid w:val="001E087A"/>
    <w:rsid w:val="001E0A62"/>
    <w:rsid w:val="001E0C2E"/>
    <w:rsid w:val="001E14C7"/>
    <w:rsid w:val="001E1A2F"/>
    <w:rsid w:val="001E1B7C"/>
    <w:rsid w:val="001E1E69"/>
    <w:rsid w:val="001E1F7B"/>
    <w:rsid w:val="001E2090"/>
    <w:rsid w:val="001E2265"/>
    <w:rsid w:val="001E2770"/>
    <w:rsid w:val="001E294B"/>
    <w:rsid w:val="001E2952"/>
    <w:rsid w:val="001E2CD8"/>
    <w:rsid w:val="001E2D05"/>
    <w:rsid w:val="001E328D"/>
    <w:rsid w:val="001E33A9"/>
    <w:rsid w:val="001E352E"/>
    <w:rsid w:val="001E3760"/>
    <w:rsid w:val="001E393B"/>
    <w:rsid w:val="001E3A0A"/>
    <w:rsid w:val="001E3A6D"/>
    <w:rsid w:val="001E3CD3"/>
    <w:rsid w:val="001E4239"/>
    <w:rsid w:val="001E4330"/>
    <w:rsid w:val="001E444E"/>
    <w:rsid w:val="001E4509"/>
    <w:rsid w:val="001E46AB"/>
    <w:rsid w:val="001E4918"/>
    <w:rsid w:val="001E4F63"/>
    <w:rsid w:val="001E5105"/>
    <w:rsid w:val="001E53A6"/>
    <w:rsid w:val="001E5BEF"/>
    <w:rsid w:val="001E5D27"/>
    <w:rsid w:val="001E5E76"/>
    <w:rsid w:val="001E5F70"/>
    <w:rsid w:val="001E601B"/>
    <w:rsid w:val="001E638A"/>
    <w:rsid w:val="001E6942"/>
    <w:rsid w:val="001E6A26"/>
    <w:rsid w:val="001E6AA0"/>
    <w:rsid w:val="001E6B6F"/>
    <w:rsid w:val="001E6E59"/>
    <w:rsid w:val="001E73B0"/>
    <w:rsid w:val="001E7665"/>
    <w:rsid w:val="001E7B5D"/>
    <w:rsid w:val="001E7C49"/>
    <w:rsid w:val="001E7CE7"/>
    <w:rsid w:val="001E7CFE"/>
    <w:rsid w:val="001F0045"/>
    <w:rsid w:val="001F0162"/>
    <w:rsid w:val="001F06C8"/>
    <w:rsid w:val="001F06D0"/>
    <w:rsid w:val="001F0781"/>
    <w:rsid w:val="001F0945"/>
    <w:rsid w:val="001F09B1"/>
    <w:rsid w:val="001F0B10"/>
    <w:rsid w:val="001F0B69"/>
    <w:rsid w:val="001F1318"/>
    <w:rsid w:val="001F15A1"/>
    <w:rsid w:val="001F15CD"/>
    <w:rsid w:val="001F1708"/>
    <w:rsid w:val="001F1B26"/>
    <w:rsid w:val="001F1B6C"/>
    <w:rsid w:val="001F1BD7"/>
    <w:rsid w:val="001F1F41"/>
    <w:rsid w:val="001F1F4F"/>
    <w:rsid w:val="001F1FB7"/>
    <w:rsid w:val="001F2736"/>
    <w:rsid w:val="001F2B93"/>
    <w:rsid w:val="001F2BFF"/>
    <w:rsid w:val="001F2D92"/>
    <w:rsid w:val="001F2DE3"/>
    <w:rsid w:val="001F2F2E"/>
    <w:rsid w:val="001F2F90"/>
    <w:rsid w:val="001F3129"/>
    <w:rsid w:val="001F35E6"/>
    <w:rsid w:val="001F3880"/>
    <w:rsid w:val="001F3CD8"/>
    <w:rsid w:val="001F3E3C"/>
    <w:rsid w:val="001F468C"/>
    <w:rsid w:val="001F4AE6"/>
    <w:rsid w:val="001F4C35"/>
    <w:rsid w:val="001F4E59"/>
    <w:rsid w:val="001F4E65"/>
    <w:rsid w:val="001F4FEB"/>
    <w:rsid w:val="001F50E2"/>
    <w:rsid w:val="001F52F4"/>
    <w:rsid w:val="001F5A06"/>
    <w:rsid w:val="001F5BC5"/>
    <w:rsid w:val="001F5CD3"/>
    <w:rsid w:val="001F5E23"/>
    <w:rsid w:val="001F6003"/>
    <w:rsid w:val="001F6224"/>
    <w:rsid w:val="001F6347"/>
    <w:rsid w:val="001F63D3"/>
    <w:rsid w:val="001F6447"/>
    <w:rsid w:val="001F6511"/>
    <w:rsid w:val="001F654C"/>
    <w:rsid w:val="001F68B2"/>
    <w:rsid w:val="001F6AB3"/>
    <w:rsid w:val="001F6E81"/>
    <w:rsid w:val="001F6EFC"/>
    <w:rsid w:val="001F70DE"/>
    <w:rsid w:val="001F7A32"/>
    <w:rsid w:val="001F7AB6"/>
    <w:rsid w:val="001F7B51"/>
    <w:rsid w:val="001F7C61"/>
    <w:rsid w:val="00200004"/>
    <w:rsid w:val="00200858"/>
    <w:rsid w:val="00200A2C"/>
    <w:rsid w:val="00200B54"/>
    <w:rsid w:val="00200CC0"/>
    <w:rsid w:val="00200F0B"/>
    <w:rsid w:val="0020165A"/>
    <w:rsid w:val="00201827"/>
    <w:rsid w:val="00201FBF"/>
    <w:rsid w:val="00202299"/>
    <w:rsid w:val="002024E2"/>
    <w:rsid w:val="0020254E"/>
    <w:rsid w:val="00202682"/>
    <w:rsid w:val="002026BE"/>
    <w:rsid w:val="002029C0"/>
    <w:rsid w:val="00202A96"/>
    <w:rsid w:val="00203373"/>
    <w:rsid w:val="002033DA"/>
    <w:rsid w:val="00203480"/>
    <w:rsid w:val="00203547"/>
    <w:rsid w:val="002037B6"/>
    <w:rsid w:val="002038C9"/>
    <w:rsid w:val="0020418A"/>
    <w:rsid w:val="002044C7"/>
    <w:rsid w:val="0020451A"/>
    <w:rsid w:val="00204E2D"/>
    <w:rsid w:val="002051BB"/>
    <w:rsid w:val="002052B4"/>
    <w:rsid w:val="002052DF"/>
    <w:rsid w:val="00205301"/>
    <w:rsid w:val="00205A03"/>
    <w:rsid w:val="00205A27"/>
    <w:rsid w:val="00205C53"/>
    <w:rsid w:val="00205CB0"/>
    <w:rsid w:val="002060AD"/>
    <w:rsid w:val="00206389"/>
    <w:rsid w:val="002063F4"/>
    <w:rsid w:val="00206BA0"/>
    <w:rsid w:val="00206BAE"/>
    <w:rsid w:val="00207007"/>
    <w:rsid w:val="002073AD"/>
    <w:rsid w:val="002075CF"/>
    <w:rsid w:val="0020761A"/>
    <w:rsid w:val="00207A42"/>
    <w:rsid w:val="00207BD8"/>
    <w:rsid w:val="00207CE6"/>
    <w:rsid w:val="00207D88"/>
    <w:rsid w:val="00210247"/>
    <w:rsid w:val="00210286"/>
    <w:rsid w:val="002102AB"/>
    <w:rsid w:val="00210A76"/>
    <w:rsid w:val="00210B01"/>
    <w:rsid w:val="00210B3F"/>
    <w:rsid w:val="00210E2C"/>
    <w:rsid w:val="00210F15"/>
    <w:rsid w:val="00211093"/>
    <w:rsid w:val="0021109B"/>
    <w:rsid w:val="002111BB"/>
    <w:rsid w:val="00211387"/>
    <w:rsid w:val="002117A9"/>
    <w:rsid w:val="00211A82"/>
    <w:rsid w:val="00211B34"/>
    <w:rsid w:val="00211D59"/>
    <w:rsid w:val="00211D7B"/>
    <w:rsid w:val="0021201B"/>
    <w:rsid w:val="0021201F"/>
    <w:rsid w:val="002121F5"/>
    <w:rsid w:val="0021220E"/>
    <w:rsid w:val="002122E4"/>
    <w:rsid w:val="002125C2"/>
    <w:rsid w:val="00212717"/>
    <w:rsid w:val="002129C5"/>
    <w:rsid w:val="00212B86"/>
    <w:rsid w:val="00212C05"/>
    <w:rsid w:val="00212DAF"/>
    <w:rsid w:val="00212DF7"/>
    <w:rsid w:val="00212E28"/>
    <w:rsid w:val="00212F54"/>
    <w:rsid w:val="002132EE"/>
    <w:rsid w:val="00213454"/>
    <w:rsid w:val="002137EA"/>
    <w:rsid w:val="002138D4"/>
    <w:rsid w:val="00213F8F"/>
    <w:rsid w:val="0021447D"/>
    <w:rsid w:val="0021466A"/>
    <w:rsid w:val="002146F7"/>
    <w:rsid w:val="002147B0"/>
    <w:rsid w:val="00214BC8"/>
    <w:rsid w:val="00214D50"/>
    <w:rsid w:val="00214F37"/>
    <w:rsid w:val="0021502D"/>
    <w:rsid w:val="0021521B"/>
    <w:rsid w:val="00215BA2"/>
    <w:rsid w:val="00215CD5"/>
    <w:rsid w:val="00215D86"/>
    <w:rsid w:val="00215FAD"/>
    <w:rsid w:val="00216044"/>
    <w:rsid w:val="00216229"/>
    <w:rsid w:val="00216276"/>
    <w:rsid w:val="0021657E"/>
    <w:rsid w:val="002166D9"/>
    <w:rsid w:val="00216742"/>
    <w:rsid w:val="00216A99"/>
    <w:rsid w:val="00216ABA"/>
    <w:rsid w:val="00216AEB"/>
    <w:rsid w:val="00216BB5"/>
    <w:rsid w:val="00217022"/>
    <w:rsid w:val="002179EB"/>
    <w:rsid w:val="002179FB"/>
    <w:rsid w:val="0022002D"/>
    <w:rsid w:val="002201EC"/>
    <w:rsid w:val="0022033C"/>
    <w:rsid w:val="00220391"/>
    <w:rsid w:val="00220818"/>
    <w:rsid w:val="002208EF"/>
    <w:rsid w:val="00220A04"/>
    <w:rsid w:val="00220ED2"/>
    <w:rsid w:val="00220FD0"/>
    <w:rsid w:val="00221126"/>
    <w:rsid w:val="00221439"/>
    <w:rsid w:val="002215E4"/>
    <w:rsid w:val="0022171B"/>
    <w:rsid w:val="00221975"/>
    <w:rsid w:val="00221FB4"/>
    <w:rsid w:val="002220D0"/>
    <w:rsid w:val="002221BA"/>
    <w:rsid w:val="00222367"/>
    <w:rsid w:val="00222544"/>
    <w:rsid w:val="00222985"/>
    <w:rsid w:val="00222C15"/>
    <w:rsid w:val="00222CC0"/>
    <w:rsid w:val="00222EAC"/>
    <w:rsid w:val="00222FC4"/>
    <w:rsid w:val="00223634"/>
    <w:rsid w:val="0022367E"/>
    <w:rsid w:val="00223910"/>
    <w:rsid w:val="00223B53"/>
    <w:rsid w:val="00223BF9"/>
    <w:rsid w:val="00223D7C"/>
    <w:rsid w:val="00223DD9"/>
    <w:rsid w:val="00224009"/>
    <w:rsid w:val="0022422E"/>
    <w:rsid w:val="00224376"/>
    <w:rsid w:val="0022439C"/>
    <w:rsid w:val="002243A1"/>
    <w:rsid w:val="002244F2"/>
    <w:rsid w:val="00224991"/>
    <w:rsid w:val="002249AF"/>
    <w:rsid w:val="00224A70"/>
    <w:rsid w:val="002251F7"/>
    <w:rsid w:val="002252E2"/>
    <w:rsid w:val="0022546E"/>
    <w:rsid w:val="002255E8"/>
    <w:rsid w:val="00225ADD"/>
    <w:rsid w:val="00225CA2"/>
    <w:rsid w:val="00225DB4"/>
    <w:rsid w:val="00225E35"/>
    <w:rsid w:val="002263C5"/>
    <w:rsid w:val="00226421"/>
    <w:rsid w:val="00226546"/>
    <w:rsid w:val="00226578"/>
    <w:rsid w:val="00226849"/>
    <w:rsid w:val="00226AA7"/>
    <w:rsid w:val="00226F1E"/>
    <w:rsid w:val="002276BA"/>
    <w:rsid w:val="00227866"/>
    <w:rsid w:val="00227B96"/>
    <w:rsid w:val="00227DCC"/>
    <w:rsid w:val="00227E32"/>
    <w:rsid w:val="00227F37"/>
    <w:rsid w:val="002302C4"/>
    <w:rsid w:val="00230453"/>
    <w:rsid w:val="0023058F"/>
    <w:rsid w:val="00230667"/>
    <w:rsid w:val="00230AE2"/>
    <w:rsid w:val="00230C04"/>
    <w:rsid w:val="00230D94"/>
    <w:rsid w:val="00230E91"/>
    <w:rsid w:val="00230F47"/>
    <w:rsid w:val="00231465"/>
    <w:rsid w:val="0023154F"/>
    <w:rsid w:val="00231726"/>
    <w:rsid w:val="00231759"/>
    <w:rsid w:val="00231792"/>
    <w:rsid w:val="00231897"/>
    <w:rsid w:val="00231B8F"/>
    <w:rsid w:val="00231C8E"/>
    <w:rsid w:val="00232081"/>
    <w:rsid w:val="00232184"/>
    <w:rsid w:val="00232311"/>
    <w:rsid w:val="00232C3B"/>
    <w:rsid w:val="00232E77"/>
    <w:rsid w:val="00232EC9"/>
    <w:rsid w:val="0023311B"/>
    <w:rsid w:val="0023332E"/>
    <w:rsid w:val="0023347C"/>
    <w:rsid w:val="0023351C"/>
    <w:rsid w:val="002335F9"/>
    <w:rsid w:val="0023367B"/>
    <w:rsid w:val="00233893"/>
    <w:rsid w:val="00233BB5"/>
    <w:rsid w:val="00233C27"/>
    <w:rsid w:val="00233D26"/>
    <w:rsid w:val="00233DBA"/>
    <w:rsid w:val="00233E1A"/>
    <w:rsid w:val="0023442F"/>
    <w:rsid w:val="002345ED"/>
    <w:rsid w:val="002349F2"/>
    <w:rsid w:val="00234D27"/>
    <w:rsid w:val="00234E07"/>
    <w:rsid w:val="002353A5"/>
    <w:rsid w:val="0023557D"/>
    <w:rsid w:val="00235713"/>
    <w:rsid w:val="00235731"/>
    <w:rsid w:val="00235A78"/>
    <w:rsid w:val="00235ABF"/>
    <w:rsid w:val="00235BAA"/>
    <w:rsid w:val="00235C33"/>
    <w:rsid w:val="00235D90"/>
    <w:rsid w:val="00235EBB"/>
    <w:rsid w:val="00235F17"/>
    <w:rsid w:val="00235F2E"/>
    <w:rsid w:val="00235F39"/>
    <w:rsid w:val="00235F62"/>
    <w:rsid w:val="00236040"/>
    <w:rsid w:val="00236305"/>
    <w:rsid w:val="002363FC"/>
    <w:rsid w:val="002364AB"/>
    <w:rsid w:val="00236786"/>
    <w:rsid w:val="002367A1"/>
    <w:rsid w:val="00236B1E"/>
    <w:rsid w:val="00236E86"/>
    <w:rsid w:val="002371A0"/>
    <w:rsid w:val="00237361"/>
    <w:rsid w:val="0023751C"/>
    <w:rsid w:val="00237532"/>
    <w:rsid w:val="00237B47"/>
    <w:rsid w:val="00237C5F"/>
    <w:rsid w:val="00237CB6"/>
    <w:rsid w:val="00237CDD"/>
    <w:rsid w:val="00237F2A"/>
    <w:rsid w:val="002402EA"/>
    <w:rsid w:val="00240423"/>
    <w:rsid w:val="0024058B"/>
    <w:rsid w:val="0024086C"/>
    <w:rsid w:val="0024087B"/>
    <w:rsid w:val="00240900"/>
    <w:rsid w:val="00240D30"/>
    <w:rsid w:val="00240FAF"/>
    <w:rsid w:val="002410CC"/>
    <w:rsid w:val="0024137B"/>
    <w:rsid w:val="002413B0"/>
    <w:rsid w:val="00241875"/>
    <w:rsid w:val="00241B2D"/>
    <w:rsid w:val="00241B88"/>
    <w:rsid w:val="00241BAC"/>
    <w:rsid w:val="00241DB1"/>
    <w:rsid w:val="00241E99"/>
    <w:rsid w:val="00242255"/>
    <w:rsid w:val="00242342"/>
    <w:rsid w:val="002425D1"/>
    <w:rsid w:val="00242639"/>
    <w:rsid w:val="0024266D"/>
    <w:rsid w:val="002431A3"/>
    <w:rsid w:val="00243573"/>
    <w:rsid w:val="002437AB"/>
    <w:rsid w:val="00243A43"/>
    <w:rsid w:val="0024400A"/>
    <w:rsid w:val="0024432D"/>
    <w:rsid w:val="002445B7"/>
    <w:rsid w:val="0024481F"/>
    <w:rsid w:val="00244882"/>
    <w:rsid w:val="002449FC"/>
    <w:rsid w:val="00244A57"/>
    <w:rsid w:val="00244CEC"/>
    <w:rsid w:val="00244D5E"/>
    <w:rsid w:val="00244F29"/>
    <w:rsid w:val="002455D1"/>
    <w:rsid w:val="002455FA"/>
    <w:rsid w:val="00245739"/>
    <w:rsid w:val="0024581C"/>
    <w:rsid w:val="00245844"/>
    <w:rsid w:val="0024590B"/>
    <w:rsid w:val="00246163"/>
    <w:rsid w:val="00246262"/>
    <w:rsid w:val="002466ED"/>
    <w:rsid w:val="002466F6"/>
    <w:rsid w:val="00246C90"/>
    <w:rsid w:val="00247283"/>
    <w:rsid w:val="00247362"/>
    <w:rsid w:val="002474D1"/>
    <w:rsid w:val="00247865"/>
    <w:rsid w:val="00247A85"/>
    <w:rsid w:val="00247B02"/>
    <w:rsid w:val="00247FA5"/>
    <w:rsid w:val="00247FB1"/>
    <w:rsid w:val="002500C1"/>
    <w:rsid w:val="0025021A"/>
    <w:rsid w:val="00250420"/>
    <w:rsid w:val="00250AB8"/>
    <w:rsid w:val="00250B8D"/>
    <w:rsid w:val="00250BC4"/>
    <w:rsid w:val="002514E2"/>
    <w:rsid w:val="002516D7"/>
    <w:rsid w:val="00252235"/>
    <w:rsid w:val="002522A6"/>
    <w:rsid w:val="002523AF"/>
    <w:rsid w:val="0025256D"/>
    <w:rsid w:val="002526A1"/>
    <w:rsid w:val="002526EB"/>
    <w:rsid w:val="0025272E"/>
    <w:rsid w:val="00252998"/>
    <w:rsid w:val="00252ADD"/>
    <w:rsid w:val="00252B42"/>
    <w:rsid w:val="00252BB7"/>
    <w:rsid w:val="00252BC2"/>
    <w:rsid w:val="00252C52"/>
    <w:rsid w:val="00252EEC"/>
    <w:rsid w:val="0025308E"/>
    <w:rsid w:val="00253099"/>
    <w:rsid w:val="0025339B"/>
    <w:rsid w:val="00253455"/>
    <w:rsid w:val="002534B0"/>
    <w:rsid w:val="0025353D"/>
    <w:rsid w:val="00253568"/>
    <w:rsid w:val="0025362A"/>
    <w:rsid w:val="002536D2"/>
    <w:rsid w:val="002537B6"/>
    <w:rsid w:val="00253928"/>
    <w:rsid w:val="002539D8"/>
    <w:rsid w:val="00253AD7"/>
    <w:rsid w:val="00253F84"/>
    <w:rsid w:val="00253F85"/>
    <w:rsid w:val="00254026"/>
    <w:rsid w:val="0025428E"/>
    <w:rsid w:val="0025474F"/>
    <w:rsid w:val="002548AF"/>
    <w:rsid w:val="00254AD6"/>
    <w:rsid w:val="00254E4C"/>
    <w:rsid w:val="00254E6F"/>
    <w:rsid w:val="00254F7B"/>
    <w:rsid w:val="002555B2"/>
    <w:rsid w:val="00255737"/>
    <w:rsid w:val="00255869"/>
    <w:rsid w:val="002558DB"/>
    <w:rsid w:val="002559D9"/>
    <w:rsid w:val="00255AF0"/>
    <w:rsid w:val="00255E3C"/>
    <w:rsid w:val="0025623A"/>
    <w:rsid w:val="002562BA"/>
    <w:rsid w:val="002562EF"/>
    <w:rsid w:val="0025655F"/>
    <w:rsid w:val="00256876"/>
    <w:rsid w:val="00256C53"/>
    <w:rsid w:val="00256F32"/>
    <w:rsid w:val="00256F6B"/>
    <w:rsid w:val="00257319"/>
    <w:rsid w:val="00257512"/>
    <w:rsid w:val="00257593"/>
    <w:rsid w:val="00257729"/>
    <w:rsid w:val="0025784F"/>
    <w:rsid w:val="002578D3"/>
    <w:rsid w:val="002579FB"/>
    <w:rsid w:val="00257D4C"/>
    <w:rsid w:val="00257DAB"/>
    <w:rsid w:val="00257DDA"/>
    <w:rsid w:val="00260234"/>
    <w:rsid w:val="002602F1"/>
    <w:rsid w:val="00260396"/>
    <w:rsid w:val="0026056D"/>
    <w:rsid w:val="0026093D"/>
    <w:rsid w:val="00260B84"/>
    <w:rsid w:val="00260BCB"/>
    <w:rsid w:val="00260E84"/>
    <w:rsid w:val="00260F87"/>
    <w:rsid w:val="00261127"/>
    <w:rsid w:val="002613B7"/>
    <w:rsid w:val="00261640"/>
    <w:rsid w:val="002616C3"/>
    <w:rsid w:val="002616DE"/>
    <w:rsid w:val="00261A61"/>
    <w:rsid w:val="00261CEC"/>
    <w:rsid w:val="00261F55"/>
    <w:rsid w:val="0026243B"/>
    <w:rsid w:val="0026270F"/>
    <w:rsid w:val="0026279C"/>
    <w:rsid w:val="00262B4E"/>
    <w:rsid w:val="00262F26"/>
    <w:rsid w:val="0026310F"/>
    <w:rsid w:val="00263267"/>
    <w:rsid w:val="00263514"/>
    <w:rsid w:val="002636CA"/>
    <w:rsid w:val="002639A3"/>
    <w:rsid w:val="00263AD5"/>
    <w:rsid w:val="00263E0E"/>
    <w:rsid w:val="0026444B"/>
    <w:rsid w:val="002644A7"/>
    <w:rsid w:val="002646AE"/>
    <w:rsid w:val="00264B5A"/>
    <w:rsid w:val="00264C40"/>
    <w:rsid w:val="00264CB2"/>
    <w:rsid w:val="00264E53"/>
    <w:rsid w:val="00264F02"/>
    <w:rsid w:val="00265066"/>
    <w:rsid w:val="00265255"/>
    <w:rsid w:val="002658C4"/>
    <w:rsid w:val="00265BF1"/>
    <w:rsid w:val="00265CB0"/>
    <w:rsid w:val="00265DDB"/>
    <w:rsid w:val="00265F1E"/>
    <w:rsid w:val="00266032"/>
    <w:rsid w:val="002669B3"/>
    <w:rsid w:val="00266CC8"/>
    <w:rsid w:val="002670DF"/>
    <w:rsid w:val="002670E7"/>
    <w:rsid w:val="0026755A"/>
    <w:rsid w:val="002676DB"/>
    <w:rsid w:val="002677CF"/>
    <w:rsid w:val="00267BDF"/>
    <w:rsid w:val="00267E4F"/>
    <w:rsid w:val="00267EE4"/>
    <w:rsid w:val="002703D9"/>
    <w:rsid w:val="00270509"/>
    <w:rsid w:val="00270923"/>
    <w:rsid w:val="00270A2D"/>
    <w:rsid w:val="00270D42"/>
    <w:rsid w:val="00270D8B"/>
    <w:rsid w:val="00270FF9"/>
    <w:rsid w:val="0027107D"/>
    <w:rsid w:val="0027137E"/>
    <w:rsid w:val="0027147A"/>
    <w:rsid w:val="002717A0"/>
    <w:rsid w:val="0027189D"/>
    <w:rsid w:val="0027191F"/>
    <w:rsid w:val="00271A80"/>
    <w:rsid w:val="0027220D"/>
    <w:rsid w:val="00272692"/>
    <w:rsid w:val="002726A2"/>
    <w:rsid w:val="002728D4"/>
    <w:rsid w:val="00272A86"/>
    <w:rsid w:val="00272CF4"/>
    <w:rsid w:val="00272D02"/>
    <w:rsid w:val="00273001"/>
    <w:rsid w:val="002730F1"/>
    <w:rsid w:val="0027311B"/>
    <w:rsid w:val="0027342C"/>
    <w:rsid w:val="002734BB"/>
    <w:rsid w:val="00273A24"/>
    <w:rsid w:val="00273A99"/>
    <w:rsid w:val="00273C0B"/>
    <w:rsid w:val="00273CB4"/>
    <w:rsid w:val="00273FC1"/>
    <w:rsid w:val="00274076"/>
    <w:rsid w:val="00274A02"/>
    <w:rsid w:val="00274AD3"/>
    <w:rsid w:val="00274B17"/>
    <w:rsid w:val="00275012"/>
    <w:rsid w:val="00275135"/>
    <w:rsid w:val="002751E9"/>
    <w:rsid w:val="002752A5"/>
    <w:rsid w:val="002754B8"/>
    <w:rsid w:val="002758E7"/>
    <w:rsid w:val="00275949"/>
    <w:rsid w:val="00275981"/>
    <w:rsid w:val="00275B74"/>
    <w:rsid w:val="0027617F"/>
    <w:rsid w:val="00276261"/>
    <w:rsid w:val="002762B2"/>
    <w:rsid w:val="0027678A"/>
    <w:rsid w:val="002768AF"/>
    <w:rsid w:val="0027698C"/>
    <w:rsid w:val="00276A75"/>
    <w:rsid w:val="00277853"/>
    <w:rsid w:val="002778A4"/>
    <w:rsid w:val="0027792A"/>
    <w:rsid w:val="00277993"/>
    <w:rsid w:val="00277A0E"/>
    <w:rsid w:val="00277DCC"/>
    <w:rsid w:val="00280294"/>
    <w:rsid w:val="002803E1"/>
    <w:rsid w:val="0028041F"/>
    <w:rsid w:val="00280551"/>
    <w:rsid w:val="0028060C"/>
    <w:rsid w:val="0028070C"/>
    <w:rsid w:val="00280ABB"/>
    <w:rsid w:val="00280D4D"/>
    <w:rsid w:val="00280E9F"/>
    <w:rsid w:val="002810F0"/>
    <w:rsid w:val="002817A3"/>
    <w:rsid w:val="00281863"/>
    <w:rsid w:val="00281897"/>
    <w:rsid w:val="00281A1D"/>
    <w:rsid w:val="00281BB8"/>
    <w:rsid w:val="00281CDB"/>
    <w:rsid w:val="00281D80"/>
    <w:rsid w:val="00281E7E"/>
    <w:rsid w:val="00281EEC"/>
    <w:rsid w:val="002820B8"/>
    <w:rsid w:val="0028214A"/>
    <w:rsid w:val="00282A50"/>
    <w:rsid w:val="00282B9C"/>
    <w:rsid w:val="00282DAA"/>
    <w:rsid w:val="00282EA2"/>
    <w:rsid w:val="00282FA2"/>
    <w:rsid w:val="00283260"/>
    <w:rsid w:val="002832EA"/>
    <w:rsid w:val="002833C5"/>
    <w:rsid w:val="002833DE"/>
    <w:rsid w:val="00283504"/>
    <w:rsid w:val="00283635"/>
    <w:rsid w:val="00283CD9"/>
    <w:rsid w:val="002840C9"/>
    <w:rsid w:val="00284149"/>
    <w:rsid w:val="00284200"/>
    <w:rsid w:val="0028446B"/>
    <w:rsid w:val="00284578"/>
    <w:rsid w:val="002846BF"/>
    <w:rsid w:val="00284846"/>
    <w:rsid w:val="002849EB"/>
    <w:rsid w:val="00284B80"/>
    <w:rsid w:val="00284CB5"/>
    <w:rsid w:val="00284D65"/>
    <w:rsid w:val="00284D9A"/>
    <w:rsid w:val="00284E69"/>
    <w:rsid w:val="00284F05"/>
    <w:rsid w:val="00284F6A"/>
    <w:rsid w:val="00285217"/>
    <w:rsid w:val="002853C7"/>
    <w:rsid w:val="00285553"/>
    <w:rsid w:val="00285843"/>
    <w:rsid w:val="002859BF"/>
    <w:rsid w:val="00285EED"/>
    <w:rsid w:val="00286192"/>
    <w:rsid w:val="002862FF"/>
    <w:rsid w:val="00286336"/>
    <w:rsid w:val="00286344"/>
    <w:rsid w:val="00286424"/>
    <w:rsid w:val="00286607"/>
    <w:rsid w:val="002866FC"/>
    <w:rsid w:val="0028676A"/>
    <w:rsid w:val="002870B3"/>
    <w:rsid w:val="00287945"/>
    <w:rsid w:val="00287A8D"/>
    <w:rsid w:val="00287B10"/>
    <w:rsid w:val="00287CAB"/>
    <w:rsid w:val="00287D82"/>
    <w:rsid w:val="002901C0"/>
    <w:rsid w:val="00290257"/>
    <w:rsid w:val="002902B7"/>
    <w:rsid w:val="00290467"/>
    <w:rsid w:val="0029080D"/>
    <w:rsid w:val="00290AEC"/>
    <w:rsid w:val="00290E51"/>
    <w:rsid w:val="00291008"/>
    <w:rsid w:val="002912B5"/>
    <w:rsid w:val="002913DE"/>
    <w:rsid w:val="00291579"/>
    <w:rsid w:val="00291C29"/>
    <w:rsid w:val="00291C87"/>
    <w:rsid w:val="00291E2B"/>
    <w:rsid w:val="00291E2D"/>
    <w:rsid w:val="002924AF"/>
    <w:rsid w:val="00292583"/>
    <w:rsid w:val="00292785"/>
    <w:rsid w:val="0029283A"/>
    <w:rsid w:val="00292950"/>
    <w:rsid w:val="00292E25"/>
    <w:rsid w:val="00292F47"/>
    <w:rsid w:val="00292FDD"/>
    <w:rsid w:val="0029370C"/>
    <w:rsid w:val="00293716"/>
    <w:rsid w:val="00293C2F"/>
    <w:rsid w:val="00293DE2"/>
    <w:rsid w:val="00293F3B"/>
    <w:rsid w:val="00294068"/>
    <w:rsid w:val="0029425C"/>
    <w:rsid w:val="002942C4"/>
    <w:rsid w:val="0029435C"/>
    <w:rsid w:val="00294592"/>
    <w:rsid w:val="00294598"/>
    <w:rsid w:val="002945A8"/>
    <w:rsid w:val="002947B8"/>
    <w:rsid w:val="0029485A"/>
    <w:rsid w:val="0029495D"/>
    <w:rsid w:val="00294A94"/>
    <w:rsid w:val="00294B34"/>
    <w:rsid w:val="00294B98"/>
    <w:rsid w:val="00294CAB"/>
    <w:rsid w:val="00294D29"/>
    <w:rsid w:val="00294D32"/>
    <w:rsid w:val="00294E23"/>
    <w:rsid w:val="00294EDD"/>
    <w:rsid w:val="0029543E"/>
    <w:rsid w:val="002955FD"/>
    <w:rsid w:val="002956CF"/>
    <w:rsid w:val="002957A1"/>
    <w:rsid w:val="0029597E"/>
    <w:rsid w:val="002959DD"/>
    <w:rsid w:val="00295E3C"/>
    <w:rsid w:val="00296055"/>
    <w:rsid w:val="002960FF"/>
    <w:rsid w:val="00296D11"/>
    <w:rsid w:val="00296F61"/>
    <w:rsid w:val="00296FA2"/>
    <w:rsid w:val="00297042"/>
    <w:rsid w:val="002973AE"/>
    <w:rsid w:val="002975CF"/>
    <w:rsid w:val="0029760D"/>
    <w:rsid w:val="00297682"/>
    <w:rsid w:val="002977F1"/>
    <w:rsid w:val="002A06D7"/>
    <w:rsid w:val="002A0746"/>
    <w:rsid w:val="002A094B"/>
    <w:rsid w:val="002A0BCD"/>
    <w:rsid w:val="002A0EF8"/>
    <w:rsid w:val="002A0F0C"/>
    <w:rsid w:val="002A1250"/>
    <w:rsid w:val="002A13B9"/>
    <w:rsid w:val="002A1527"/>
    <w:rsid w:val="002A1553"/>
    <w:rsid w:val="002A1692"/>
    <w:rsid w:val="002A1736"/>
    <w:rsid w:val="002A178D"/>
    <w:rsid w:val="002A1A3E"/>
    <w:rsid w:val="002A1D8A"/>
    <w:rsid w:val="002A1E22"/>
    <w:rsid w:val="002A1EF1"/>
    <w:rsid w:val="002A1FFF"/>
    <w:rsid w:val="002A228C"/>
    <w:rsid w:val="002A26D9"/>
    <w:rsid w:val="002A2929"/>
    <w:rsid w:val="002A2AEC"/>
    <w:rsid w:val="002A30AF"/>
    <w:rsid w:val="002A321E"/>
    <w:rsid w:val="002A3252"/>
    <w:rsid w:val="002A33FB"/>
    <w:rsid w:val="002A3956"/>
    <w:rsid w:val="002A3A67"/>
    <w:rsid w:val="002A3D93"/>
    <w:rsid w:val="002A41A3"/>
    <w:rsid w:val="002A44D1"/>
    <w:rsid w:val="002A464D"/>
    <w:rsid w:val="002A48AE"/>
    <w:rsid w:val="002A49E5"/>
    <w:rsid w:val="002A4AE8"/>
    <w:rsid w:val="002A4CBE"/>
    <w:rsid w:val="002A51FC"/>
    <w:rsid w:val="002A5404"/>
    <w:rsid w:val="002A5818"/>
    <w:rsid w:val="002A5A0D"/>
    <w:rsid w:val="002A5B00"/>
    <w:rsid w:val="002A5B15"/>
    <w:rsid w:val="002A5BBF"/>
    <w:rsid w:val="002A5C6B"/>
    <w:rsid w:val="002A5D4F"/>
    <w:rsid w:val="002A61AC"/>
    <w:rsid w:val="002A621E"/>
    <w:rsid w:val="002A6275"/>
    <w:rsid w:val="002A6468"/>
    <w:rsid w:val="002A67FF"/>
    <w:rsid w:val="002A68D4"/>
    <w:rsid w:val="002A6943"/>
    <w:rsid w:val="002A6967"/>
    <w:rsid w:val="002A6AF6"/>
    <w:rsid w:val="002A6B88"/>
    <w:rsid w:val="002A6D06"/>
    <w:rsid w:val="002A6EC0"/>
    <w:rsid w:val="002A6EDE"/>
    <w:rsid w:val="002A707F"/>
    <w:rsid w:val="002A736B"/>
    <w:rsid w:val="002A7426"/>
    <w:rsid w:val="002A7518"/>
    <w:rsid w:val="002A7561"/>
    <w:rsid w:val="002A75DD"/>
    <w:rsid w:val="002A7684"/>
    <w:rsid w:val="002A7ADB"/>
    <w:rsid w:val="002B03B5"/>
    <w:rsid w:val="002B0CBB"/>
    <w:rsid w:val="002B1626"/>
    <w:rsid w:val="002B1691"/>
    <w:rsid w:val="002B1B22"/>
    <w:rsid w:val="002B1BD7"/>
    <w:rsid w:val="002B1CB9"/>
    <w:rsid w:val="002B1CEB"/>
    <w:rsid w:val="002B2000"/>
    <w:rsid w:val="002B214F"/>
    <w:rsid w:val="002B236A"/>
    <w:rsid w:val="002B23E8"/>
    <w:rsid w:val="002B2523"/>
    <w:rsid w:val="002B2AD7"/>
    <w:rsid w:val="002B2B41"/>
    <w:rsid w:val="002B2BF6"/>
    <w:rsid w:val="002B2C7C"/>
    <w:rsid w:val="002B2CDB"/>
    <w:rsid w:val="002B2D65"/>
    <w:rsid w:val="002B2E99"/>
    <w:rsid w:val="002B345D"/>
    <w:rsid w:val="002B371E"/>
    <w:rsid w:val="002B3C0C"/>
    <w:rsid w:val="002B3E1D"/>
    <w:rsid w:val="002B3E92"/>
    <w:rsid w:val="002B4424"/>
    <w:rsid w:val="002B4503"/>
    <w:rsid w:val="002B466D"/>
    <w:rsid w:val="002B4B8C"/>
    <w:rsid w:val="002B4D4E"/>
    <w:rsid w:val="002B4DF0"/>
    <w:rsid w:val="002B5033"/>
    <w:rsid w:val="002B5452"/>
    <w:rsid w:val="002B551C"/>
    <w:rsid w:val="002B5686"/>
    <w:rsid w:val="002B5848"/>
    <w:rsid w:val="002B58CB"/>
    <w:rsid w:val="002B5AF1"/>
    <w:rsid w:val="002B5E9F"/>
    <w:rsid w:val="002B5EAB"/>
    <w:rsid w:val="002B6041"/>
    <w:rsid w:val="002B613C"/>
    <w:rsid w:val="002B61ED"/>
    <w:rsid w:val="002B67A7"/>
    <w:rsid w:val="002B67C4"/>
    <w:rsid w:val="002B6EF0"/>
    <w:rsid w:val="002B70A5"/>
    <w:rsid w:val="002B7152"/>
    <w:rsid w:val="002B7196"/>
    <w:rsid w:val="002B71AE"/>
    <w:rsid w:val="002B7818"/>
    <w:rsid w:val="002B796F"/>
    <w:rsid w:val="002B7BD4"/>
    <w:rsid w:val="002C001F"/>
    <w:rsid w:val="002C0125"/>
    <w:rsid w:val="002C0281"/>
    <w:rsid w:val="002C0528"/>
    <w:rsid w:val="002C059D"/>
    <w:rsid w:val="002C05CE"/>
    <w:rsid w:val="002C0D0E"/>
    <w:rsid w:val="002C0D20"/>
    <w:rsid w:val="002C0F49"/>
    <w:rsid w:val="002C0F7B"/>
    <w:rsid w:val="002C10D1"/>
    <w:rsid w:val="002C129A"/>
    <w:rsid w:val="002C14FD"/>
    <w:rsid w:val="002C160B"/>
    <w:rsid w:val="002C1959"/>
    <w:rsid w:val="002C1A0F"/>
    <w:rsid w:val="002C1DFD"/>
    <w:rsid w:val="002C2105"/>
    <w:rsid w:val="002C25B6"/>
    <w:rsid w:val="002C26E4"/>
    <w:rsid w:val="002C2A64"/>
    <w:rsid w:val="002C2C4E"/>
    <w:rsid w:val="002C31FA"/>
    <w:rsid w:val="002C391B"/>
    <w:rsid w:val="002C3BEE"/>
    <w:rsid w:val="002C3CBB"/>
    <w:rsid w:val="002C3D82"/>
    <w:rsid w:val="002C4279"/>
    <w:rsid w:val="002C42BA"/>
    <w:rsid w:val="002C4399"/>
    <w:rsid w:val="002C4619"/>
    <w:rsid w:val="002C475A"/>
    <w:rsid w:val="002C47D9"/>
    <w:rsid w:val="002C4876"/>
    <w:rsid w:val="002C4A15"/>
    <w:rsid w:val="002C4DEE"/>
    <w:rsid w:val="002C4F8B"/>
    <w:rsid w:val="002C51A4"/>
    <w:rsid w:val="002C53DC"/>
    <w:rsid w:val="002C55FC"/>
    <w:rsid w:val="002C57F8"/>
    <w:rsid w:val="002C5895"/>
    <w:rsid w:val="002C58C4"/>
    <w:rsid w:val="002C5A0E"/>
    <w:rsid w:val="002C5ECE"/>
    <w:rsid w:val="002C6715"/>
    <w:rsid w:val="002C6864"/>
    <w:rsid w:val="002C6960"/>
    <w:rsid w:val="002C69E6"/>
    <w:rsid w:val="002C6A21"/>
    <w:rsid w:val="002C6B25"/>
    <w:rsid w:val="002C6F24"/>
    <w:rsid w:val="002C70D7"/>
    <w:rsid w:val="002C730A"/>
    <w:rsid w:val="002C7853"/>
    <w:rsid w:val="002C7C60"/>
    <w:rsid w:val="002C7C99"/>
    <w:rsid w:val="002C7E69"/>
    <w:rsid w:val="002D03EB"/>
    <w:rsid w:val="002D04CF"/>
    <w:rsid w:val="002D065C"/>
    <w:rsid w:val="002D06E8"/>
    <w:rsid w:val="002D097E"/>
    <w:rsid w:val="002D0C12"/>
    <w:rsid w:val="002D0E88"/>
    <w:rsid w:val="002D0FB6"/>
    <w:rsid w:val="002D122C"/>
    <w:rsid w:val="002D153F"/>
    <w:rsid w:val="002D164F"/>
    <w:rsid w:val="002D1CC7"/>
    <w:rsid w:val="002D1D3E"/>
    <w:rsid w:val="002D228B"/>
    <w:rsid w:val="002D2617"/>
    <w:rsid w:val="002D2669"/>
    <w:rsid w:val="002D26C5"/>
    <w:rsid w:val="002D2A2B"/>
    <w:rsid w:val="002D2BBD"/>
    <w:rsid w:val="002D2C5B"/>
    <w:rsid w:val="002D2E77"/>
    <w:rsid w:val="002D30BE"/>
    <w:rsid w:val="002D347C"/>
    <w:rsid w:val="002D3552"/>
    <w:rsid w:val="002D366F"/>
    <w:rsid w:val="002D3E42"/>
    <w:rsid w:val="002D43F6"/>
    <w:rsid w:val="002D4508"/>
    <w:rsid w:val="002D45DB"/>
    <w:rsid w:val="002D47EB"/>
    <w:rsid w:val="002D4B85"/>
    <w:rsid w:val="002D4CA7"/>
    <w:rsid w:val="002D4F4A"/>
    <w:rsid w:val="002D4FAE"/>
    <w:rsid w:val="002D50AF"/>
    <w:rsid w:val="002D51A6"/>
    <w:rsid w:val="002D51F1"/>
    <w:rsid w:val="002D556F"/>
    <w:rsid w:val="002D56A1"/>
    <w:rsid w:val="002D5742"/>
    <w:rsid w:val="002D5801"/>
    <w:rsid w:val="002D585C"/>
    <w:rsid w:val="002D587F"/>
    <w:rsid w:val="002D58F3"/>
    <w:rsid w:val="002D592C"/>
    <w:rsid w:val="002D5AD9"/>
    <w:rsid w:val="002D5D64"/>
    <w:rsid w:val="002D5EB7"/>
    <w:rsid w:val="002D6037"/>
    <w:rsid w:val="002D608B"/>
    <w:rsid w:val="002D617C"/>
    <w:rsid w:val="002D61E2"/>
    <w:rsid w:val="002D69CA"/>
    <w:rsid w:val="002D69EB"/>
    <w:rsid w:val="002D6A92"/>
    <w:rsid w:val="002D6B31"/>
    <w:rsid w:val="002D6B4D"/>
    <w:rsid w:val="002D6C3E"/>
    <w:rsid w:val="002D6E07"/>
    <w:rsid w:val="002D6E5C"/>
    <w:rsid w:val="002D6F34"/>
    <w:rsid w:val="002D765A"/>
    <w:rsid w:val="002D777D"/>
    <w:rsid w:val="002D7833"/>
    <w:rsid w:val="002D793A"/>
    <w:rsid w:val="002D7BA3"/>
    <w:rsid w:val="002D7C66"/>
    <w:rsid w:val="002D7D0C"/>
    <w:rsid w:val="002E0751"/>
    <w:rsid w:val="002E0898"/>
    <w:rsid w:val="002E094C"/>
    <w:rsid w:val="002E0F53"/>
    <w:rsid w:val="002E100C"/>
    <w:rsid w:val="002E12C0"/>
    <w:rsid w:val="002E13B2"/>
    <w:rsid w:val="002E1733"/>
    <w:rsid w:val="002E1916"/>
    <w:rsid w:val="002E1BA9"/>
    <w:rsid w:val="002E2154"/>
    <w:rsid w:val="002E2256"/>
    <w:rsid w:val="002E25CB"/>
    <w:rsid w:val="002E269D"/>
    <w:rsid w:val="002E2A02"/>
    <w:rsid w:val="002E2B22"/>
    <w:rsid w:val="002E2C0D"/>
    <w:rsid w:val="002E3084"/>
    <w:rsid w:val="002E34B4"/>
    <w:rsid w:val="002E367D"/>
    <w:rsid w:val="002E3E6D"/>
    <w:rsid w:val="002E3E77"/>
    <w:rsid w:val="002E4459"/>
    <w:rsid w:val="002E4B1E"/>
    <w:rsid w:val="002E4BA5"/>
    <w:rsid w:val="002E528C"/>
    <w:rsid w:val="002E52B7"/>
    <w:rsid w:val="002E5B80"/>
    <w:rsid w:val="002E5FF1"/>
    <w:rsid w:val="002E60F6"/>
    <w:rsid w:val="002E64F6"/>
    <w:rsid w:val="002E6DBD"/>
    <w:rsid w:val="002E7056"/>
    <w:rsid w:val="002E7589"/>
    <w:rsid w:val="002E75D7"/>
    <w:rsid w:val="002E7830"/>
    <w:rsid w:val="002E783F"/>
    <w:rsid w:val="002E798C"/>
    <w:rsid w:val="002E7AF8"/>
    <w:rsid w:val="002E7B64"/>
    <w:rsid w:val="002E7D9D"/>
    <w:rsid w:val="002E7F57"/>
    <w:rsid w:val="002F03A6"/>
    <w:rsid w:val="002F0435"/>
    <w:rsid w:val="002F056F"/>
    <w:rsid w:val="002F08E4"/>
    <w:rsid w:val="002F0B97"/>
    <w:rsid w:val="002F0F35"/>
    <w:rsid w:val="002F1802"/>
    <w:rsid w:val="002F1C43"/>
    <w:rsid w:val="002F1CD9"/>
    <w:rsid w:val="002F1E9C"/>
    <w:rsid w:val="002F207E"/>
    <w:rsid w:val="002F2131"/>
    <w:rsid w:val="002F2351"/>
    <w:rsid w:val="002F25E7"/>
    <w:rsid w:val="002F2660"/>
    <w:rsid w:val="002F2778"/>
    <w:rsid w:val="002F2960"/>
    <w:rsid w:val="002F2A21"/>
    <w:rsid w:val="002F2B0A"/>
    <w:rsid w:val="002F3154"/>
    <w:rsid w:val="002F3501"/>
    <w:rsid w:val="002F363C"/>
    <w:rsid w:val="002F3EA5"/>
    <w:rsid w:val="002F4208"/>
    <w:rsid w:val="002F42AA"/>
    <w:rsid w:val="002F433B"/>
    <w:rsid w:val="002F43D6"/>
    <w:rsid w:val="002F44DA"/>
    <w:rsid w:val="002F4875"/>
    <w:rsid w:val="002F4A72"/>
    <w:rsid w:val="002F4DA6"/>
    <w:rsid w:val="002F4DD2"/>
    <w:rsid w:val="002F516F"/>
    <w:rsid w:val="002F52F8"/>
    <w:rsid w:val="002F54F2"/>
    <w:rsid w:val="002F55B5"/>
    <w:rsid w:val="002F57E3"/>
    <w:rsid w:val="002F580A"/>
    <w:rsid w:val="002F5994"/>
    <w:rsid w:val="002F5BE2"/>
    <w:rsid w:val="002F5CDB"/>
    <w:rsid w:val="002F5E99"/>
    <w:rsid w:val="002F658F"/>
    <w:rsid w:val="002F66EE"/>
    <w:rsid w:val="002F6764"/>
    <w:rsid w:val="002F690C"/>
    <w:rsid w:val="002F6A15"/>
    <w:rsid w:val="002F6B00"/>
    <w:rsid w:val="002F6D24"/>
    <w:rsid w:val="002F7144"/>
    <w:rsid w:val="002F774F"/>
    <w:rsid w:val="002F7A34"/>
    <w:rsid w:val="002F7BCD"/>
    <w:rsid w:val="002F7C21"/>
    <w:rsid w:val="002F7CCB"/>
    <w:rsid w:val="00300AED"/>
    <w:rsid w:val="00300D32"/>
    <w:rsid w:val="003017D3"/>
    <w:rsid w:val="00301919"/>
    <w:rsid w:val="00301B01"/>
    <w:rsid w:val="00301CB4"/>
    <w:rsid w:val="00302079"/>
    <w:rsid w:val="00302456"/>
    <w:rsid w:val="00302525"/>
    <w:rsid w:val="003029AE"/>
    <w:rsid w:val="003029ED"/>
    <w:rsid w:val="00302A33"/>
    <w:rsid w:val="00302FA4"/>
    <w:rsid w:val="003030C2"/>
    <w:rsid w:val="003035F4"/>
    <w:rsid w:val="003038DE"/>
    <w:rsid w:val="0030393D"/>
    <w:rsid w:val="00303A18"/>
    <w:rsid w:val="00303CA6"/>
    <w:rsid w:val="003040CE"/>
    <w:rsid w:val="003040FB"/>
    <w:rsid w:val="00304141"/>
    <w:rsid w:val="003044B9"/>
    <w:rsid w:val="003044C9"/>
    <w:rsid w:val="00304706"/>
    <w:rsid w:val="0030479A"/>
    <w:rsid w:val="00304B88"/>
    <w:rsid w:val="003051CC"/>
    <w:rsid w:val="0030539C"/>
    <w:rsid w:val="003054A9"/>
    <w:rsid w:val="003055E8"/>
    <w:rsid w:val="00305C52"/>
    <w:rsid w:val="00305FE6"/>
    <w:rsid w:val="00306030"/>
    <w:rsid w:val="003061C2"/>
    <w:rsid w:val="00306382"/>
    <w:rsid w:val="0030665D"/>
    <w:rsid w:val="00306BED"/>
    <w:rsid w:val="00306E23"/>
    <w:rsid w:val="003071AC"/>
    <w:rsid w:val="0030728E"/>
    <w:rsid w:val="00307584"/>
    <w:rsid w:val="0030799C"/>
    <w:rsid w:val="00307B85"/>
    <w:rsid w:val="00307B92"/>
    <w:rsid w:val="00307D69"/>
    <w:rsid w:val="0031006D"/>
    <w:rsid w:val="00310299"/>
    <w:rsid w:val="0031039B"/>
    <w:rsid w:val="003105B7"/>
    <w:rsid w:val="00310C46"/>
    <w:rsid w:val="00310E7C"/>
    <w:rsid w:val="003110BC"/>
    <w:rsid w:val="0031168A"/>
    <w:rsid w:val="003116AF"/>
    <w:rsid w:val="00311938"/>
    <w:rsid w:val="003119DB"/>
    <w:rsid w:val="00311C0E"/>
    <w:rsid w:val="00311F78"/>
    <w:rsid w:val="00311F9A"/>
    <w:rsid w:val="003123E1"/>
    <w:rsid w:val="0031256F"/>
    <w:rsid w:val="00312C05"/>
    <w:rsid w:val="00312F00"/>
    <w:rsid w:val="00312F0A"/>
    <w:rsid w:val="00312F2A"/>
    <w:rsid w:val="00312F8D"/>
    <w:rsid w:val="0031321B"/>
    <w:rsid w:val="00313358"/>
    <w:rsid w:val="0031335C"/>
    <w:rsid w:val="003136A9"/>
    <w:rsid w:val="003139A3"/>
    <w:rsid w:val="00313AF8"/>
    <w:rsid w:val="00313B32"/>
    <w:rsid w:val="00313D48"/>
    <w:rsid w:val="00313E49"/>
    <w:rsid w:val="00313EE4"/>
    <w:rsid w:val="00313F47"/>
    <w:rsid w:val="00313FE4"/>
    <w:rsid w:val="003141FA"/>
    <w:rsid w:val="003142C0"/>
    <w:rsid w:val="00314807"/>
    <w:rsid w:val="00314A41"/>
    <w:rsid w:val="00314BAC"/>
    <w:rsid w:val="00314C64"/>
    <w:rsid w:val="00315023"/>
    <w:rsid w:val="00315236"/>
    <w:rsid w:val="003153FD"/>
    <w:rsid w:val="00315527"/>
    <w:rsid w:val="003157B2"/>
    <w:rsid w:val="00315F0E"/>
    <w:rsid w:val="0031603A"/>
    <w:rsid w:val="0031614A"/>
    <w:rsid w:val="003161ED"/>
    <w:rsid w:val="003165A9"/>
    <w:rsid w:val="003166E6"/>
    <w:rsid w:val="0031673E"/>
    <w:rsid w:val="0031690E"/>
    <w:rsid w:val="00316E66"/>
    <w:rsid w:val="00316EEC"/>
    <w:rsid w:val="00316F6C"/>
    <w:rsid w:val="00317329"/>
    <w:rsid w:val="00317566"/>
    <w:rsid w:val="003175F2"/>
    <w:rsid w:val="0031761A"/>
    <w:rsid w:val="00317709"/>
    <w:rsid w:val="0031780C"/>
    <w:rsid w:val="003178B5"/>
    <w:rsid w:val="0031793D"/>
    <w:rsid w:val="003179E8"/>
    <w:rsid w:val="00317E03"/>
    <w:rsid w:val="00320528"/>
    <w:rsid w:val="00320F99"/>
    <w:rsid w:val="00320FDF"/>
    <w:rsid w:val="00321081"/>
    <w:rsid w:val="003213D7"/>
    <w:rsid w:val="003219A9"/>
    <w:rsid w:val="003219D7"/>
    <w:rsid w:val="00321B9A"/>
    <w:rsid w:val="00321C20"/>
    <w:rsid w:val="00321C80"/>
    <w:rsid w:val="00321F37"/>
    <w:rsid w:val="00321FA1"/>
    <w:rsid w:val="0032239E"/>
    <w:rsid w:val="0032280A"/>
    <w:rsid w:val="00322A33"/>
    <w:rsid w:val="00322FE0"/>
    <w:rsid w:val="003230AF"/>
    <w:rsid w:val="003231A7"/>
    <w:rsid w:val="00323319"/>
    <w:rsid w:val="003234F9"/>
    <w:rsid w:val="0032370F"/>
    <w:rsid w:val="003237F4"/>
    <w:rsid w:val="00323E61"/>
    <w:rsid w:val="00323F4A"/>
    <w:rsid w:val="0032414B"/>
    <w:rsid w:val="00324810"/>
    <w:rsid w:val="00324A58"/>
    <w:rsid w:val="00324CF3"/>
    <w:rsid w:val="00324DFE"/>
    <w:rsid w:val="00325485"/>
    <w:rsid w:val="003254FF"/>
    <w:rsid w:val="00325670"/>
    <w:rsid w:val="00325DF1"/>
    <w:rsid w:val="00326231"/>
    <w:rsid w:val="003263C0"/>
    <w:rsid w:val="003269C6"/>
    <w:rsid w:val="00326B1F"/>
    <w:rsid w:val="00326B81"/>
    <w:rsid w:val="00326C61"/>
    <w:rsid w:val="00326E3B"/>
    <w:rsid w:val="00326FDD"/>
    <w:rsid w:val="003271D7"/>
    <w:rsid w:val="00327222"/>
    <w:rsid w:val="00327230"/>
    <w:rsid w:val="00327414"/>
    <w:rsid w:val="00327577"/>
    <w:rsid w:val="00327599"/>
    <w:rsid w:val="003275D4"/>
    <w:rsid w:val="003275DA"/>
    <w:rsid w:val="003278D2"/>
    <w:rsid w:val="00327A55"/>
    <w:rsid w:val="00327BC0"/>
    <w:rsid w:val="00330728"/>
    <w:rsid w:val="00330958"/>
    <w:rsid w:val="00330B90"/>
    <w:rsid w:val="00330C60"/>
    <w:rsid w:val="00330CC0"/>
    <w:rsid w:val="00330F08"/>
    <w:rsid w:val="003310A7"/>
    <w:rsid w:val="003310C5"/>
    <w:rsid w:val="003313F2"/>
    <w:rsid w:val="00331596"/>
    <w:rsid w:val="0033166C"/>
    <w:rsid w:val="0033167C"/>
    <w:rsid w:val="003319C4"/>
    <w:rsid w:val="00331BA7"/>
    <w:rsid w:val="00331D23"/>
    <w:rsid w:val="00331E53"/>
    <w:rsid w:val="003320BC"/>
    <w:rsid w:val="003321B9"/>
    <w:rsid w:val="00332979"/>
    <w:rsid w:val="00332C15"/>
    <w:rsid w:val="00332CED"/>
    <w:rsid w:val="0033303A"/>
    <w:rsid w:val="0033314D"/>
    <w:rsid w:val="003332BD"/>
    <w:rsid w:val="0033330E"/>
    <w:rsid w:val="003333E6"/>
    <w:rsid w:val="00333495"/>
    <w:rsid w:val="00333821"/>
    <w:rsid w:val="00333C77"/>
    <w:rsid w:val="00333C81"/>
    <w:rsid w:val="00333D1C"/>
    <w:rsid w:val="00333E5C"/>
    <w:rsid w:val="0033424A"/>
    <w:rsid w:val="00334379"/>
    <w:rsid w:val="0033442D"/>
    <w:rsid w:val="0033478A"/>
    <w:rsid w:val="00334832"/>
    <w:rsid w:val="003348D5"/>
    <w:rsid w:val="00334A76"/>
    <w:rsid w:val="003353BA"/>
    <w:rsid w:val="00335BB3"/>
    <w:rsid w:val="00335CC0"/>
    <w:rsid w:val="00335CD1"/>
    <w:rsid w:val="00335D68"/>
    <w:rsid w:val="00335DC3"/>
    <w:rsid w:val="003360E0"/>
    <w:rsid w:val="003367E3"/>
    <w:rsid w:val="0033685D"/>
    <w:rsid w:val="00336C76"/>
    <w:rsid w:val="00336D69"/>
    <w:rsid w:val="00336F0D"/>
    <w:rsid w:val="00337175"/>
    <w:rsid w:val="00337689"/>
    <w:rsid w:val="00337697"/>
    <w:rsid w:val="003376F1"/>
    <w:rsid w:val="00337912"/>
    <w:rsid w:val="00337A68"/>
    <w:rsid w:val="00337AE1"/>
    <w:rsid w:val="00337B80"/>
    <w:rsid w:val="0034070F"/>
    <w:rsid w:val="003408B2"/>
    <w:rsid w:val="00340D17"/>
    <w:rsid w:val="00340FC6"/>
    <w:rsid w:val="0034104C"/>
    <w:rsid w:val="00341098"/>
    <w:rsid w:val="0034129D"/>
    <w:rsid w:val="00341556"/>
    <w:rsid w:val="00341873"/>
    <w:rsid w:val="0034197C"/>
    <w:rsid w:val="003419F3"/>
    <w:rsid w:val="003419F4"/>
    <w:rsid w:val="00341BE2"/>
    <w:rsid w:val="00341C11"/>
    <w:rsid w:val="00341E01"/>
    <w:rsid w:val="00341FEC"/>
    <w:rsid w:val="003420EA"/>
    <w:rsid w:val="003422B7"/>
    <w:rsid w:val="003423F9"/>
    <w:rsid w:val="0034258F"/>
    <w:rsid w:val="00342625"/>
    <w:rsid w:val="0034262A"/>
    <w:rsid w:val="003427AF"/>
    <w:rsid w:val="003428EF"/>
    <w:rsid w:val="0034298E"/>
    <w:rsid w:val="00342BED"/>
    <w:rsid w:val="00342C3F"/>
    <w:rsid w:val="00342D3C"/>
    <w:rsid w:val="00342EFB"/>
    <w:rsid w:val="00342F56"/>
    <w:rsid w:val="0034309A"/>
    <w:rsid w:val="003430BB"/>
    <w:rsid w:val="00343382"/>
    <w:rsid w:val="00343485"/>
    <w:rsid w:val="00343943"/>
    <w:rsid w:val="0034394A"/>
    <w:rsid w:val="00343BDD"/>
    <w:rsid w:val="00343E63"/>
    <w:rsid w:val="00343ECA"/>
    <w:rsid w:val="00343FC2"/>
    <w:rsid w:val="00344013"/>
    <w:rsid w:val="0034404D"/>
    <w:rsid w:val="00344071"/>
    <w:rsid w:val="00344471"/>
    <w:rsid w:val="00344D10"/>
    <w:rsid w:val="00344E22"/>
    <w:rsid w:val="00344E9F"/>
    <w:rsid w:val="00344F72"/>
    <w:rsid w:val="0034511F"/>
    <w:rsid w:val="003455F6"/>
    <w:rsid w:val="00345645"/>
    <w:rsid w:val="00345A28"/>
    <w:rsid w:val="00345BF4"/>
    <w:rsid w:val="00345D52"/>
    <w:rsid w:val="00345D53"/>
    <w:rsid w:val="003468FC"/>
    <w:rsid w:val="0034699E"/>
    <w:rsid w:val="00346D60"/>
    <w:rsid w:val="00346DDC"/>
    <w:rsid w:val="00347047"/>
    <w:rsid w:val="0034707C"/>
    <w:rsid w:val="00347311"/>
    <w:rsid w:val="0034732A"/>
    <w:rsid w:val="00347782"/>
    <w:rsid w:val="00350196"/>
    <w:rsid w:val="00350210"/>
    <w:rsid w:val="003503BB"/>
    <w:rsid w:val="00350415"/>
    <w:rsid w:val="003505D3"/>
    <w:rsid w:val="0035062B"/>
    <w:rsid w:val="00350EF3"/>
    <w:rsid w:val="00351183"/>
    <w:rsid w:val="0035134F"/>
    <w:rsid w:val="00351444"/>
    <w:rsid w:val="0035189C"/>
    <w:rsid w:val="00351902"/>
    <w:rsid w:val="00351C55"/>
    <w:rsid w:val="00351E4C"/>
    <w:rsid w:val="0035203E"/>
    <w:rsid w:val="00352146"/>
    <w:rsid w:val="003523E5"/>
    <w:rsid w:val="003523E7"/>
    <w:rsid w:val="0035280E"/>
    <w:rsid w:val="00352927"/>
    <w:rsid w:val="00352D50"/>
    <w:rsid w:val="00352DA1"/>
    <w:rsid w:val="00352F72"/>
    <w:rsid w:val="0035406F"/>
    <w:rsid w:val="00354076"/>
    <w:rsid w:val="003540CE"/>
    <w:rsid w:val="00354223"/>
    <w:rsid w:val="003543A6"/>
    <w:rsid w:val="00354631"/>
    <w:rsid w:val="00354635"/>
    <w:rsid w:val="00354681"/>
    <w:rsid w:val="003549FF"/>
    <w:rsid w:val="00354E5A"/>
    <w:rsid w:val="00355426"/>
    <w:rsid w:val="00355A61"/>
    <w:rsid w:val="00355B39"/>
    <w:rsid w:val="00355BF0"/>
    <w:rsid w:val="00355D97"/>
    <w:rsid w:val="00356261"/>
    <w:rsid w:val="003562E7"/>
    <w:rsid w:val="00356825"/>
    <w:rsid w:val="003568A4"/>
    <w:rsid w:val="00356B44"/>
    <w:rsid w:val="00356DF8"/>
    <w:rsid w:val="00357205"/>
    <w:rsid w:val="003573F3"/>
    <w:rsid w:val="003574F8"/>
    <w:rsid w:val="003578FA"/>
    <w:rsid w:val="003579E8"/>
    <w:rsid w:val="00357D7A"/>
    <w:rsid w:val="00357F28"/>
    <w:rsid w:val="00360125"/>
    <w:rsid w:val="00360688"/>
    <w:rsid w:val="0036068C"/>
    <w:rsid w:val="00360993"/>
    <w:rsid w:val="00360B56"/>
    <w:rsid w:val="00360CAA"/>
    <w:rsid w:val="00360E2B"/>
    <w:rsid w:val="003610DA"/>
    <w:rsid w:val="0036120A"/>
    <w:rsid w:val="00361375"/>
    <w:rsid w:val="003613FF"/>
    <w:rsid w:val="00361417"/>
    <w:rsid w:val="00361B4B"/>
    <w:rsid w:val="00361EC8"/>
    <w:rsid w:val="0036214F"/>
    <w:rsid w:val="003622D3"/>
    <w:rsid w:val="003624AC"/>
    <w:rsid w:val="003629D7"/>
    <w:rsid w:val="00362C77"/>
    <w:rsid w:val="00362CB1"/>
    <w:rsid w:val="003634F5"/>
    <w:rsid w:val="0036351C"/>
    <w:rsid w:val="00363B38"/>
    <w:rsid w:val="00363B39"/>
    <w:rsid w:val="00363DB5"/>
    <w:rsid w:val="00363F97"/>
    <w:rsid w:val="003641EA"/>
    <w:rsid w:val="0036425D"/>
    <w:rsid w:val="00364265"/>
    <w:rsid w:val="003644FC"/>
    <w:rsid w:val="00364722"/>
    <w:rsid w:val="003649E8"/>
    <w:rsid w:val="00364AAE"/>
    <w:rsid w:val="00364BAC"/>
    <w:rsid w:val="00364CE3"/>
    <w:rsid w:val="00364DD3"/>
    <w:rsid w:val="00364F28"/>
    <w:rsid w:val="00364FF9"/>
    <w:rsid w:val="003652F3"/>
    <w:rsid w:val="00365431"/>
    <w:rsid w:val="00365709"/>
    <w:rsid w:val="0036577B"/>
    <w:rsid w:val="003659D5"/>
    <w:rsid w:val="00365A28"/>
    <w:rsid w:val="00365A76"/>
    <w:rsid w:val="00365FEB"/>
    <w:rsid w:val="0036621F"/>
    <w:rsid w:val="00366A28"/>
    <w:rsid w:val="00366BBC"/>
    <w:rsid w:val="00366BFE"/>
    <w:rsid w:val="00366CBC"/>
    <w:rsid w:val="00366D62"/>
    <w:rsid w:val="003671EA"/>
    <w:rsid w:val="003673C6"/>
    <w:rsid w:val="003674FB"/>
    <w:rsid w:val="003676D0"/>
    <w:rsid w:val="0036792A"/>
    <w:rsid w:val="00367DA3"/>
    <w:rsid w:val="00367DAF"/>
    <w:rsid w:val="00367EE0"/>
    <w:rsid w:val="00370351"/>
    <w:rsid w:val="003707EB"/>
    <w:rsid w:val="00370B24"/>
    <w:rsid w:val="00370B5C"/>
    <w:rsid w:val="00370BA9"/>
    <w:rsid w:val="003712F9"/>
    <w:rsid w:val="00371791"/>
    <w:rsid w:val="00371A65"/>
    <w:rsid w:val="00371A77"/>
    <w:rsid w:val="00371A7B"/>
    <w:rsid w:val="00371A80"/>
    <w:rsid w:val="00371A86"/>
    <w:rsid w:val="00371CB9"/>
    <w:rsid w:val="0037230E"/>
    <w:rsid w:val="003724BD"/>
    <w:rsid w:val="0037255C"/>
    <w:rsid w:val="00372A63"/>
    <w:rsid w:val="00372B0F"/>
    <w:rsid w:val="00372F0D"/>
    <w:rsid w:val="003731E5"/>
    <w:rsid w:val="00373210"/>
    <w:rsid w:val="00373287"/>
    <w:rsid w:val="00373562"/>
    <w:rsid w:val="00373943"/>
    <w:rsid w:val="00373E74"/>
    <w:rsid w:val="0037408A"/>
    <w:rsid w:val="00374282"/>
    <w:rsid w:val="003742F6"/>
    <w:rsid w:val="00374381"/>
    <w:rsid w:val="003744AB"/>
    <w:rsid w:val="003747A5"/>
    <w:rsid w:val="003749B4"/>
    <w:rsid w:val="00374B59"/>
    <w:rsid w:val="0037510B"/>
    <w:rsid w:val="003752C7"/>
    <w:rsid w:val="00375311"/>
    <w:rsid w:val="0037537D"/>
    <w:rsid w:val="00375576"/>
    <w:rsid w:val="00375674"/>
    <w:rsid w:val="00375F33"/>
    <w:rsid w:val="00376136"/>
    <w:rsid w:val="00376746"/>
    <w:rsid w:val="00376893"/>
    <w:rsid w:val="00376A04"/>
    <w:rsid w:val="00376A20"/>
    <w:rsid w:val="00376ABF"/>
    <w:rsid w:val="00376B6F"/>
    <w:rsid w:val="00377197"/>
    <w:rsid w:val="00377447"/>
    <w:rsid w:val="00377459"/>
    <w:rsid w:val="003778F5"/>
    <w:rsid w:val="00377CED"/>
    <w:rsid w:val="00377FEF"/>
    <w:rsid w:val="00380139"/>
    <w:rsid w:val="00380430"/>
    <w:rsid w:val="00380950"/>
    <w:rsid w:val="00380964"/>
    <w:rsid w:val="00380B86"/>
    <w:rsid w:val="00380F96"/>
    <w:rsid w:val="003814E8"/>
    <w:rsid w:val="00381A4B"/>
    <w:rsid w:val="00381DEB"/>
    <w:rsid w:val="00381F2B"/>
    <w:rsid w:val="00382141"/>
    <w:rsid w:val="003821ED"/>
    <w:rsid w:val="00382330"/>
    <w:rsid w:val="003824A0"/>
    <w:rsid w:val="0038292E"/>
    <w:rsid w:val="00382CA0"/>
    <w:rsid w:val="00382EE8"/>
    <w:rsid w:val="00383A2E"/>
    <w:rsid w:val="00383CC6"/>
    <w:rsid w:val="0038429A"/>
    <w:rsid w:val="003845AA"/>
    <w:rsid w:val="003848C2"/>
    <w:rsid w:val="00384BF6"/>
    <w:rsid w:val="00384D9D"/>
    <w:rsid w:val="00384E68"/>
    <w:rsid w:val="00384EA9"/>
    <w:rsid w:val="0038505D"/>
    <w:rsid w:val="003850B4"/>
    <w:rsid w:val="003858E1"/>
    <w:rsid w:val="00385936"/>
    <w:rsid w:val="00385DE1"/>
    <w:rsid w:val="00385DEA"/>
    <w:rsid w:val="00386237"/>
    <w:rsid w:val="00386567"/>
    <w:rsid w:val="00386615"/>
    <w:rsid w:val="003866B4"/>
    <w:rsid w:val="00386BD7"/>
    <w:rsid w:val="00386BE8"/>
    <w:rsid w:val="00387281"/>
    <w:rsid w:val="00387BA6"/>
    <w:rsid w:val="00387C32"/>
    <w:rsid w:val="003901BD"/>
    <w:rsid w:val="0039039B"/>
    <w:rsid w:val="003904F4"/>
    <w:rsid w:val="00390795"/>
    <w:rsid w:val="003911D3"/>
    <w:rsid w:val="00391207"/>
    <w:rsid w:val="00391259"/>
    <w:rsid w:val="00391504"/>
    <w:rsid w:val="00391574"/>
    <w:rsid w:val="003915C1"/>
    <w:rsid w:val="003916AC"/>
    <w:rsid w:val="003917E1"/>
    <w:rsid w:val="00391896"/>
    <w:rsid w:val="003918E2"/>
    <w:rsid w:val="00391B88"/>
    <w:rsid w:val="00392072"/>
    <w:rsid w:val="003922A3"/>
    <w:rsid w:val="003924CF"/>
    <w:rsid w:val="00392BF6"/>
    <w:rsid w:val="00392E8F"/>
    <w:rsid w:val="003931AA"/>
    <w:rsid w:val="0039337D"/>
    <w:rsid w:val="00393567"/>
    <w:rsid w:val="003937A2"/>
    <w:rsid w:val="003938F6"/>
    <w:rsid w:val="00393915"/>
    <w:rsid w:val="00393956"/>
    <w:rsid w:val="003939D8"/>
    <w:rsid w:val="00393B59"/>
    <w:rsid w:val="00393F73"/>
    <w:rsid w:val="00393FA7"/>
    <w:rsid w:val="003940B7"/>
    <w:rsid w:val="0039432C"/>
    <w:rsid w:val="0039482A"/>
    <w:rsid w:val="00394B3F"/>
    <w:rsid w:val="00394BBC"/>
    <w:rsid w:val="00395119"/>
    <w:rsid w:val="003952C5"/>
    <w:rsid w:val="00395704"/>
    <w:rsid w:val="00395861"/>
    <w:rsid w:val="003958B6"/>
    <w:rsid w:val="00395CCB"/>
    <w:rsid w:val="0039608A"/>
    <w:rsid w:val="003960B2"/>
    <w:rsid w:val="00396186"/>
    <w:rsid w:val="003969D7"/>
    <w:rsid w:val="00396B9D"/>
    <w:rsid w:val="00396C96"/>
    <w:rsid w:val="00396F7A"/>
    <w:rsid w:val="0039703D"/>
    <w:rsid w:val="0039725A"/>
    <w:rsid w:val="003972BD"/>
    <w:rsid w:val="00397760"/>
    <w:rsid w:val="00397BF4"/>
    <w:rsid w:val="00397E31"/>
    <w:rsid w:val="00397E79"/>
    <w:rsid w:val="00397F1A"/>
    <w:rsid w:val="003A0098"/>
    <w:rsid w:val="003A0190"/>
    <w:rsid w:val="003A01C5"/>
    <w:rsid w:val="003A0487"/>
    <w:rsid w:val="003A06AD"/>
    <w:rsid w:val="003A06E4"/>
    <w:rsid w:val="003A079F"/>
    <w:rsid w:val="003A07D8"/>
    <w:rsid w:val="003A0957"/>
    <w:rsid w:val="003A097B"/>
    <w:rsid w:val="003A0C32"/>
    <w:rsid w:val="003A1188"/>
    <w:rsid w:val="003A1229"/>
    <w:rsid w:val="003A1255"/>
    <w:rsid w:val="003A1302"/>
    <w:rsid w:val="003A13BC"/>
    <w:rsid w:val="003A14C2"/>
    <w:rsid w:val="003A1587"/>
    <w:rsid w:val="003A16A2"/>
    <w:rsid w:val="003A17E5"/>
    <w:rsid w:val="003A1C85"/>
    <w:rsid w:val="003A1D6B"/>
    <w:rsid w:val="003A1E90"/>
    <w:rsid w:val="003A268B"/>
    <w:rsid w:val="003A28EE"/>
    <w:rsid w:val="003A2AAF"/>
    <w:rsid w:val="003A2B52"/>
    <w:rsid w:val="003A2F7B"/>
    <w:rsid w:val="003A30CE"/>
    <w:rsid w:val="003A3156"/>
    <w:rsid w:val="003A339A"/>
    <w:rsid w:val="003A35C8"/>
    <w:rsid w:val="003A3726"/>
    <w:rsid w:val="003A387D"/>
    <w:rsid w:val="003A3A0E"/>
    <w:rsid w:val="003A3AB3"/>
    <w:rsid w:val="003A3BDE"/>
    <w:rsid w:val="003A3DDB"/>
    <w:rsid w:val="003A3E5B"/>
    <w:rsid w:val="003A3E6E"/>
    <w:rsid w:val="003A3EFC"/>
    <w:rsid w:val="003A4053"/>
    <w:rsid w:val="003A40D1"/>
    <w:rsid w:val="003A467D"/>
    <w:rsid w:val="003A46A9"/>
    <w:rsid w:val="003A4A35"/>
    <w:rsid w:val="003A4B1A"/>
    <w:rsid w:val="003A4B1F"/>
    <w:rsid w:val="003A4EA6"/>
    <w:rsid w:val="003A5805"/>
    <w:rsid w:val="003A5814"/>
    <w:rsid w:val="003A58B3"/>
    <w:rsid w:val="003A597F"/>
    <w:rsid w:val="003A5B9C"/>
    <w:rsid w:val="003A5BC5"/>
    <w:rsid w:val="003A5C3C"/>
    <w:rsid w:val="003A618E"/>
    <w:rsid w:val="003A64D2"/>
    <w:rsid w:val="003A6A29"/>
    <w:rsid w:val="003A6E13"/>
    <w:rsid w:val="003A701A"/>
    <w:rsid w:val="003A71F3"/>
    <w:rsid w:val="003A785D"/>
    <w:rsid w:val="003A7C8C"/>
    <w:rsid w:val="003A7D1E"/>
    <w:rsid w:val="003A7E93"/>
    <w:rsid w:val="003B003F"/>
    <w:rsid w:val="003B0134"/>
    <w:rsid w:val="003B0216"/>
    <w:rsid w:val="003B0B19"/>
    <w:rsid w:val="003B0D71"/>
    <w:rsid w:val="003B0F46"/>
    <w:rsid w:val="003B109D"/>
    <w:rsid w:val="003B118F"/>
    <w:rsid w:val="003B1195"/>
    <w:rsid w:val="003B123B"/>
    <w:rsid w:val="003B1543"/>
    <w:rsid w:val="003B17E3"/>
    <w:rsid w:val="003B1986"/>
    <w:rsid w:val="003B1B20"/>
    <w:rsid w:val="003B1CF2"/>
    <w:rsid w:val="003B1DF6"/>
    <w:rsid w:val="003B2042"/>
    <w:rsid w:val="003B2092"/>
    <w:rsid w:val="003B2137"/>
    <w:rsid w:val="003B23EF"/>
    <w:rsid w:val="003B2492"/>
    <w:rsid w:val="003B2562"/>
    <w:rsid w:val="003B2B25"/>
    <w:rsid w:val="003B2BFC"/>
    <w:rsid w:val="003B324C"/>
    <w:rsid w:val="003B3284"/>
    <w:rsid w:val="003B344E"/>
    <w:rsid w:val="003B35AC"/>
    <w:rsid w:val="003B39ED"/>
    <w:rsid w:val="003B3B49"/>
    <w:rsid w:val="003B3E16"/>
    <w:rsid w:val="003B3EBD"/>
    <w:rsid w:val="003B4124"/>
    <w:rsid w:val="003B41A8"/>
    <w:rsid w:val="003B421B"/>
    <w:rsid w:val="003B452C"/>
    <w:rsid w:val="003B454C"/>
    <w:rsid w:val="003B49E0"/>
    <w:rsid w:val="003B4A1F"/>
    <w:rsid w:val="003B4A9A"/>
    <w:rsid w:val="003B4BB7"/>
    <w:rsid w:val="003B4D26"/>
    <w:rsid w:val="003B4D45"/>
    <w:rsid w:val="003B4E75"/>
    <w:rsid w:val="003B520C"/>
    <w:rsid w:val="003B5512"/>
    <w:rsid w:val="003B5955"/>
    <w:rsid w:val="003B5F63"/>
    <w:rsid w:val="003B602E"/>
    <w:rsid w:val="003B63C2"/>
    <w:rsid w:val="003B65D9"/>
    <w:rsid w:val="003B6854"/>
    <w:rsid w:val="003B6895"/>
    <w:rsid w:val="003B6A49"/>
    <w:rsid w:val="003B6A55"/>
    <w:rsid w:val="003B6AB9"/>
    <w:rsid w:val="003B6F0F"/>
    <w:rsid w:val="003B6F50"/>
    <w:rsid w:val="003B725A"/>
    <w:rsid w:val="003B7308"/>
    <w:rsid w:val="003B77D9"/>
    <w:rsid w:val="003B7B79"/>
    <w:rsid w:val="003B7BEE"/>
    <w:rsid w:val="003B7C29"/>
    <w:rsid w:val="003B7CAC"/>
    <w:rsid w:val="003B7DF2"/>
    <w:rsid w:val="003C00FA"/>
    <w:rsid w:val="003C020C"/>
    <w:rsid w:val="003C0359"/>
    <w:rsid w:val="003C0A70"/>
    <w:rsid w:val="003C11DA"/>
    <w:rsid w:val="003C12FE"/>
    <w:rsid w:val="003C141D"/>
    <w:rsid w:val="003C146E"/>
    <w:rsid w:val="003C1A57"/>
    <w:rsid w:val="003C1F79"/>
    <w:rsid w:val="003C1FD1"/>
    <w:rsid w:val="003C2133"/>
    <w:rsid w:val="003C2655"/>
    <w:rsid w:val="003C2691"/>
    <w:rsid w:val="003C29AF"/>
    <w:rsid w:val="003C2BC0"/>
    <w:rsid w:val="003C2C7F"/>
    <w:rsid w:val="003C2CB4"/>
    <w:rsid w:val="003C2FBD"/>
    <w:rsid w:val="003C3400"/>
    <w:rsid w:val="003C340A"/>
    <w:rsid w:val="003C35E0"/>
    <w:rsid w:val="003C36DC"/>
    <w:rsid w:val="003C3815"/>
    <w:rsid w:val="003C3919"/>
    <w:rsid w:val="003C3ACD"/>
    <w:rsid w:val="003C3FAE"/>
    <w:rsid w:val="003C4148"/>
    <w:rsid w:val="003C44A8"/>
    <w:rsid w:val="003C4640"/>
    <w:rsid w:val="003C478F"/>
    <w:rsid w:val="003C4876"/>
    <w:rsid w:val="003C48EC"/>
    <w:rsid w:val="003C51CF"/>
    <w:rsid w:val="003C52CA"/>
    <w:rsid w:val="003C5ABA"/>
    <w:rsid w:val="003C5D02"/>
    <w:rsid w:val="003C5E19"/>
    <w:rsid w:val="003C5FAB"/>
    <w:rsid w:val="003C60D6"/>
    <w:rsid w:val="003C66FE"/>
    <w:rsid w:val="003C6861"/>
    <w:rsid w:val="003C6976"/>
    <w:rsid w:val="003C698C"/>
    <w:rsid w:val="003C6A60"/>
    <w:rsid w:val="003C6C2F"/>
    <w:rsid w:val="003C6F51"/>
    <w:rsid w:val="003C709C"/>
    <w:rsid w:val="003C713B"/>
    <w:rsid w:val="003C7326"/>
    <w:rsid w:val="003C73D8"/>
    <w:rsid w:val="003C74AF"/>
    <w:rsid w:val="003C7563"/>
    <w:rsid w:val="003C7688"/>
    <w:rsid w:val="003C7993"/>
    <w:rsid w:val="003C7D61"/>
    <w:rsid w:val="003C7DB6"/>
    <w:rsid w:val="003D04B1"/>
    <w:rsid w:val="003D051B"/>
    <w:rsid w:val="003D0727"/>
    <w:rsid w:val="003D08EA"/>
    <w:rsid w:val="003D095B"/>
    <w:rsid w:val="003D09F7"/>
    <w:rsid w:val="003D0EB9"/>
    <w:rsid w:val="003D0FE0"/>
    <w:rsid w:val="003D1408"/>
    <w:rsid w:val="003D140A"/>
    <w:rsid w:val="003D16B2"/>
    <w:rsid w:val="003D1802"/>
    <w:rsid w:val="003D189A"/>
    <w:rsid w:val="003D18EF"/>
    <w:rsid w:val="003D1E0D"/>
    <w:rsid w:val="003D1EFA"/>
    <w:rsid w:val="003D2056"/>
    <w:rsid w:val="003D2075"/>
    <w:rsid w:val="003D27B0"/>
    <w:rsid w:val="003D293D"/>
    <w:rsid w:val="003D2A98"/>
    <w:rsid w:val="003D2B3C"/>
    <w:rsid w:val="003D3148"/>
    <w:rsid w:val="003D3455"/>
    <w:rsid w:val="003D357F"/>
    <w:rsid w:val="003D3594"/>
    <w:rsid w:val="003D3675"/>
    <w:rsid w:val="003D37A8"/>
    <w:rsid w:val="003D38AA"/>
    <w:rsid w:val="003D3BA9"/>
    <w:rsid w:val="003D4262"/>
    <w:rsid w:val="003D432F"/>
    <w:rsid w:val="003D482B"/>
    <w:rsid w:val="003D4ABF"/>
    <w:rsid w:val="003D4DCF"/>
    <w:rsid w:val="003D4DDC"/>
    <w:rsid w:val="003D4E0B"/>
    <w:rsid w:val="003D4ECF"/>
    <w:rsid w:val="003D5079"/>
    <w:rsid w:val="003D521F"/>
    <w:rsid w:val="003D57B9"/>
    <w:rsid w:val="003D5844"/>
    <w:rsid w:val="003D584B"/>
    <w:rsid w:val="003D593F"/>
    <w:rsid w:val="003D5A1D"/>
    <w:rsid w:val="003D5B25"/>
    <w:rsid w:val="003D5B99"/>
    <w:rsid w:val="003D5DF5"/>
    <w:rsid w:val="003D5E1B"/>
    <w:rsid w:val="003D6360"/>
    <w:rsid w:val="003D6445"/>
    <w:rsid w:val="003D64C9"/>
    <w:rsid w:val="003D64E4"/>
    <w:rsid w:val="003D6507"/>
    <w:rsid w:val="003D6A27"/>
    <w:rsid w:val="003D6ABF"/>
    <w:rsid w:val="003D6B55"/>
    <w:rsid w:val="003D6C4B"/>
    <w:rsid w:val="003D6C72"/>
    <w:rsid w:val="003D6E61"/>
    <w:rsid w:val="003D6F9E"/>
    <w:rsid w:val="003D734B"/>
    <w:rsid w:val="003D7507"/>
    <w:rsid w:val="003D777F"/>
    <w:rsid w:val="003D7A1E"/>
    <w:rsid w:val="003D7AE7"/>
    <w:rsid w:val="003D7E23"/>
    <w:rsid w:val="003E0076"/>
    <w:rsid w:val="003E00D0"/>
    <w:rsid w:val="003E020A"/>
    <w:rsid w:val="003E02C5"/>
    <w:rsid w:val="003E0FD0"/>
    <w:rsid w:val="003E19BA"/>
    <w:rsid w:val="003E1B76"/>
    <w:rsid w:val="003E1EB5"/>
    <w:rsid w:val="003E1ED9"/>
    <w:rsid w:val="003E1F5E"/>
    <w:rsid w:val="003E2377"/>
    <w:rsid w:val="003E2521"/>
    <w:rsid w:val="003E2534"/>
    <w:rsid w:val="003E2BA9"/>
    <w:rsid w:val="003E2C26"/>
    <w:rsid w:val="003E30DF"/>
    <w:rsid w:val="003E32D4"/>
    <w:rsid w:val="003E3326"/>
    <w:rsid w:val="003E3391"/>
    <w:rsid w:val="003E344F"/>
    <w:rsid w:val="003E346C"/>
    <w:rsid w:val="003E3768"/>
    <w:rsid w:val="003E37E6"/>
    <w:rsid w:val="003E38E9"/>
    <w:rsid w:val="003E3B85"/>
    <w:rsid w:val="003E40BE"/>
    <w:rsid w:val="003E433B"/>
    <w:rsid w:val="003E435F"/>
    <w:rsid w:val="003E446D"/>
    <w:rsid w:val="003E478A"/>
    <w:rsid w:val="003E47F2"/>
    <w:rsid w:val="003E4865"/>
    <w:rsid w:val="003E48A7"/>
    <w:rsid w:val="003E48BF"/>
    <w:rsid w:val="003E4C0A"/>
    <w:rsid w:val="003E4C17"/>
    <w:rsid w:val="003E4D49"/>
    <w:rsid w:val="003E4D72"/>
    <w:rsid w:val="003E4DDF"/>
    <w:rsid w:val="003E4F7C"/>
    <w:rsid w:val="003E5021"/>
    <w:rsid w:val="003E5049"/>
    <w:rsid w:val="003E51FA"/>
    <w:rsid w:val="003E526F"/>
    <w:rsid w:val="003E5720"/>
    <w:rsid w:val="003E5D3B"/>
    <w:rsid w:val="003E5DDA"/>
    <w:rsid w:val="003E5E2F"/>
    <w:rsid w:val="003E5FDC"/>
    <w:rsid w:val="003E5FE1"/>
    <w:rsid w:val="003E67D5"/>
    <w:rsid w:val="003E705B"/>
    <w:rsid w:val="003E7234"/>
    <w:rsid w:val="003F02A7"/>
    <w:rsid w:val="003F037C"/>
    <w:rsid w:val="003F04D4"/>
    <w:rsid w:val="003F07AE"/>
    <w:rsid w:val="003F0843"/>
    <w:rsid w:val="003F0C69"/>
    <w:rsid w:val="003F0ECB"/>
    <w:rsid w:val="003F1393"/>
    <w:rsid w:val="003F1B7D"/>
    <w:rsid w:val="003F1BBC"/>
    <w:rsid w:val="003F1E7A"/>
    <w:rsid w:val="003F2A27"/>
    <w:rsid w:val="003F2AD8"/>
    <w:rsid w:val="003F2C31"/>
    <w:rsid w:val="003F3067"/>
    <w:rsid w:val="003F3144"/>
    <w:rsid w:val="003F320A"/>
    <w:rsid w:val="003F32A7"/>
    <w:rsid w:val="003F3681"/>
    <w:rsid w:val="003F373E"/>
    <w:rsid w:val="003F44DA"/>
    <w:rsid w:val="003F4652"/>
    <w:rsid w:val="003F47AD"/>
    <w:rsid w:val="003F4837"/>
    <w:rsid w:val="003F4A5F"/>
    <w:rsid w:val="003F4AC4"/>
    <w:rsid w:val="003F4D2A"/>
    <w:rsid w:val="003F5008"/>
    <w:rsid w:val="003F5366"/>
    <w:rsid w:val="003F53A9"/>
    <w:rsid w:val="003F540A"/>
    <w:rsid w:val="003F5479"/>
    <w:rsid w:val="003F54F1"/>
    <w:rsid w:val="003F55BB"/>
    <w:rsid w:val="003F55F1"/>
    <w:rsid w:val="003F561E"/>
    <w:rsid w:val="003F5A45"/>
    <w:rsid w:val="003F5C34"/>
    <w:rsid w:val="003F5DDF"/>
    <w:rsid w:val="003F5E86"/>
    <w:rsid w:val="003F60C4"/>
    <w:rsid w:val="003F6457"/>
    <w:rsid w:val="003F6551"/>
    <w:rsid w:val="003F68B9"/>
    <w:rsid w:val="003F6B16"/>
    <w:rsid w:val="003F6C02"/>
    <w:rsid w:val="003F6CCE"/>
    <w:rsid w:val="003F6E01"/>
    <w:rsid w:val="003F6EFE"/>
    <w:rsid w:val="003F715A"/>
    <w:rsid w:val="003F7338"/>
    <w:rsid w:val="003F7991"/>
    <w:rsid w:val="003F7BC1"/>
    <w:rsid w:val="003F7C1C"/>
    <w:rsid w:val="003F7E18"/>
    <w:rsid w:val="003F7EE3"/>
    <w:rsid w:val="004001E6"/>
    <w:rsid w:val="00400232"/>
    <w:rsid w:val="004004CB"/>
    <w:rsid w:val="00400632"/>
    <w:rsid w:val="00400D16"/>
    <w:rsid w:val="00400D69"/>
    <w:rsid w:val="00400DEF"/>
    <w:rsid w:val="004013DE"/>
    <w:rsid w:val="00401522"/>
    <w:rsid w:val="004017DD"/>
    <w:rsid w:val="00401856"/>
    <w:rsid w:val="00401AA7"/>
    <w:rsid w:val="00401E85"/>
    <w:rsid w:val="00401FFA"/>
    <w:rsid w:val="00402158"/>
    <w:rsid w:val="0040215E"/>
    <w:rsid w:val="00402174"/>
    <w:rsid w:val="00402410"/>
    <w:rsid w:val="00402B24"/>
    <w:rsid w:val="00402FB6"/>
    <w:rsid w:val="00403186"/>
    <w:rsid w:val="004031C3"/>
    <w:rsid w:val="00403615"/>
    <w:rsid w:val="00403B4D"/>
    <w:rsid w:val="00403F1F"/>
    <w:rsid w:val="004040D1"/>
    <w:rsid w:val="004042B7"/>
    <w:rsid w:val="004044F8"/>
    <w:rsid w:val="00404533"/>
    <w:rsid w:val="00404862"/>
    <w:rsid w:val="00404C3F"/>
    <w:rsid w:val="00404C43"/>
    <w:rsid w:val="00404CAC"/>
    <w:rsid w:val="00404DAD"/>
    <w:rsid w:val="00405467"/>
    <w:rsid w:val="004055CB"/>
    <w:rsid w:val="00405B76"/>
    <w:rsid w:val="00405BD0"/>
    <w:rsid w:val="00405E7A"/>
    <w:rsid w:val="00405F06"/>
    <w:rsid w:val="0040632D"/>
    <w:rsid w:val="00406349"/>
    <w:rsid w:val="0040647C"/>
    <w:rsid w:val="004069FD"/>
    <w:rsid w:val="00406C63"/>
    <w:rsid w:val="00407076"/>
    <w:rsid w:val="004071E5"/>
    <w:rsid w:val="004072F1"/>
    <w:rsid w:val="004075D6"/>
    <w:rsid w:val="00407AB0"/>
    <w:rsid w:val="00407EFC"/>
    <w:rsid w:val="00410213"/>
    <w:rsid w:val="00410804"/>
    <w:rsid w:val="00410AED"/>
    <w:rsid w:val="00410BA7"/>
    <w:rsid w:val="00410D9C"/>
    <w:rsid w:val="00410E5F"/>
    <w:rsid w:val="00410F5F"/>
    <w:rsid w:val="00411062"/>
    <w:rsid w:val="00411744"/>
    <w:rsid w:val="00411B1B"/>
    <w:rsid w:val="00411C09"/>
    <w:rsid w:val="00411D2F"/>
    <w:rsid w:val="00411F26"/>
    <w:rsid w:val="00411F7A"/>
    <w:rsid w:val="004120CA"/>
    <w:rsid w:val="00412183"/>
    <w:rsid w:val="00412378"/>
    <w:rsid w:val="00412397"/>
    <w:rsid w:val="00412584"/>
    <w:rsid w:val="00412C28"/>
    <w:rsid w:val="00412C30"/>
    <w:rsid w:val="00412EF7"/>
    <w:rsid w:val="00413340"/>
    <w:rsid w:val="004133B0"/>
    <w:rsid w:val="004133EF"/>
    <w:rsid w:val="004134BF"/>
    <w:rsid w:val="004134D4"/>
    <w:rsid w:val="00413B5B"/>
    <w:rsid w:val="00413EC3"/>
    <w:rsid w:val="00414284"/>
    <w:rsid w:val="00414488"/>
    <w:rsid w:val="00414651"/>
    <w:rsid w:val="00415132"/>
    <w:rsid w:val="00415295"/>
    <w:rsid w:val="00415358"/>
    <w:rsid w:val="004155D4"/>
    <w:rsid w:val="0041596C"/>
    <w:rsid w:val="00415A5B"/>
    <w:rsid w:val="00415C46"/>
    <w:rsid w:val="00415C89"/>
    <w:rsid w:val="00415CE3"/>
    <w:rsid w:val="00415D7E"/>
    <w:rsid w:val="00415DF5"/>
    <w:rsid w:val="00415EF8"/>
    <w:rsid w:val="00415F34"/>
    <w:rsid w:val="004162CD"/>
    <w:rsid w:val="00416599"/>
    <w:rsid w:val="0041691C"/>
    <w:rsid w:val="00416A6A"/>
    <w:rsid w:val="00416E5B"/>
    <w:rsid w:val="004172F4"/>
    <w:rsid w:val="00417529"/>
    <w:rsid w:val="004177EE"/>
    <w:rsid w:val="0041782C"/>
    <w:rsid w:val="004178EB"/>
    <w:rsid w:val="00417D8A"/>
    <w:rsid w:val="00417E39"/>
    <w:rsid w:val="0042006B"/>
    <w:rsid w:val="004200DE"/>
    <w:rsid w:val="0042012E"/>
    <w:rsid w:val="00420342"/>
    <w:rsid w:val="004204AB"/>
    <w:rsid w:val="00420550"/>
    <w:rsid w:val="004205E8"/>
    <w:rsid w:val="00420644"/>
    <w:rsid w:val="00420971"/>
    <w:rsid w:val="0042181A"/>
    <w:rsid w:val="00421A42"/>
    <w:rsid w:val="00421B3B"/>
    <w:rsid w:val="00421D69"/>
    <w:rsid w:val="00422103"/>
    <w:rsid w:val="0042269F"/>
    <w:rsid w:val="00422A63"/>
    <w:rsid w:val="00422C3A"/>
    <w:rsid w:val="0042315A"/>
    <w:rsid w:val="0042348B"/>
    <w:rsid w:val="00423AE2"/>
    <w:rsid w:val="00423B39"/>
    <w:rsid w:val="00423B9E"/>
    <w:rsid w:val="00423CE5"/>
    <w:rsid w:val="00423E08"/>
    <w:rsid w:val="00423F15"/>
    <w:rsid w:val="0042446C"/>
    <w:rsid w:val="00424717"/>
    <w:rsid w:val="00424764"/>
    <w:rsid w:val="00424CB0"/>
    <w:rsid w:val="0042534E"/>
    <w:rsid w:val="004256B8"/>
    <w:rsid w:val="00425748"/>
    <w:rsid w:val="0042579E"/>
    <w:rsid w:val="00425A90"/>
    <w:rsid w:val="00425F80"/>
    <w:rsid w:val="004262EC"/>
    <w:rsid w:val="0042664E"/>
    <w:rsid w:val="00426955"/>
    <w:rsid w:val="00426969"/>
    <w:rsid w:val="004269C6"/>
    <w:rsid w:val="004269D3"/>
    <w:rsid w:val="00426F09"/>
    <w:rsid w:val="00426F4A"/>
    <w:rsid w:val="00426FC5"/>
    <w:rsid w:val="004272FA"/>
    <w:rsid w:val="00427586"/>
    <w:rsid w:val="004277AA"/>
    <w:rsid w:val="004277B6"/>
    <w:rsid w:val="004278E6"/>
    <w:rsid w:val="00427BC7"/>
    <w:rsid w:val="00427D13"/>
    <w:rsid w:val="00430182"/>
    <w:rsid w:val="004304B4"/>
    <w:rsid w:val="004304E0"/>
    <w:rsid w:val="004304F0"/>
    <w:rsid w:val="00430668"/>
    <w:rsid w:val="004309B4"/>
    <w:rsid w:val="00430B21"/>
    <w:rsid w:val="00430BFF"/>
    <w:rsid w:val="00430C48"/>
    <w:rsid w:val="00430F02"/>
    <w:rsid w:val="00430F2D"/>
    <w:rsid w:val="004310DC"/>
    <w:rsid w:val="004312ED"/>
    <w:rsid w:val="0043133A"/>
    <w:rsid w:val="00431440"/>
    <w:rsid w:val="0043147D"/>
    <w:rsid w:val="00431501"/>
    <w:rsid w:val="004315D1"/>
    <w:rsid w:val="004316DF"/>
    <w:rsid w:val="00431BE0"/>
    <w:rsid w:val="00431DE8"/>
    <w:rsid w:val="00431FE2"/>
    <w:rsid w:val="004321FB"/>
    <w:rsid w:val="00432497"/>
    <w:rsid w:val="004324F3"/>
    <w:rsid w:val="00432628"/>
    <w:rsid w:val="0043282F"/>
    <w:rsid w:val="00432A62"/>
    <w:rsid w:val="00432B20"/>
    <w:rsid w:val="00432B62"/>
    <w:rsid w:val="00432B91"/>
    <w:rsid w:val="00432CE5"/>
    <w:rsid w:val="00432D27"/>
    <w:rsid w:val="00432EBC"/>
    <w:rsid w:val="0043304F"/>
    <w:rsid w:val="004332FA"/>
    <w:rsid w:val="00433833"/>
    <w:rsid w:val="00433AE7"/>
    <w:rsid w:val="00433B0E"/>
    <w:rsid w:val="00433BBA"/>
    <w:rsid w:val="00433DC0"/>
    <w:rsid w:val="00434039"/>
    <w:rsid w:val="004341B5"/>
    <w:rsid w:val="0043420F"/>
    <w:rsid w:val="004343D9"/>
    <w:rsid w:val="004344FF"/>
    <w:rsid w:val="0043451A"/>
    <w:rsid w:val="004345EC"/>
    <w:rsid w:val="004347AE"/>
    <w:rsid w:val="00434A0C"/>
    <w:rsid w:val="00434F40"/>
    <w:rsid w:val="004350A9"/>
    <w:rsid w:val="004352BC"/>
    <w:rsid w:val="004356F0"/>
    <w:rsid w:val="004357D3"/>
    <w:rsid w:val="0043599A"/>
    <w:rsid w:val="00435B08"/>
    <w:rsid w:val="00435B5C"/>
    <w:rsid w:val="00435CFB"/>
    <w:rsid w:val="00435DA0"/>
    <w:rsid w:val="00435FE7"/>
    <w:rsid w:val="0043617D"/>
    <w:rsid w:val="0043632C"/>
    <w:rsid w:val="004363F0"/>
    <w:rsid w:val="004364FC"/>
    <w:rsid w:val="00436719"/>
    <w:rsid w:val="0043687A"/>
    <w:rsid w:val="004369A4"/>
    <w:rsid w:val="00436F8D"/>
    <w:rsid w:val="00437C11"/>
    <w:rsid w:val="00437C8B"/>
    <w:rsid w:val="00437CC6"/>
    <w:rsid w:val="00437DC0"/>
    <w:rsid w:val="004401AC"/>
    <w:rsid w:val="004404DD"/>
    <w:rsid w:val="004404EA"/>
    <w:rsid w:val="004405FF"/>
    <w:rsid w:val="00440DF9"/>
    <w:rsid w:val="00440FAE"/>
    <w:rsid w:val="0044113E"/>
    <w:rsid w:val="00441305"/>
    <w:rsid w:val="0044199C"/>
    <w:rsid w:val="00441A1C"/>
    <w:rsid w:val="0044208C"/>
    <w:rsid w:val="004421AE"/>
    <w:rsid w:val="004428F6"/>
    <w:rsid w:val="00442933"/>
    <w:rsid w:val="00442A66"/>
    <w:rsid w:val="00442FB7"/>
    <w:rsid w:val="004431A7"/>
    <w:rsid w:val="004441F9"/>
    <w:rsid w:val="004442E8"/>
    <w:rsid w:val="004444F8"/>
    <w:rsid w:val="004448C3"/>
    <w:rsid w:val="00444AF1"/>
    <w:rsid w:val="00444B74"/>
    <w:rsid w:val="00444F52"/>
    <w:rsid w:val="0044570C"/>
    <w:rsid w:val="00445A3A"/>
    <w:rsid w:val="00445AE3"/>
    <w:rsid w:val="00445BAB"/>
    <w:rsid w:val="0044617D"/>
    <w:rsid w:val="004465CE"/>
    <w:rsid w:val="004466DE"/>
    <w:rsid w:val="00446996"/>
    <w:rsid w:val="00446A11"/>
    <w:rsid w:val="00446ACB"/>
    <w:rsid w:val="00446BC5"/>
    <w:rsid w:val="00446E92"/>
    <w:rsid w:val="00446FC4"/>
    <w:rsid w:val="0044714A"/>
    <w:rsid w:val="0044719A"/>
    <w:rsid w:val="004476E3"/>
    <w:rsid w:val="00447DF0"/>
    <w:rsid w:val="0045021E"/>
    <w:rsid w:val="00450647"/>
    <w:rsid w:val="00450659"/>
    <w:rsid w:val="004506B6"/>
    <w:rsid w:val="00450958"/>
    <w:rsid w:val="00450AA5"/>
    <w:rsid w:val="00450E32"/>
    <w:rsid w:val="00450E88"/>
    <w:rsid w:val="004512D5"/>
    <w:rsid w:val="00451449"/>
    <w:rsid w:val="00451461"/>
    <w:rsid w:val="0045148E"/>
    <w:rsid w:val="004515B5"/>
    <w:rsid w:val="00451780"/>
    <w:rsid w:val="0045188A"/>
    <w:rsid w:val="004518F9"/>
    <w:rsid w:val="0045194B"/>
    <w:rsid w:val="00451B6F"/>
    <w:rsid w:val="00452037"/>
    <w:rsid w:val="00452769"/>
    <w:rsid w:val="00452803"/>
    <w:rsid w:val="00453219"/>
    <w:rsid w:val="00453381"/>
    <w:rsid w:val="0045358B"/>
    <w:rsid w:val="00453624"/>
    <w:rsid w:val="004539A2"/>
    <w:rsid w:val="00453E03"/>
    <w:rsid w:val="00453E4C"/>
    <w:rsid w:val="00453FBC"/>
    <w:rsid w:val="004545BB"/>
    <w:rsid w:val="004545BE"/>
    <w:rsid w:val="00454ACB"/>
    <w:rsid w:val="00454C90"/>
    <w:rsid w:val="004553BA"/>
    <w:rsid w:val="00455431"/>
    <w:rsid w:val="004556B1"/>
    <w:rsid w:val="004558EE"/>
    <w:rsid w:val="00455996"/>
    <w:rsid w:val="004559BF"/>
    <w:rsid w:val="00455C41"/>
    <w:rsid w:val="00456520"/>
    <w:rsid w:val="00456895"/>
    <w:rsid w:val="00456967"/>
    <w:rsid w:val="004569D6"/>
    <w:rsid w:val="00456C74"/>
    <w:rsid w:val="00457047"/>
    <w:rsid w:val="0045715E"/>
    <w:rsid w:val="00457358"/>
    <w:rsid w:val="004573E1"/>
    <w:rsid w:val="00457698"/>
    <w:rsid w:val="0045780B"/>
    <w:rsid w:val="0045796D"/>
    <w:rsid w:val="00457F4E"/>
    <w:rsid w:val="00457F68"/>
    <w:rsid w:val="004600C3"/>
    <w:rsid w:val="00460183"/>
    <w:rsid w:val="0046036F"/>
    <w:rsid w:val="004604D7"/>
    <w:rsid w:val="004605C5"/>
    <w:rsid w:val="00460880"/>
    <w:rsid w:val="004609AC"/>
    <w:rsid w:val="00460EBB"/>
    <w:rsid w:val="00461387"/>
    <w:rsid w:val="0046149A"/>
    <w:rsid w:val="0046170A"/>
    <w:rsid w:val="004617B4"/>
    <w:rsid w:val="004619BE"/>
    <w:rsid w:val="00461BB2"/>
    <w:rsid w:val="004621D0"/>
    <w:rsid w:val="0046246A"/>
    <w:rsid w:val="0046249B"/>
    <w:rsid w:val="004625F1"/>
    <w:rsid w:val="00462637"/>
    <w:rsid w:val="004627CC"/>
    <w:rsid w:val="004629FD"/>
    <w:rsid w:val="004632A0"/>
    <w:rsid w:val="00463498"/>
    <w:rsid w:val="00463550"/>
    <w:rsid w:val="00463555"/>
    <w:rsid w:val="004636C3"/>
    <w:rsid w:val="00463895"/>
    <w:rsid w:val="00463B16"/>
    <w:rsid w:val="00463F2F"/>
    <w:rsid w:val="00463F4B"/>
    <w:rsid w:val="004640CE"/>
    <w:rsid w:val="0046417B"/>
    <w:rsid w:val="004643DE"/>
    <w:rsid w:val="004645D7"/>
    <w:rsid w:val="004646AE"/>
    <w:rsid w:val="004648AB"/>
    <w:rsid w:val="00464980"/>
    <w:rsid w:val="00464BFF"/>
    <w:rsid w:val="00464E00"/>
    <w:rsid w:val="00464F78"/>
    <w:rsid w:val="004650C4"/>
    <w:rsid w:val="00465FD8"/>
    <w:rsid w:val="00466012"/>
    <w:rsid w:val="0046680C"/>
    <w:rsid w:val="004668D0"/>
    <w:rsid w:val="004669DA"/>
    <w:rsid w:val="00466A9A"/>
    <w:rsid w:val="00466AE5"/>
    <w:rsid w:val="00466CC9"/>
    <w:rsid w:val="00466D79"/>
    <w:rsid w:val="00466DD1"/>
    <w:rsid w:val="00466E3D"/>
    <w:rsid w:val="00466E40"/>
    <w:rsid w:val="00466F09"/>
    <w:rsid w:val="004670A7"/>
    <w:rsid w:val="0046723C"/>
    <w:rsid w:val="004672EC"/>
    <w:rsid w:val="004675AB"/>
    <w:rsid w:val="00467988"/>
    <w:rsid w:val="00467FAE"/>
    <w:rsid w:val="004700D7"/>
    <w:rsid w:val="004701A7"/>
    <w:rsid w:val="004704DA"/>
    <w:rsid w:val="0047074C"/>
    <w:rsid w:val="004709E2"/>
    <w:rsid w:val="00470B51"/>
    <w:rsid w:val="00470C1E"/>
    <w:rsid w:val="00471174"/>
    <w:rsid w:val="004711C5"/>
    <w:rsid w:val="004713F4"/>
    <w:rsid w:val="00471507"/>
    <w:rsid w:val="0047154B"/>
    <w:rsid w:val="0047163D"/>
    <w:rsid w:val="004716E0"/>
    <w:rsid w:val="00471789"/>
    <w:rsid w:val="00471A62"/>
    <w:rsid w:val="00471AA6"/>
    <w:rsid w:val="00471AC0"/>
    <w:rsid w:val="00471AD0"/>
    <w:rsid w:val="00471E55"/>
    <w:rsid w:val="0047223F"/>
    <w:rsid w:val="004722E4"/>
    <w:rsid w:val="00472312"/>
    <w:rsid w:val="004725FF"/>
    <w:rsid w:val="004727AA"/>
    <w:rsid w:val="0047282C"/>
    <w:rsid w:val="00472A40"/>
    <w:rsid w:val="00472D15"/>
    <w:rsid w:val="00472D9B"/>
    <w:rsid w:val="004738B3"/>
    <w:rsid w:val="0047397C"/>
    <w:rsid w:val="00473CCF"/>
    <w:rsid w:val="00473EAF"/>
    <w:rsid w:val="00474478"/>
    <w:rsid w:val="0047499E"/>
    <w:rsid w:val="00474D83"/>
    <w:rsid w:val="00474DCC"/>
    <w:rsid w:val="00475070"/>
    <w:rsid w:val="0047518C"/>
    <w:rsid w:val="00475269"/>
    <w:rsid w:val="004752A5"/>
    <w:rsid w:val="004753FB"/>
    <w:rsid w:val="00475417"/>
    <w:rsid w:val="0047551D"/>
    <w:rsid w:val="00475553"/>
    <w:rsid w:val="0047574E"/>
    <w:rsid w:val="00475A52"/>
    <w:rsid w:val="00475C5A"/>
    <w:rsid w:val="00475FA1"/>
    <w:rsid w:val="004760CB"/>
    <w:rsid w:val="00476195"/>
    <w:rsid w:val="00476302"/>
    <w:rsid w:val="0047643E"/>
    <w:rsid w:val="004764D7"/>
    <w:rsid w:val="00476A57"/>
    <w:rsid w:val="00476C97"/>
    <w:rsid w:val="00476EA2"/>
    <w:rsid w:val="00476F18"/>
    <w:rsid w:val="00477013"/>
    <w:rsid w:val="00477053"/>
    <w:rsid w:val="004773B1"/>
    <w:rsid w:val="00477549"/>
    <w:rsid w:val="00477616"/>
    <w:rsid w:val="00477860"/>
    <w:rsid w:val="004778D7"/>
    <w:rsid w:val="00477C0C"/>
    <w:rsid w:val="00477D3D"/>
    <w:rsid w:val="00477FEA"/>
    <w:rsid w:val="004800CF"/>
    <w:rsid w:val="0048090A"/>
    <w:rsid w:val="0048095B"/>
    <w:rsid w:val="00480B65"/>
    <w:rsid w:val="00480C6F"/>
    <w:rsid w:val="00481187"/>
    <w:rsid w:val="0048173E"/>
    <w:rsid w:val="00481764"/>
    <w:rsid w:val="0048188F"/>
    <w:rsid w:val="00481B33"/>
    <w:rsid w:val="00481BFD"/>
    <w:rsid w:val="00481C98"/>
    <w:rsid w:val="004820CA"/>
    <w:rsid w:val="00482278"/>
    <w:rsid w:val="00482441"/>
    <w:rsid w:val="004827E5"/>
    <w:rsid w:val="00482B4F"/>
    <w:rsid w:val="00482D1C"/>
    <w:rsid w:val="00482DC0"/>
    <w:rsid w:val="00482EDF"/>
    <w:rsid w:val="00482FA3"/>
    <w:rsid w:val="004830B5"/>
    <w:rsid w:val="0048332B"/>
    <w:rsid w:val="0048352E"/>
    <w:rsid w:val="00483630"/>
    <w:rsid w:val="0048368E"/>
    <w:rsid w:val="004836AE"/>
    <w:rsid w:val="00483864"/>
    <w:rsid w:val="00483906"/>
    <w:rsid w:val="00483AA8"/>
    <w:rsid w:val="00483B67"/>
    <w:rsid w:val="00483D06"/>
    <w:rsid w:val="00483D1C"/>
    <w:rsid w:val="0048476B"/>
    <w:rsid w:val="00484A03"/>
    <w:rsid w:val="00484ABC"/>
    <w:rsid w:val="00484CE1"/>
    <w:rsid w:val="00484E30"/>
    <w:rsid w:val="00484F7B"/>
    <w:rsid w:val="00484F82"/>
    <w:rsid w:val="004851F0"/>
    <w:rsid w:val="00485704"/>
    <w:rsid w:val="00485EFA"/>
    <w:rsid w:val="004861F6"/>
    <w:rsid w:val="0048621C"/>
    <w:rsid w:val="004863F3"/>
    <w:rsid w:val="00486415"/>
    <w:rsid w:val="0048649E"/>
    <w:rsid w:val="00486B89"/>
    <w:rsid w:val="0048736B"/>
    <w:rsid w:val="00487573"/>
    <w:rsid w:val="0048764D"/>
    <w:rsid w:val="0048770E"/>
    <w:rsid w:val="004877BF"/>
    <w:rsid w:val="004877C4"/>
    <w:rsid w:val="0048790F"/>
    <w:rsid w:val="00487A57"/>
    <w:rsid w:val="00487B7E"/>
    <w:rsid w:val="00487BAB"/>
    <w:rsid w:val="00487C24"/>
    <w:rsid w:val="00487CE7"/>
    <w:rsid w:val="00490157"/>
    <w:rsid w:val="004905B3"/>
    <w:rsid w:val="004907D3"/>
    <w:rsid w:val="00490B4F"/>
    <w:rsid w:val="00490C68"/>
    <w:rsid w:val="004910D9"/>
    <w:rsid w:val="0049136F"/>
    <w:rsid w:val="00491520"/>
    <w:rsid w:val="00491696"/>
    <w:rsid w:val="004919B0"/>
    <w:rsid w:val="00491A08"/>
    <w:rsid w:val="00491A42"/>
    <w:rsid w:val="00491C27"/>
    <w:rsid w:val="0049210F"/>
    <w:rsid w:val="00492466"/>
    <w:rsid w:val="004926B5"/>
    <w:rsid w:val="004926DF"/>
    <w:rsid w:val="0049289F"/>
    <w:rsid w:val="004928E4"/>
    <w:rsid w:val="004929CF"/>
    <w:rsid w:val="00492A51"/>
    <w:rsid w:val="00493508"/>
    <w:rsid w:val="0049352C"/>
    <w:rsid w:val="00493587"/>
    <w:rsid w:val="004936A5"/>
    <w:rsid w:val="00493AC9"/>
    <w:rsid w:val="00494058"/>
    <w:rsid w:val="00494128"/>
    <w:rsid w:val="004941CC"/>
    <w:rsid w:val="0049436A"/>
    <w:rsid w:val="00494418"/>
    <w:rsid w:val="0049466F"/>
    <w:rsid w:val="00494742"/>
    <w:rsid w:val="00494A0D"/>
    <w:rsid w:val="00494B78"/>
    <w:rsid w:val="004955B5"/>
    <w:rsid w:val="00495CE1"/>
    <w:rsid w:val="00495D04"/>
    <w:rsid w:val="00495E2C"/>
    <w:rsid w:val="00495E3A"/>
    <w:rsid w:val="00496065"/>
    <w:rsid w:val="0049638A"/>
    <w:rsid w:val="00496561"/>
    <w:rsid w:val="004965E8"/>
    <w:rsid w:val="00496C12"/>
    <w:rsid w:val="00496FB5"/>
    <w:rsid w:val="00496FBE"/>
    <w:rsid w:val="004973C1"/>
    <w:rsid w:val="004974F5"/>
    <w:rsid w:val="0049755C"/>
    <w:rsid w:val="00497570"/>
    <w:rsid w:val="00497819"/>
    <w:rsid w:val="0049785D"/>
    <w:rsid w:val="004A016E"/>
    <w:rsid w:val="004A01C1"/>
    <w:rsid w:val="004A06DF"/>
    <w:rsid w:val="004A09FD"/>
    <w:rsid w:val="004A0EA2"/>
    <w:rsid w:val="004A1180"/>
    <w:rsid w:val="004A1275"/>
    <w:rsid w:val="004A13B3"/>
    <w:rsid w:val="004A1520"/>
    <w:rsid w:val="004A17F2"/>
    <w:rsid w:val="004A189D"/>
    <w:rsid w:val="004A1968"/>
    <w:rsid w:val="004A1BDD"/>
    <w:rsid w:val="004A1FC6"/>
    <w:rsid w:val="004A248F"/>
    <w:rsid w:val="004A3018"/>
    <w:rsid w:val="004A3035"/>
    <w:rsid w:val="004A30D6"/>
    <w:rsid w:val="004A3376"/>
    <w:rsid w:val="004A3442"/>
    <w:rsid w:val="004A3AF2"/>
    <w:rsid w:val="004A3C46"/>
    <w:rsid w:val="004A3C8F"/>
    <w:rsid w:val="004A3CAF"/>
    <w:rsid w:val="004A40A9"/>
    <w:rsid w:val="004A41F1"/>
    <w:rsid w:val="004A43BD"/>
    <w:rsid w:val="004A4690"/>
    <w:rsid w:val="004A4792"/>
    <w:rsid w:val="004A49C1"/>
    <w:rsid w:val="004A4A9D"/>
    <w:rsid w:val="004A4B98"/>
    <w:rsid w:val="004A4E59"/>
    <w:rsid w:val="004A4F4F"/>
    <w:rsid w:val="004A5116"/>
    <w:rsid w:val="004A57F7"/>
    <w:rsid w:val="004A5856"/>
    <w:rsid w:val="004A597C"/>
    <w:rsid w:val="004A64D6"/>
    <w:rsid w:val="004A6921"/>
    <w:rsid w:val="004A6A17"/>
    <w:rsid w:val="004A6A40"/>
    <w:rsid w:val="004A6CD4"/>
    <w:rsid w:val="004A6DCB"/>
    <w:rsid w:val="004A6F97"/>
    <w:rsid w:val="004A72B1"/>
    <w:rsid w:val="004A74AB"/>
    <w:rsid w:val="004A7908"/>
    <w:rsid w:val="004A793A"/>
    <w:rsid w:val="004A7A87"/>
    <w:rsid w:val="004A7C06"/>
    <w:rsid w:val="004A7DDF"/>
    <w:rsid w:val="004A7E49"/>
    <w:rsid w:val="004B0338"/>
    <w:rsid w:val="004B037B"/>
    <w:rsid w:val="004B0688"/>
    <w:rsid w:val="004B06AA"/>
    <w:rsid w:val="004B07A9"/>
    <w:rsid w:val="004B0800"/>
    <w:rsid w:val="004B0887"/>
    <w:rsid w:val="004B0A11"/>
    <w:rsid w:val="004B0D57"/>
    <w:rsid w:val="004B0FF9"/>
    <w:rsid w:val="004B1031"/>
    <w:rsid w:val="004B10C2"/>
    <w:rsid w:val="004B1302"/>
    <w:rsid w:val="004B139E"/>
    <w:rsid w:val="004B144C"/>
    <w:rsid w:val="004B187C"/>
    <w:rsid w:val="004B18CB"/>
    <w:rsid w:val="004B198F"/>
    <w:rsid w:val="004B1A2D"/>
    <w:rsid w:val="004B1A97"/>
    <w:rsid w:val="004B1C0C"/>
    <w:rsid w:val="004B21DA"/>
    <w:rsid w:val="004B21EC"/>
    <w:rsid w:val="004B275F"/>
    <w:rsid w:val="004B2A3F"/>
    <w:rsid w:val="004B2AD6"/>
    <w:rsid w:val="004B2D6E"/>
    <w:rsid w:val="004B2E4F"/>
    <w:rsid w:val="004B2F70"/>
    <w:rsid w:val="004B34C7"/>
    <w:rsid w:val="004B3881"/>
    <w:rsid w:val="004B3AC4"/>
    <w:rsid w:val="004B3F15"/>
    <w:rsid w:val="004B3F4B"/>
    <w:rsid w:val="004B3FD0"/>
    <w:rsid w:val="004B41AE"/>
    <w:rsid w:val="004B42B3"/>
    <w:rsid w:val="004B4655"/>
    <w:rsid w:val="004B46FE"/>
    <w:rsid w:val="004B4B8C"/>
    <w:rsid w:val="004B4D44"/>
    <w:rsid w:val="004B4EA5"/>
    <w:rsid w:val="004B53C8"/>
    <w:rsid w:val="004B55B1"/>
    <w:rsid w:val="004B5769"/>
    <w:rsid w:val="004B5845"/>
    <w:rsid w:val="004B5912"/>
    <w:rsid w:val="004B5BD3"/>
    <w:rsid w:val="004B6101"/>
    <w:rsid w:val="004B663D"/>
    <w:rsid w:val="004B6D4F"/>
    <w:rsid w:val="004B6D77"/>
    <w:rsid w:val="004B6F09"/>
    <w:rsid w:val="004B6F64"/>
    <w:rsid w:val="004B7138"/>
    <w:rsid w:val="004B71BC"/>
    <w:rsid w:val="004B788F"/>
    <w:rsid w:val="004B79B6"/>
    <w:rsid w:val="004B7C51"/>
    <w:rsid w:val="004B7F9E"/>
    <w:rsid w:val="004C0558"/>
    <w:rsid w:val="004C0560"/>
    <w:rsid w:val="004C0656"/>
    <w:rsid w:val="004C0841"/>
    <w:rsid w:val="004C0A50"/>
    <w:rsid w:val="004C0B73"/>
    <w:rsid w:val="004C0CEC"/>
    <w:rsid w:val="004C0E60"/>
    <w:rsid w:val="004C0F41"/>
    <w:rsid w:val="004C0F65"/>
    <w:rsid w:val="004C0F83"/>
    <w:rsid w:val="004C0FF2"/>
    <w:rsid w:val="004C13A2"/>
    <w:rsid w:val="004C1432"/>
    <w:rsid w:val="004C151D"/>
    <w:rsid w:val="004C1590"/>
    <w:rsid w:val="004C1A7C"/>
    <w:rsid w:val="004C1AA8"/>
    <w:rsid w:val="004C1BA4"/>
    <w:rsid w:val="004C1DC6"/>
    <w:rsid w:val="004C1DD5"/>
    <w:rsid w:val="004C250E"/>
    <w:rsid w:val="004C2541"/>
    <w:rsid w:val="004C2CC5"/>
    <w:rsid w:val="004C2FA8"/>
    <w:rsid w:val="004C334B"/>
    <w:rsid w:val="004C3748"/>
    <w:rsid w:val="004C39DF"/>
    <w:rsid w:val="004C39FC"/>
    <w:rsid w:val="004C3DF9"/>
    <w:rsid w:val="004C41FB"/>
    <w:rsid w:val="004C4710"/>
    <w:rsid w:val="004C4871"/>
    <w:rsid w:val="004C48D9"/>
    <w:rsid w:val="004C4912"/>
    <w:rsid w:val="004C4BF1"/>
    <w:rsid w:val="004C4CB3"/>
    <w:rsid w:val="004C4DF6"/>
    <w:rsid w:val="004C5362"/>
    <w:rsid w:val="004C55F1"/>
    <w:rsid w:val="004C585E"/>
    <w:rsid w:val="004C5AEF"/>
    <w:rsid w:val="004C5BED"/>
    <w:rsid w:val="004C5FE5"/>
    <w:rsid w:val="004C615F"/>
    <w:rsid w:val="004C623B"/>
    <w:rsid w:val="004C62AF"/>
    <w:rsid w:val="004C637A"/>
    <w:rsid w:val="004C6413"/>
    <w:rsid w:val="004C64A8"/>
    <w:rsid w:val="004C6538"/>
    <w:rsid w:val="004C65C1"/>
    <w:rsid w:val="004C66AB"/>
    <w:rsid w:val="004C6946"/>
    <w:rsid w:val="004C69C5"/>
    <w:rsid w:val="004C6AB3"/>
    <w:rsid w:val="004C6DD8"/>
    <w:rsid w:val="004C7B16"/>
    <w:rsid w:val="004C7BDD"/>
    <w:rsid w:val="004C7CAB"/>
    <w:rsid w:val="004C7CCD"/>
    <w:rsid w:val="004C7DD8"/>
    <w:rsid w:val="004D0366"/>
    <w:rsid w:val="004D05C7"/>
    <w:rsid w:val="004D06B6"/>
    <w:rsid w:val="004D0A69"/>
    <w:rsid w:val="004D0C7A"/>
    <w:rsid w:val="004D0E24"/>
    <w:rsid w:val="004D1883"/>
    <w:rsid w:val="004D2023"/>
    <w:rsid w:val="004D2173"/>
    <w:rsid w:val="004D22B2"/>
    <w:rsid w:val="004D2466"/>
    <w:rsid w:val="004D250B"/>
    <w:rsid w:val="004D258C"/>
    <w:rsid w:val="004D25A2"/>
    <w:rsid w:val="004D2ABA"/>
    <w:rsid w:val="004D2F24"/>
    <w:rsid w:val="004D3017"/>
    <w:rsid w:val="004D33A4"/>
    <w:rsid w:val="004D3407"/>
    <w:rsid w:val="004D399D"/>
    <w:rsid w:val="004D3B76"/>
    <w:rsid w:val="004D3BE6"/>
    <w:rsid w:val="004D3D70"/>
    <w:rsid w:val="004D4159"/>
    <w:rsid w:val="004D4434"/>
    <w:rsid w:val="004D462A"/>
    <w:rsid w:val="004D4BF4"/>
    <w:rsid w:val="004D5626"/>
    <w:rsid w:val="004D5644"/>
    <w:rsid w:val="004D57ED"/>
    <w:rsid w:val="004D5924"/>
    <w:rsid w:val="004D5A4D"/>
    <w:rsid w:val="004D5D73"/>
    <w:rsid w:val="004D623B"/>
    <w:rsid w:val="004D63AE"/>
    <w:rsid w:val="004D6C09"/>
    <w:rsid w:val="004D6D1C"/>
    <w:rsid w:val="004D6D9F"/>
    <w:rsid w:val="004D6E03"/>
    <w:rsid w:val="004D71AB"/>
    <w:rsid w:val="004D7333"/>
    <w:rsid w:val="004D743B"/>
    <w:rsid w:val="004D7455"/>
    <w:rsid w:val="004D7547"/>
    <w:rsid w:val="004D755D"/>
    <w:rsid w:val="004D75EF"/>
    <w:rsid w:val="004D7D90"/>
    <w:rsid w:val="004E0346"/>
    <w:rsid w:val="004E039B"/>
    <w:rsid w:val="004E0594"/>
    <w:rsid w:val="004E0614"/>
    <w:rsid w:val="004E0697"/>
    <w:rsid w:val="004E07F9"/>
    <w:rsid w:val="004E0953"/>
    <w:rsid w:val="004E0D1D"/>
    <w:rsid w:val="004E1011"/>
    <w:rsid w:val="004E1047"/>
    <w:rsid w:val="004E1318"/>
    <w:rsid w:val="004E1526"/>
    <w:rsid w:val="004E1569"/>
    <w:rsid w:val="004E1582"/>
    <w:rsid w:val="004E1636"/>
    <w:rsid w:val="004E1645"/>
    <w:rsid w:val="004E18AD"/>
    <w:rsid w:val="004E1F4B"/>
    <w:rsid w:val="004E24C6"/>
    <w:rsid w:val="004E2892"/>
    <w:rsid w:val="004E29C9"/>
    <w:rsid w:val="004E2A79"/>
    <w:rsid w:val="004E2E8C"/>
    <w:rsid w:val="004E3047"/>
    <w:rsid w:val="004E3354"/>
    <w:rsid w:val="004E33A5"/>
    <w:rsid w:val="004E3466"/>
    <w:rsid w:val="004E35D2"/>
    <w:rsid w:val="004E360F"/>
    <w:rsid w:val="004E3A5C"/>
    <w:rsid w:val="004E3BAF"/>
    <w:rsid w:val="004E3C32"/>
    <w:rsid w:val="004E3C56"/>
    <w:rsid w:val="004E3C70"/>
    <w:rsid w:val="004E3D01"/>
    <w:rsid w:val="004E3D5F"/>
    <w:rsid w:val="004E3D69"/>
    <w:rsid w:val="004E3E0E"/>
    <w:rsid w:val="004E3ECE"/>
    <w:rsid w:val="004E400A"/>
    <w:rsid w:val="004E438B"/>
    <w:rsid w:val="004E4668"/>
    <w:rsid w:val="004E492D"/>
    <w:rsid w:val="004E4B10"/>
    <w:rsid w:val="004E4B28"/>
    <w:rsid w:val="004E4B32"/>
    <w:rsid w:val="004E4C57"/>
    <w:rsid w:val="004E4ED3"/>
    <w:rsid w:val="004E51C6"/>
    <w:rsid w:val="004E53D8"/>
    <w:rsid w:val="004E59CD"/>
    <w:rsid w:val="004E5BD3"/>
    <w:rsid w:val="004E5C54"/>
    <w:rsid w:val="004E5D06"/>
    <w:rsid w:val="004E5F6F"/>
    <w:rsid w:val="004E61E7"/>
    <w:rsid w:val="004E64CE"/>
    <w:rsid w:val="004E6893"/>
    <w:rsid w:val="004E68F1"/>
    <w:rsid w:val="004E7449"/>
    <w:rsid w:val="004E7ED1"/>
    <w:rsid w:val="004F0094"/>
    <w:rsid w:val="004F020C"/>
    <w:rsid w:val="004F02A4"/>
    <w:rsid w:val="004F02F6"/>
    <w:rsid w:val="004F0348"/>
    <w:rsid w:val="004F044B"/>
    <w:rsid w:val="004F05F5"/>
    <w:rsid w:val="004F0ACD"/>
    <w:rsid w:val="004F0FB1"/>
    <w:rsid w:val="004F0FF2"/>
    <w:rsid w:val="004F1159"/>
    <w:rsid w:val="004F13A7"/>
    <w:rsid w:val="004F13C0"/>
    <w:rsid w:val="004F1792"/>
    <w:rsid w:val="004F1893"/>
    <w:rsid w:val="004F19F6"/>
    <w:rsid w:val="004F1A92"/>
    <w:rsid w:val="004F1B5C"/>
    <w:rsid w:val="004F1CEF"/>
    <w:rsid w:val="004F1D5F"/>
    <w:rsid w:val="004F1EB2"/>
    <w:rsid w:val="004F1FB5"/>
    <w:rsid w:val="004F24A7"/>
    <w:rsid w:val="004F24E6"/>
    <w:rsid w:val="004F24E9"/>
    <w:rsid w:val="004F266C"/>
    <w:rsid w:val="004F2824"/>
    <w:rsid w:val="004F286B"/>
    <w:rsid w:val="004F28A0"/>
    <w:rsid w:val="004F2CE5"/>
    <w:rsid w:val="004F305A"/>
    <w:rsid w:val="004F3319"/>
    <w:rsid w:val="004F3592"/>
    <w:rsid w:val="004F3877"/>
    <w:rsid w:val="004F3E4B"/>
    <w:rsid w:val="004F3EE6"/>
    <w:rsid w:val="004F4925"/>
    <w:rsid w:val="004F4AD2"/>
    <w:rsid w:val="004F4D78"/>
    <w:rsid w:val="004F5115"/>
    <w:rsid w:val="004F51CE"/>
    <w:rsid w:val="004F52E8"/>
    <w:rsid w:val="004F53DD"/>
    <w:rsid w:val="004F56F7"/>
    <w:rsid w:val="004F58BD"/>
    <w:rsid w:val="004F59D3"/>
    <w:rsid w:val="004F59E6"/>
    <w:rsid w:val="004F5E29"/>
    <w:rsid w:val="004F5F1B"/>
    <w:rsid w:val="004F629F"/>
    <w:rsid w:val="004F649D"/>
    <w:rsid w:val="004F649F"/>
    <w:rsid w:val="004F6602"/>
    <w:rsid w:val="004F6AB3"/>
    <w:rsid w:val="004F6B5C"/>
    <w:rsid w:val="004F6BCF"/>
    <w:rsid w:val="004F6E46"/>
    <w:rsid w:val="004F6FEC"/>
    <w:rsid w:val="004F7182"/>
    <w:rsid w:val="004F75AC"/>
    <w:rsid w:val="004F7A1E"/>
    <w:rsid w:val="004F7E00"/>
    <w:rsid w:val="004F7FB5"/>
    <w:rsid w:val="005000E5"/>
    <w:rsid w:val="005003C5"/>
    <w:rsid w:val="0050081A"/>
    <w:rsid w:val="00500AC4"/>
    <w:rsid w:val="00500BC7"/>
    <w:rsid w:val="0050103A"/>
    <w:rsid w:val="0050103E"/>
    <w:rsid w:val="0050123F"/>
    <w:rsid w:val="0050130D"/>
    <w:rsid w:val="00501699"/>
    <w:rsid w:val="005016C4"/>
    <w:rsid w:val="00501940"/>
    <w:rsid w:val="00501B70"/>
    <w:rsid w:val="00501B91"/>
    <w:rsid w:val="0050206E"/>
    <w:rsid w:val="00502532"/>
    <w:rsid w:val="00502591"/>
    <w:rsid w:val="00502609"/>
    <w:rsid w:val="0050282C"/>
    <w:rsid w:val="00502AA9"/>
    <w:rsid w:val="00502AFB"/>
    <w:rsid w:val="005030CE"/>
    <w:rsid w:val="0050318E"/>
    <w:rsid w:val="005032A9"/>
    <w:rsid w:val="00503983"/>
    <w:rsid w:val="00503D55"/>
    <w:rsid w:val="00503E0F"/>
    <w:rsid w:val="00504060"/>
    <w:rsid w:val="00504450"/>
    <w:rsid w:val="00504843"/>
    <w:rsid w:val="0050498D"/>
    <w:rsid w:val="00504EB8"/>
    <w:rsid w:val="00504F65"/>
    <w:rsid w:val="00504FF0"/>
    <w:rsid w:val="005050C9"/>
    <w:rsid w:val="0050559E"/>
    <w:rsid w:val="00505A9D"/>
    <w:rsid w:val="005060EE"/>
    <w:rsid w:val="0050619E"/>
    <w:rsid w:val="00506219"/>
    <w:rsid w:val="00506272"/>
    <w:rsid w:val="00506504"/>
    <w:rsid w:val="00506783"/>
    <w:rsid w:val="00506AB8"/>
    <w:rsid w:val="00506B3F"/>
    <w:rsid w:val="00506E81"/>
    <w:rsid w:val="005070B9"/>
    <w:rsid w:val="005070CC"/>
    <w:rsid w:val="005073E5"/>
    <w:rsid w:val="00507405"/>
    <w:rsid w:val="005075DF"/>
    <w:rsid w:val="0050794D"/>
    <w:rsid w:val="00507A43"/>
    <w:rsid w:val="00507D95"/>
    <w:rsid w:val="00507ED0"/>
    <w:rsid w:val="00507F1B"/>
    <w:rsid w:val="00510846"/>
    <w:rsid w:val="00510B52"/>
    <w:rsid w:val="00510D3C"/>
    <w:rsid w:val="00510F23"/>
    <w:rsid w:val="00510FF8"/>
    <w:rsid w:val="0051117F"/>
    <w:rsid w:val="0051167C"/>
    <w:rsid w:val="00511700"/>
    <w:rsid w:val="005118D0"/>
    <w:rsid w:val="00511A03"/>
    <w:rsid w:val="00511DC8"/>
    <w:rsid w:val="00511DD7"/>
    <w:rsid w:val="00511E1C"/>
    <w:rsid w:val="00511E7E"/>
    <w:rsid w:val="00511FE8"/>
    <w:rsid w:val="0051209D"/>
    <w:rsid w:val="005123EE"/>
    <w:rsid w:val="00512535"/>
    <w:rsid w:val="005127AE"/>
    <w:rsid w:val="00512990"/>
    <w:rsid w:val="005129B9"/>
    <w:rsid w:val="00512B87"/>
    <w:rsid w:val="00512C1C"/>
    <w:rsid w:val="00512DF5"/>
    <w:rsid w:val="00512E12"/>
    <w:rsid w:val="0051322F"/>
    <w:rsid w:val="00513269"/>
    <w:rsid w:val="00513348"/>
    <w:rsid w:val="005133A2"/>
    <w:rsid w:val="00513791"/>
    <w:rsid w:val="00513B5A"/>
    <w:rsid w:val="00513F8F"/>
    <w:rsid w:val="0051400A"/>
    <w:rsid w:val="005144EC"/>
    <w:rsid w:val="0051452C"/>
    <w:rsid w:val="00514570"/>
    <w:rsid w:val="005145F3"/>
    <w:rsid w:val="00514966"/>
    <w:rsid w:val="00514BBE"/>
    <w:rsid w:val="00514BC9"/>
    <w:rsid w:val="00514D66"/>
    <w:rsid w:val="00514D97"/>
    <w:rsid w:val="005152EE"/>
    <w:rsid w:val="00515ADA"/>
    <w:rsid w:val="00515C4B"/>
    <w:rsid w:val="00515DA1"/>
    <w:rsid w:val="005162C8"/>
    <w:rsid w:val="0051633B"/>
    <w:rsid w:val="00516357"/>
    <w:rsid w:val="005163B4"/>
    <w:rsid w:val="0051656A"/>
    <w:rsid w:val="00516644"/>
    <w:rsid w:val="0051711C"/>
    <w:rsid w:val="0051724A"/>
    <w:rsid w:val="00517254"/>
    <w:rsid w:val="0051730E"/>
    <w:rsid w:val="0051772A"/>
    <w:rsid w:val="0051774F"/>
    <w:rsid w:val="005178F1"/>
    <w:rsid w:val="00517C4C"/>
    <w:rsid w:val="00517CFE"/>
    <w:rsid w:val="00517FEA"/>
    <w:rsid w:val="00520015"/>
    <w:rsid w:val="00520196"/>
    <w:rsid w:val="005202CF"/>
    <w:rsid w:val="0052094F"/>
    <w:rsid w:val="00520A44"/>
    <w:rsid w:val="00521097"/>
    <w:rsid w:val="00521689"/>
    <w:rsid w:val="00521770"/>
    <w:rsid w:val="005217FD"/>
    <w:rsid w:val="0052197F"/>
    <w:rsid w:val="005223C1"/>
    <w:rsid w:val="00522756"/>
    <w:rsid w:val="005227D5"/>
    <w:rsid w:val="005227DC"/>
    <w:rsid w:val="005230E2"/>
    <w:rsid w:val="0052335D"/>
    <w:rsid w:val="0052341D"/>
    <w:rsid w:val="0052344B"/>
    <w:rsid w:val="00523538"/>
    <w:rsid w:val="00523B86"/>
    <w:rsid w:val="00523CB1"/>
    <w:rsid w:val="00523CF6"/>
    <w:rsid w:val="00523E47"/>
    <w:rsid w:val="0052404F"/>
    <w:rsid w:val="00524179"/>
    <w:rsid w:val="00524186"/>
    <w:rsid w:val="00524357"/>
    <w:rsid w:val="0052450E"/>
    <w:rsid w:val="00524791"/>
    <w:rsid w:val="005247AB"/>
    <w:rsid w:val="00524849"/>
    <w:rsid w:val="005249F9"/>
    <w:rsid w:val="00524A4A"/>
    <w:rsid w:val="00524B1F"/>
    <w:rsid w:val="00524CB5"/>
    <w:rsid w:val="00524E2B"/>
    <w:rsid w:val="00524F83"/>
    <w:rsid w:val="0052502D"/>
    <w:rsid w:val="005254C3"/>
    <w:rsid w:val="0052560E"/>
    <w:rsid w:val="00525BCA"/>
    <w:rsid w:val="00525FF7"/>
    <w:rsid w:val="00526257"/>
    <w:rsid w:val="005262F3"/>
    <w:rsid w:val="0052640E"/>
    <w:rsid w:val="005265AE"/>
    <w:rsid w:val="005267EA"/>
    <w:rsid w:val="00526CBD"/>
    <w:rsid w:val="00526E3B"/>
    <w:rsid w:val="00527255"/>
    <w:rsid w:val="00527F1D"/>
    <w:rsid w:val="005300B8"/>
    <w:rsid w:val="005304D6"/>
    <w:rsid w:val="005305E3"/>
    <w:rsid w:val="00530938"/>
    <w:rsid w:val="005309A1"/>
    <w:rsid w:val="00530BCE"/>
    <w:rsid w:val="00530C6F"/>
    <w:rsid w:val="00530CE3"/>
    <w:rsid w:val="00530E59"/>
    <w:rsid w:val="00530E5E"/>
    <w:rsid w:val="005312CC"/>
    <w:rsid w:val="00531396"/>
    <w:rsid w:val="005313B1"/>
    <w:rsid w:val="0053160E"/>
    <w:rsid w:val="0053189F"/>
    <w:rsid w:val="00531AFF"/>
    <w:rsid w:val="00531BC2"/>
    <w:rsid w:val="00531F20"/>
    <w:rsid w:val="00531F48"/>
    <w:rsid w:val="00532745"/>
    <w:rsid w:val="005327AF"/>
    <w:rsid w:val="005329F6"/>
    <w:rsid w:val="00532C68"/>
    <w:rsid w:val="00532C98"/>
    <w:rsid w:val="00532F84"/>
    <w:rsid w:val="00533226"/>
    <w:rsid w:val="0053386C"/>
    <w:rsid w:val="005338B8"/>
    <w:rsid w:val="0053395A"/>
    <w:rsid w:val="00533AF6"/>
    <w:rsid w:val="00533DC0"/>
    <w:rsid w:val="00533ECD"/>
    <w:rsid w:val="00533F6B"/>
    <w:rsid w:val="005341E9"/>
    <w:rsid w:val="00534373"/>
    <w:rsid w:val="00534777"/>
    <w:rsid w:val="0053484B"/>
    <w:rsid w:val="00534ACE"/>
    <w:rsid w:val="00534B8D"/>
    <w:rsid w:val="00534C81"/>
    <w:rsid w:val="00534FCB"/>
    <w:rsid w:val="005350A3"/>
    <w:rsid w:val="005350F1"/>
    <w:rsid w:val="005351AD"/>
    <w:rsid w:val="00535462"/>
    <w:rsid w:val="00535464"/>
    <w:rsid w:val="005355AC"/>
    <w:rsid w:val="005356A3"/>
    <w:rsid w:val="0053591B"/>
    <w:rsid w:val="00535D56"/>
    <w:rsid w:val="00535E3B"/>
    <w:rsid w:val="00535E4C"/>
    <w:rsid w:val="005363BF"/>
    <w:rsid w:val="00536652"/>
    <w:rsid w:val="005368D8"/>
    <w:rsid w:val="00536B30"/>
    <w:rsid w:val="00536C2F"/>
    <w:rsid w:val="00536F66"/>
    <w:rsid w:val="00537157"/>
    <w:rsid w:val="00537C50"/>
    <w:rsid w:val="00540055"/>
    <w:rsid w:val="0054042C"/>
    <w:rsid w:val="0054044D"/>
    <w:rsid w:val="00540481"/>
    <w:rsid w:val="00540868"/>
    <w:rsid w:val="005408BE"/>
    <w:rsid w:val="005409AA"/>
    <w:rsid w:val="00540C61"/>
    <w:rsid w:val="00540C88"/>
    <w:rsid w:val="00540CC2"/>
    <w:rsid w:val="00540FD4"/>
    <w:rsid w:val="005410A6"/>
    <w:rsid w:val="00541270"/>
    <w:rsid w:val="00541287"/>
    <w:rsid w:val="005412BD"/>
    <w:rsid w:val="005414C6"/>
    <w:rsid w:val="005415F8"/>
    <w:rsid w:val="00541726"/>
    <w:rsid w:val="005418C1"/>
    <w:rsid w:val="00541A33"/>
    <w:rsid w:val="00541B05"/>
    <w:rsid w:val="00541F47"/>
    <w:rsid w:val="00542647"/>
    <w:rsid w:val="00542E74"/>
    <w:rsid w:val="005430F4"/>
    <w:rsid w:val="005432E7"/>
    <w:rsid w:val="005433AB"/>
    <w:rsid w:val="0054342D"/>
    <w:rsid w:val="00543777"/>
    <w:rsid w:val="00543A2F"/>
    <w:rsid w:val="00543F12"/>
    <w:rsid w:val="00544250"/>
    <w:rsid w:val="005443BB"/>
    <w:rsid w:val="005445E3"/>
    <w:rsid w:val="005448C2"/>
    <w:rsid w:val="00544965"/>
    <w:rsid w:val="00544A76"/>
    <w:rsid w:val="00544D67"/>
    <w:rsid w:val="00544EBC"/>
    <w:rsid w:val="00544F32"/>
    <w:rsid w:val="0054516C"/>
    <w:rsid w:val="0054534C"/>
    <w:rsid w:val="005453CC"/>
    <w:rsid w:val="00545463"/>
    <w:rsid w:val="0054547A"/>
    <w:rsid w:val="005456FD"/>
    <w:rsid w:val="00545AD8"/>
    <w:rsid w:val="00545BE9"/>
    <w:rsid w:val="00546017"/>
    <w:rsid w:val="005460AB"/>
    <w:rsid w:val="0054651D"/>
    <w:rsid w:val="00546675"/>
    <w:rsid w:val="005468BF"/>
    <w:rsid w:val="005468D1"/>
    <w:rsid w:val="005468EB"/>
    <w:rsid w:val="00546C3B"/>
    <w:rsid w:val="00546D1E"/>
    <w:rsid w:val="00546E09"/>
    <w:rsid w:val="00547091"/>
    <w:rsid w:val="0054722E"/>
    <w:rsid w:val="00547525"/>
    <w:rsid w:val="00547774"/>
    <w:rsid w:val="005477A3"/>
    <w:rsid w:val="0054795A"/>
    <w:rsid w:val="0055006D"/>
    <w:rsid w:val="00550074"/>
    <w:rsid w:val="0055012A"/>
    <w:rsid w:val="0055030D"/>
    <w:rsid w:val="005503DE"/>
    <w:rsid w:val="0055059B"/>
    <w:rsid w:val="00550695"/>
    <w:rsid w:val="0055071B"/>
    <w:rsid w:val="005507DD"/>
    <w:rsid w:val="0055091F"/>
    <w:rsid w:val="00550B25"/>
    <w:rsid w:val="00550BF0"/>
    <w:rsid w:val="00551363"/>
    <w:rsid w:val="005513F9"/>
    <w:rsid w:val="00551698"/>
    <w:rsid w:val="005516F3"/>
    <w:rsid w:val="005517B7"/>
    <w:rsid w:val="005518BE"/>
    <w:rsid w:val="00551D13"/>
    <w:rsid w:val="00551DB6"/>
    <w:rsid w:val="00552156"/>
    <w:rsid w:val="005522D4"/>
    <w:rsid w:val="005524F0"/>
    <w:rsid w:val="0055289E"/>
    <w:rsid w:val="00552A95"/>
    <w:rsid w:val="00552C01"/>
    <w:rsid w:val="00552C02"/>
    <w:rsid w:val="00552F6B"/>
    <w:rsid w:val="0055323C"/>
    <w:rsid w:val="00553309"/>
    <w:rsid w:val="005533CE"/>
    <w:rsid w:val="00553461"/>
    <w:rsid w:val="005535A9"/>
    <w:rsid w:val="00553792"/>
    <w:rsid w:val="00553AE2"/>
    <w:rsid w:val="00553E17"/>
    <w:rsid w:val="00553ECE"/>
    <w:rsid w:val="00554040"/>
    <w:rsid w:val="00554649"/>
    <w:rsid w:val="005546F2"/>
    <w:rsid w:val="00554AAC"/>
    <w:rsid w:val="00554ABD"/>
    <w:rsid w:val="00554BBB"/>
    <w:rsid w:val="00554D6A"/>
    <w:rsid w:val="00555069"/>
    <w:rsid w:val="0055514E"/>
    <w:rsid w:val="0055519A"/>
    <w:rsid w:val="0055543A"/>
    <w:rsid w:val="00555533"/>
    <w:rsid w:val="00555652"/>
    <w:rsid w:val="00555BA4"/>
    <w:rsid w:val="00555C9B"/>
    <w:rsid w:val="00555ED7"/>
    <w:rsid w:val="005561F7"/>
    <w:rsid w:val="005562D2"/>
    <w:rsid w:val="005563E8"/>
    <w:rsid w:val="005565B9"/>
    <w:rsid w:val="005566B0"/>
    <w:rsid w:val="005566E4"/>
    <w:rsid w:val="0055685C"/>
    <w:rsid w:val="00556948"/>
    <w:rsid w:val="0055699E"/>
    <w:rsid w:val="00556A88"/>
    <w:rsid w:val="00557262"/>
    <w:rsid w:val="00557308"/>
    <w:rsid w:val="00557362"/>
    <w:rsid w:val="00557D75"/>
    <w:rsid w:val="00557F22"/>
    <w:rsid w:val="00557F74"/>
    <w:rsid w:val="005604FF"/>
    <w:rsid w:val="005605BB"/>
    <w:rsid w:val="00560695"/>
    <w:rsid w:val="00560B33"/>
    <w:rsid w:val="00560B79"/>
    <w:rsid w:val="00560EAE"/>
    <w:rsid w:val="00560F08"/>
    <w:rsid w:val="00560F52"/>
    <w:rsid w:val="00561393"/>
    <w:rsid w:val="00561472"/>
    <w:rsid w:val="0056150E"/>
    <w:rsid w:val="0056189D"/>
    <w:rsid w:val="00561ACE"/>
    <w:rsid w:val="00561D52"/>
    <w:rsid w:val="00561E78"/>
    <w:rsid w:val="00561F91"/>
    <w:rsid w:val="0056225F"/>
    <w:rsid w:val="00562303"/>
    <w:rsid w:val="00562326"/>
    <w:rsid w:val="005624A5"/>
    <w:rsid w:val="005624F7"/>
    <w:rsid w:val="005625EA"/>
    <w:rsid w:val="005628A6"/>
    <w:rsid w:val="00562B8B"/>
    <w:rsid w:val="00562BF4"/>
    <w:rsid w:val="00563408"/>
    <w:rsid w:val="00563673"/>
    <w:rsid w:val="005638D6"/>
    <w:rsid w:val="00563CFA"/>
    <w:rsid w:val="00563D49"/>
    <w:rsid w:val="00563E8B"/>
    <w:rsid w:val="0056449B"/>
    <w:rsid w:val="00564B4F"/>
    <w:rsid w:val="00564CF2"/>
    <w:rsid w:val="00564DF2"/>
    <w:rsid w:val="00564E4E"/>
    <w:rsid w:val="00564E7D"/>
    <w:rsid w:val="00565544"/>
    <w:rsid w:val="0056570B"/>
    <w:rsid w:val="005659ED"/>
    <w:rsid w:val="00565BF1"/>
    <w:rsid w:val="00566072"/>
    <w:rsid w:val="0056609D"/>
    <w:rsid w:val="00566251"/>
    <w:rsid w:val="00566836"/>
    <w:rsid w:val="00566CA5"/>
    <w:rsid w:val="0056705C"/>
    <w:rsid w:val="0056737B"/>
    <w:rsid w:val="005674DE"/>
    <w:rsid w:val="005676F9"/>
    <w:rsid w:val="005679EC"/>
    <w:rsid w:val="0056B288"/>
    <w:rsid w:val="0057054F"/>
    <w:rsid w:val="005705E6"/>
    <w:rsid w:val="0057065F"/>
    <w:rsid w:val="00570949"/>
    <w:rsid w:val="00570C17"/>
    <w:rsid w:val="00570CCD"/>
    <w:rsid w:val="005712D7"/>
    <w:rsid w:val="0057132A"/>
    <w:rsid w:val="005713E1"/>
    <w:rsid w:val="005716B4"/>
    <w:rsid w:val="005716D9"/>
    <w:rsid w:val="0057178C"/>
    <w:rsid w:val="00571998"/>
    <w:rsid w:val="00571EA5"/>
    <w:rsid w:val="00571F8F"/>
    <w:rsid w:val="00571FD5"/>
    <w:rsid w:val="005726B3"/>
    <w:rsid w:val="00572908"/>
    <w:rsid w:val="00572B1C"/>
    <w:rsid w:val="00572B65"/>
    <w:rsid w:val="00572CDC"/>
    <w:rsid w:val="00572F42"/>
    <w:rsid w:val="0057309E"/>
    <w:rsid w:val="005730C8"/>
    <w:rsid w:val="00573135"/>
    <w:rsid w:val="005732B1"/>
    <w:rsid w:val="00573592"/>
    <w:rsid w:val="00573DEC"/>
    <w:rsid w:val="00573FA1"/>
    <w:rsid w:val="00573FF1"/>
    <w:rsid w:val="00574223"/>
    <w:rsid w:val="00574379"/>
    <w:rsid w:val="00574530"/>
    <w:rsid w:val="005745D6"/>
    <w:rsid w:val="00574A0A"/>
    <w:rsid w:val="00574D8C"/>
    <w:rsid w:val="00575273"/>
    <w:rsid w:val="00575446"/>
    <w:rsid w:val="00575600"/>
    <w:rsid w:val="005756EF"/>
    <w:rsid w:val="005758DA"/>
    <w:rsid w:val="00575914"/>
    <w:rsid w:val="00575A23"/>
    <w:rsid w:val="00575A72"/>
    <w:rsid w:val="00575E1B"/>
    <w:rsid w:val="00575ECD"/>
    <w:rsid w:val="00576197"/>
    <w:rsid w:val="0057620D"/>
    <w:rsid w:val="0057675A"/>
    <w:rsid w:val="00576C1A"/>
    <w:rsid w:val="00576CFC"/>
    <w:rsid w:val="005771D5"/>
    <w:rsid w:val="0057771A"/>
    <w:rsid w:val="0057775D"/>
    <w:rsid w:val="005777D4"/>
    <w:rsid w:val="00577B19"/>
    <w:rsid w:val="00577B55"/>
    <w:rsid w:val="00577B9B"/>
    <w:rsid w:val="00577CA5"/>
    <w:rsid w:val="00577D5E"/>
    <w:rsid w:val="0058075A"/>
    <w:rsid w:val="005808D0"/>
    <w:rsid w:val="005808ED"/>
    <w:rsid w:val="00580D76"/>
    <w:rsid w:val="00580E04"/>
    <w:rsid w:val="005812AA"/>
    <w:rsid w:val="00581959"/>
    <w:rsid w:val="005819EC"/>
    <w:rsid w:val="00581A15"/>
    <w:rsid w:val="00581B5C"/>
    <w:rsid w:val="00581C58"/>
    <w:rsid w:val="00582506"/>
    <w:rsid w:val="005829FF"/>
    <w:rsid w:val="00582AF2"/>
    <w:rsid w:val="00582B68"/>
    <w:rsid w:val="0058316E"/>
    <w:rsid w:val="0058343F"/>
    <w:rsid w:val="005835CA"/>
    <w:rsid w:val="005838E1"/>
    <w:rsid w:val="00583A4F"/>
    <w:rsid w:val="00583C62"/>
    <w:rsid w:val="00583F05"/>
    <w:rsid w:val="00584110"/>
    <w:rsid w:val="0058416C"/>
    <w:rsid w:val="00584219"/>
    <w:rsid w:val="00584443"/>
    <w:rsid w:val="0058452C"/>
    <w:rsid w:val="00584897"/>
    <w:rsid w:val="0058491B"/>
    <w:rsid w:val="00584991"/>
    <w:rsid w:val="00584BB2"/>
    <w:rsid w:val="00584C72"/>
    <w:rsid w:val="00584E2D"/>
    <w:rsid w:val="0058527E"/>
    <w:rsid w:val="00585651"/>
    <w:rsid w:val="00585757"/>
    <w:rsid w:val="005858D1"/>
    <w:rsid w:val="005858E7"/>
    <w:rsid w:val="00585A60"/>
    <w:rsid w:val="00585BD0"/>
    <w:rsid w:val="00585C42"/>
    <w:rsid w:val="00586171"/>
    <w:rsid w:val="00586227"/>
    <w:rsid w:val="005866EA"/>
    <w:rsid w:val="005868ED"/>
    <w:rsid w:val="00586DBF"/>
    <w:rsid w:val="00587243"/>
    <w:rsid w:val="0058739A"/>
    <w:rsid w:val="005874DF"/>
    <w:rsid w:val="00587BA6"/>
    <w:rsid w:val="00587F9C"/>
    <w:rsid w:val="0059013D"/>
    <w:rsid w:val="0059055D"/>
    <w:rsid w:val="0059068E"/>
    <w:rsid w:val="005906D1"/>
    <w:rsid w:val="00590765"/>
    <w:rsid w:val="00590A9A"/>
    <w:rsid w:val="00590CFC"/>
    <w:rsid w:val="00590DD4"/>
    <w:rsid w:val="00590EAC"/>
    <w:rsid w:val="00590FF9"/>
    <w:rsid w:val="00591049"/>
    <w:rsid w:val="0059118F"/>
    <w:rsid w:val="0059181E"/>
    <w:rsid w:val="00591844"/>
    <w:rsid w:val="005919C1"/>
    <w:rsid w:val="00591C8A"/>
    <w:rsid w:val="00591D05"/>
    <w:rsid w:val="0059218C"/>
    <w:rsid w:val="00592768"/>
    <w:rsid w:val="00592C30"/>
    <w:rsid w:val="00592C86"/>
    <w:rsid w:val="00592D8F"/>
    <w:rsid w:val="00593381"/>
    <w:rsid w:val="005935D4"/>
    <w:rsid w:val="005935FA"/>
    <w:rsid w:val="0059383B"/>
    <w:rsid w:val="005938BA"/>
    <w:rsid w:val="005938CB"/>
    <w:rsid w:val="005938DB"/>
    <w:rsid w:val="005939F9"/>
    <w:rsid w:val="00593C31"/>
    <w:rsid w:val="005943F4"/>
    <w:rsid w:val="00594A6C"/>
    <w:rsid w:val="00594A8D"/>
    <w:rsid w:val="00594ED2"/>
    <w:rsid w:val="00594FEB"/>
    <w:rsid w:val="005951F9"/>
    <w:rsid w:val="0059539D"/>
    <w:rsid w:val="00595666"/>
    <w:rsid w:val="005956AE"/>
    <w:rsid w:val="00595746"/>
    <w:rsid w:val="00595B3D"/>
    <w:rsid w:val="00595FB5"/>
    <w:rsid w:val="0059633E"/>
    <w:rsid w:val="005963CB"/>
    <w:rsid w:val="00596601"/>
    <w:rsid w:val="00596617"/>
    <w:rsid w:val="0059664E"/>
    <w:rsid w:val="00596665"/>
    <w:rsid w:val="00596BC3"/>
    <w:rsid w:val="0059730B"/>
    <w:rsid w:val="00597437"/>
    <w:rsid w:val="005974C6"/>
    <w:rsid w:val="00597547"/>
    <w:rsid w:val="00597596"/>
    <w:rsid w:val="005975A9"/>
    <w:rsid w:val="005975FA"/>
    <w:rsid w:val="00597622"/>
    <w:rsid w:val="005977FB"/>
    <w:rsid w:val="005978B9"/>
    <w:rsid w:val="00597918"/>
    <w:rsid w:val="00597ABE"/>
    <w:rsid w:val="00597AF3"/>
    <w:rsid w:val="00597B0A"/>
    <w:rsid w:val="00597D08"/>
    <w:rsid w:val="005A001F"/>
    <w:rsid w:val="005A0335"/>
    <w:rsid w:val="005A04CD"/>
    <w:rsid w:val="005A05EC"/>
    <w:rsid w:val="005A0621"/>
    <w:rsid w:val="005A086D"/>
    <w:rsid w:val="005A0D77"/>
    <w:rsid w:val="005A11FB"/>
    <w:rsid w:val="005A154B"/>
    <w:rsid w:val="005A172C"/>
    <w:rsid w:val="005A18D6"/>
    <w:rsid w:val="005A1EEE"/>
    <w:rsid w:val="005A2070"/>
    <w:rsid w:val="005A220E"/>
    <w:rsid w:val="005A2223"/>
    <w:rsid w:val="005A265A"/>
    <w:rsid w:val="005A27EB"/>
    <w:rsid w:val="005A2848"/>
    <w:rsid w:val="005A291C"/>
    <w:rsid w:val="005A2966"/>
    <w:rsid w:val="005A29F0"/>
    <w:rsid w:val="005A2E21"/>
    <w:rsid w:val="005A2F21"/>
    <w:rsid w:val="005A3276"/>
    <w:rsid w:val="005A36CE"/>
    <w:rsid w:val="005A3855"/>
    <w:rsid w:val="005A3A3E"/>
    <w:rsid w:val="005A3C84"/>
    <w:rsid w:val="005A3CC5"/>
    <w:rsid w:val="005A3CCD"/>
    <w:rsid w:val="005A4009"/>
    <w:rsid w:val="005A4048"/>
    <w:rsid w:val="005A42E0"/>
    <w:rsid w:val="005A430D"/>
    <w:rsid w:val="005A435D"/>
    <w:rsid w:val="005A4586"/>
    <w:rsid w:val="005A45F7"/>
    <w:rsid w:val="005A4AE5"/>
    <w:rsid w:val="005A4BB9"/>
    <w:rsid w:val="005A4D1E"/>
    <w:rsid w:val="005A500C"/>
    <w:rsid w:val="005A51EE"/>
    <w:rsid w:val="005A5ADC"/>
    <w:rsid w:val="005A5C58"/>
    <w:rsid w:val="005A5C66"/>
    <w:rsid w:val="005A5D4B"/>
    <w:rsid w:val="005A5D9D"/>
    <w:rsid w:val="005A6005"/>
    <w:rsid w:val="005A60E8"/>
    <w:rsid w:val="005A6550"/>
    <w:rsid w:val="005A67C4"/>
    <w:rsid w:val="005A6828"/>
    <w:rsid w:val="005A6B93"/>
    <w:rsid w:val="005A712A"/>
    <w:rsid w:val="005A71AA"/>
    <w:rsid w:val="005A733B"/>
    <w:rsid w:val="005A7514"/>
    <w:rsid w:val="005A7757"/>
    <w:rsid w:val="005A7800"/>
    <w:rsid w:val="005A7A7B"/>
    <w:rsid w:val="005B014B"/>
    <w:rsid w:val="005B01AC"/>
    <w:rsid w:val="005B0537"/>
    <w:rsid w:val="005B0840"/>
    <w:rsid w:val="005B085F"/>
    <w:rsid w:val="005B0963"/>
    <w:rsid w:val="005B0E69"/>
    <w:rsid w:val="005B1014"/>
    <w:rsid w:val="005B1248"/>
    <w:rsid w:val="005B129B"/>
    <w:rsid w:val="005B13D3"/>
    <w:rsid w:val="005B18F8"/>
    <w:rsid w:val="005B1901"/>
    <w:rsid w:val="005B1C5E"/>
    <w:rsid w:val="005B1D98"/>
    <w:rsid w:val="005B1E0B"/>
    <w:rsid w:val="005B1E24"/>
    <w:rsid w:val="005B1E41"/>
    <w:rsid w:val="005B20D6"/>
    <w:rsid w:val="005B2431"/>
    <w:rsid w:val="005B2474"/>
    <w:rsid w:val="005B2AEA"/>
    <w:rsid w:val="005B2C72"/>
    <w:rsid w:val="005B2E0B"/>
    <w:rsid w:val="005B3306"/>
    <w:rsid w:val="005B36D9"/>
    <w:rsid w:val="005B3982"/>
    <w:rsid w:val="005B3990"/>
    <w:rsid w:val="005B3BA2"/>
    <w:rsid w:val="005B3BFF"/>
    <w:rsid w:val="005B3C66"/>
    <w:rsid w:val="005B3CB0"/>
    <w:rsid w:val="005B3ED3"/>
    <w:rsid w:val="005B42D1"/>
    <w:rsid w:val="005B4529"/>
    <w:rsid w:val="005B4542"/>
    <w:rsid w:val="005B4626"/>
    <w:rsid w:val="005B4D92"/>
    <w:rsid w:val="005B52A5"/>
    <w:rsid w:val="005B52DA"/>
    <w:rsid w:val="005B5395"/>
    <w:rsid w:val="005B539D"/>
    <w:rsid w:val="005B53DB"/>
    <w:rsid w:val="005B55E4"/>
    <w:rsid w:val="005B569A"/>
    <w:rsid w:val="005B5A46"/>
    <w:rsid w:val="005B5C05"/>
    <w:rsid w:val="005B5E04"/>
    <w:rsid w:val="005B5F40"/>
    <w:rsid w:val="005B6210"/>
    <w:rsid w:val="005B6326"/>
    <w:rsid w:val="005B649C"/>
    <w:rsid w:val="005B6759"/>
    <w:rsid w:val="005B67E4"/>
    <w:rsid w:val="005B686A"/>
    <w:rsid w:val="005B69D6"/>
    <w:rsid w:val="005B6BC3"/>
    <w:rsid w:val="005B6D15"/>
    <w:rsid w:val="005B704B"/>
    <w:rsid w:val="005B71FC"/>
    <w:rsid w:val="005B75D3"/>
    <w:rsid w:val="005B77C5"/>
    <w:rsid w:val="005B7B55"/>
    <w:rsid w:val="005B7BEC"/>
    <w:rsid w:val="005B7FAF"/>
    <w:rsid w:val="005C0014"/>
    <w:rsid w:val="005C0893"/>
    <w:rsid w:val="005C0B57"/>
    <w:rsid w:val="005C0F1E"/>
    <w:rsid w:val="005C10D0"/>
    <w:rsid w:val="005C1407"/>
    <w:rsid w:val="005C155D"/>
    <w:rsid w:val="005C15F0"/>
    <w:rsid w:val="005C171B"/>
    <w:rsid w:val="005C1AB8"/>
    <w:rsid w:val="005C1C96"/>
    <w:rsid w:val="005C1F2B"/>
    <w:rsid w:val="005C2749"/>
    <w:rsid w:val="005C2764"/>
    <w:rsid w:val="005C2774"/>
    <w:rsid w:val="005C2CD6"/>
    <w:rsid w:val="005C2DAB"/>
    <w:rsid w:val="005C2F0C"/>
    <w:rsid w:val="005C2F87"/>
    <w:rsid w:val="005C31EA"/>
    <w:rsid w:val="005C3224"/>
    <w:rsid w:val="005C32A3"/>
    <w:rsid w:val="005C3644"/>
    <w:rsid w:val="005C3869"/>
    <w:rsid w:val="005C392D"/>
    <w:rsid w:val="005C3944"/>
    <w:rsid w:val="005C3D1B"/>
    <w:rsid w:val="005C409F"/>
    <w:rsid w:val="005C40CF"/>
    <w:rsid w:val="005C437E"/>
    <w:rsid w:val="005C4414"/>
    <w:rsid w:val="005C446B"/>
    <w:rsid w:val="005C4C62"/>
    <w:rsid w:val="005C5200"/>
    <w:rsid w:val="005C54B7"/>
    <w:rsid w:val="005C56EC"/>
    <w:rsid w:val="005C58E5"/>
    <w:rsid w:val="005C5A6E"/>
    <w:rsid w:val="005C5B3C"/>
    <w:rsid w:val="005C5FFF"/>
    <w:rsid w:val="005C609A"/>
    <w:rsid w:val="005C62FF"/>
    <w:rsid w:val="005C634E"/>
    <w:rsid w:val="005C63AD"/>
    <w:rsid w:val="005C65EA"/>
    <w:rsid w:val="005C660A"/>
    <w:rsid w:val="005C68FC"/>
    <w:rsid w:val="005C69D8"/>
    <w:rsid w:val="005C6C1F"/>
    <w:rsid w:val="005C6CB7"/>
    <w:rsid w:val="005C6E15"/>
    <w:rsid w:val="005C6EB4"/>
    <w:rsid w:val="005C73D7"/>
    <w:rsid w:val="005C73F9"/>
    <w:rsid w:val="005C763A"/>
    <w:rsid w:val="005C77DE"/>
    <w:rsid w:val="005C783F"/>
    <w:rsid w:val="005C7B0B"/>
    <w:rsid w:val="005D0043"/>
    <w:rsid w:val="005D0166"/>
    <w:rsid w:val="005D0385"/>
    <w:rsid w:val="005D054A"/>
    <w:rsid w:val="005D05C7"/>
    <w:rsid w:val="005D0A2F"/>
    <w:rsid w:val="005D0AC0"/>
    <w:rsid w:val="005D0DC0"/>
    <w:rsid w:val="005D0E1C"/>
    <w:rsid w:val="005D1004"/>
    <w:rsid w:val="005D166D"/>
    <w:rsid w:val="005D16FF"/>
    <w:rsid w:val="005D1731"/>
    <w:rsid w:val="005D19C8"/>
    <w:rsid w:val="005D1DB6"/>
    <w:rsid w:val="005D1E92"/>
    <w:rsid w:val="005D2367"/>
    <w:rsid w:val="005D2682"/>
    <w:rsid w:val="005D2684"/>
    <w:rsid w:val="005D26B9"/>
    <w:rsid w:val="005D27DD"/>
    <w:rsid w:val="005D28FD"/>
    <w:rsid w:val="005D30E8"/>
    <w:rsid w:val="005D326D"/>
    <w:rsid w:val="005D3390"/>
    <w:rsid w:val="005D35F8"/>
    <w:rsid w:val="005D3605"/>
    <w:rsid w:val="005D361F"/>
    <w:rsid w:val="005D3706"/>
    <w:rsid w:val="005D381B"/>
    <w:rsid w:val="005D386A"/>
    <w:rsid w:val="005D3E6E"/>
    <w:rsid w:val="005D41D4"/>
    <w:rsid w:val="005D444B"/>
    <w:rsid w:val="005D469C"/>
    <w:rsid w:val="005D4976"/>
    <w:rsid w:val="005D4C6D"/>
    <w:rsid w:val="005D5014"/>
    <w:rsid w:val="005D50B8"/>
    <w:rsid w:val="005D50D2"/>
    <w:rsid w:val="005D5219"/>
    <w:rsid w:val="005D5A89"/>
    <w:rsid w:val="005D5BB5"/>
    <w:rsid w:val="005D5C3F"/>
    <w:rsid w:val="005D5C9E"/>
    <w:rsid w:val="005D6517"/>
    <w:rsid w:val="005D66B3"/>
    <w:rsid w:val="005D6708"/>
    <w:rsid w:val="005D68BA"/>
    <w:rsid w:val="005D68F4"/>
    <w:rsid w:val="005D6928"/>
    <w:rsid w:val="005D6A2D"/>
    <w:rsid w:val="005D6A61"/>
    <w:rsid w:val="005D6EA3"/>
    <w:rsid w:val="005D7029"/>
    <w:rsid w:val="005D719E"/>
    <w:rsid w:val="005D721D"/>
    <w:rsid w:val="005D731D"/>
    <w:rsid w:val="005D78D6"/>
    <w:rsid w:val="005D7DC1"/>
    <w:rsid w:val="005E0119"/>
    <w:rsid w:val="005E03FB"/>
    <w:rsid w:val="005E08B7"/>
    <w:rsid w:val="005E110D"/>
    <w:rsid w:val="005E13EF"/>
    <w:rsid w:val="005E1441"/>
    <w:rsid w:val="005E17C7"/>
    <w:rsid w:val="005E17F8"/>
    <w:rsid w:val="005E1987"/>
    <w:rsid w:val="005E1E11"/>
    <w:rsid w:val="005E1E3D"/>
    <w:rsid w:val="005E203F"/>
    <w:rsid w:val="005E21CD"/>
    <w:rsid w:val="005E26CA"/>
    <w:rsid w:val="005E2879"/>
    <w:rsid w:val="005E29F0"/>
    <w:rsid w:val="005E2C8A"/>
    <w:rsid w:val="005E2DC3"/>
    <w:rsid w:val="005E2ED7"/>
    <w:rsid w:val="005E3329"/>
    <w:rsid w:val="005E336C"/>
    <w:rsid w:val="005E33E9"/>
    <w:rsid w:val="005E3569"/>
    <w:rsid w:val="005E36FC"/>
    <w:rsid w:val="005E3740"/>
    <w:rsid w:val="005E3789"/>
    <w:rsid w:val="005E37AE"/>
    <w:rsid w:val="005E37B8"/>
    <w:rsid w:val="005E3B1A"/>
    <w:rsid w:val="005E42E5"/>
    <w:rsid w:val="005E4342"/>
    <w:rsid w:val="005E4429"/>
    <w:rsid w:val="005E457E"/>
    <w:rsid w:val="005E4AFB"/>
    <w:rsid w:val="005E4FBE"/>
    <w:rsid w:val="005E5002"/>
    <w:rsid w:val="005E5041"/>
    <w:rsid w:val="005E50E9"/>
    <w:rsid w:val="005E514F"/>
    <w:rsid w:val="005E5861"/>
    <w:rsid w:val="005E5B44"/>
    <w:rsid w:val="005E5C7E"/>
    <w:rsid w:val="005E6220"/>
    <w:rsid w:val="005E6403"/>
    <w:rsid w:val="005E656A"/>
    <w:rsid w:val="005E70CB"/>
    <w:rsid w:val="005E774A"/>
    <w:rsid w:val="005E7A70"/>
    <w:rsid w:val="005E7D7E"/>
    <w:rsid w:val="005E7DB1"/>
    <w:rsid w:val="005F0002"/>
    <w:rsid w:val="005F036C"/>
    <w:rsid w:val="005F096F"/>
    <w:rsid w:val="005F0C8E"/>
    <w:rsid w:val="005F0E85"/>
    <w:rsid w:val="005F10F5"/>
    <w:rsid w:val="005F1482"/>
    <w:rsid w:val="005F156B"/>
    <w:rsid w:val="005F17D0"/>
    <w:rsid w:val="005F199C"/>
    <w:rsid w:val="005F21A5"/>
    <w:rsid w:val="005F24ED"/>
    <w:rsid w:val="005F25A2"/>
    <w:rsid w:val="005F2718"/>
    <w:rsid w:val="005F28B5"/>
    <w:rsid w:val="005F2CB2"/>
    <w:rsid w:val="005F2D57"/>
    <w:rsid w:val="005F3071"/>
    <w:rsid w:val="005F3492"/>
    <w:rsid w:val="005F354A"/>
    <w:rsid w:val="005F35DC"/>
    <w:rsid w:val="005F3A9D"/>
    <w:rsid w:val="005F3B1C"/>
    <w:rsid w:val="005F3D26"/>
    <w:rsid w:val="005F3F86"/>
    <w:rsid w:val="005F4111"/>
    <w:rsid w:val="005F43C4"/>
    <w:rsid w:val="005F46EA"/>
    <w:rsid w:val="005F4761"/>
    <w:rsid w:val="005F480D"/>
    <w:rsid w:val="005F4873"/>
    <w:rsid w:val="005F4A73"/>
    <w:rsid w:val="005F4A76"/>
    <w:rsid w:val="005F4AA7"/>
    <w:rsid w:val="005F4E87"/>
    <w:rsid w:val="005F5176"/>
    <w:rsid w:val="005F5237"/>
    <w:rsid w:val="005F55E3"/>
    <w:rsid w:val="005F5832"/>
    <w:rsid w:val="005F59A5"/>
    <w:rsid w:val="005F5A60"/>
    <w:rsid w:val="005F5AF6"/>
    <w:rsid w:val="005F5C33"/>
    <w:rsid w:val="005F5D12"/>
    <w:rsid w:val="005F5E09"/>
    <w:rsid w:val="005F601F"/>
    <w:rsid w:val="005F6141"/>
    <w:rsid w:val="005F616E"/>
    <w:rsid w:val="005F61A7"/>
    <w:rsid w:val="005F620B"/>
    <w:rsid w:val="005F623E"/>
    <w:rsid w:val="005F62D1"/>
    <w:rsid w:val="005F6523"/>
    <w:rsid w:val="005F669D"/>
    <w:rsid w:val="005F66E9"/>
    <w:rsid w:val="005F6E75"/>
    <w:rsid w:val="005F7126"/>
    <w:rsid w:val="005F714A"/>
    <w:rsid w:val="005F745D"/>
    <w:rsid w:val="005F774F"/>
    <w:rsid w:val="005F777F"/>
    <w:rsid w:val="005F7A17"/>
    <w:rsid w:val="005F7A5B"/>
    <w:rsid w:val="006000E8"/>
    <w:rsid w:val="00600209"/>
    <w:rsid w:val="006004A8"/>
    <w:rsid w:val="006008E7"/>
    <w:rsid w:val="00600AE4"/>
    <w:rsid w:val="00600B10"/>
    <w:rsid w:val="00600DC8"/>
    <w:rsid w:val="00600F9D"/>
    <w:rsid w:val="0060110C"/>
    <w:rsid w:val="006011A4"/>
    <w:rsid w:val="0060122B"/>
    <w:rsid w:val="006012CB"/>
    <w:rsid w:val="006014A3"/>
    <w:rsid w:val="00601590"/>
    <w:rsid w:val="00601860"/>
    <w:rsid w:val="00601A20"/>
    <w:rsid w:val="00601C36"/>
    <w:rsid w:val="00601E99"/>
    <w:rsid w:val="006021FA"/>
    <w:rsid w:val="006023BB"/>
    <w:rsid w:val="00602416"/>
    <w:rsid w:val="006029CC"/>
    <w:rsid w:val="00602BB0"/>
    <w:rsid w:val="00602F65"/>
    <w:rsid w:val="0060307D"/>
    <w:rsid w:val="00603158"/>
    <w:rsid w:val="006033AD"/>
    <w:rsid w:val="00603898"/>
    <w:rsid w:val="006039D5"/>
    <w:rsid w:val="006039E0"/>
    <w:rsid w:val="00603B80"/>
    <w:rsid w:val="00603F2A"/>
    <w:rsid w:val="00603FE3"/>
    <w:rsid w:val="006044DE"/>
    <w:rsid w:val="00604547"/>
    <w:rsid w:val="00604B3D"/>
    <w:rsid w:val="00604E24"/>
    <w:rsid w:val="00605778"/>
    <w:rsid w:val="00605AA1"/>
    <w:rsid w:val="00605AFA"/>
    <w:rsid w:val="00605C37"/>
    <w:rsid w:val="00605E65"/>
    <w:rsid w:val="00606007"/>
    <w:rsid w:val="006062D5"/>
    <w:rsid w:val="00606385"/>
    <w:rsid w:val="006063EE"/>
    <w:rsid w:val="0060648F"/>
    <w:rsid w:val="00606554"/>
    <w:rsid w:val="00606556"/>
    <w:rsid w:val="00606658"/>
    <w:rsid w:val="0060677C"/>
    <w:rsid w:val="006068A4"/>
    <w:rsid w:val="006069CD"/>
    <w:rsid w:val="00606A04"/>
    <w:rsid w:val="00606CBD"/>
    <w:rsid w:val="00606E8C"/>
    <w:rsid w:val="00606FD3"/>
    <w:rsid w:val="00607002"/>
    <w:rsid w:val="0060709C"/>
    <w:rsid w:val="00607452"/>
    <w:rsid w:val="00607650"/>
    <w:rsid w:val="006076EE"/>
    <w:rsid w:val="0060773B"/>
    <w:rsid w:val="00607BC5"/>
    <w:rsid w:val="00607C53"/>
    <w:rsid w:val="00607CE3"/>
    <w:rsid w:val="00607F64"/>
    <w:rsid w:val="006101D8"/>
    <w:rsid w:val="006102EC"/>
    <w:rsid w:val="006103BA"/>
    <w:rsid w:val="006108D9"/>
    <w:rsid w:val="00610A6A"/>
    <w:rsid w:val="00610A79"/>
    <w:rsid w:val="00610B50"/>
    <w:rsid w:val="00610C80"/>
    <w:rsid w:val="00610CEB"/>
    <w:rsid w:val="00610F4D"/>
    <w:rsid w:val="006112B0"/>
    <w:rsid w:val="006112BB"/>
    <w:rsid w:val="006113C5"/>
    <w:rsid w:val="00611629"/>
    <w:rsid w:val="00611B4C"/>
    <w:rsid w:val="00611C41"/>
    <w:rsid w:val="00611C57"/>
    <w:rsid w:val="00611D65"/>
    <w:rsid w:val="0061205E"/>
    <w:rsid w:val="006122B8"/>
    <w:rsid w:val="0061249A"/>
    <w:rsid w:val="00612823"/>
    <w:rsid w:val="00612A7A"/>
    <w:rsid w:val="00612D40"/>
    <w:rsid w:val="00612E0C"/>
    <w:rsid w:val="00612FC1"/>
    <w:rsid w:val="0061305F"/>
    <w:rsid w:val="00613263"/>
    <w:rsid w:val="0061330F"/>
    <w:rsid w:val="00613A2B"/>
    <w:rsid w:val="00613B93"/>
    <w:rsid w:val="00613C3A"/>
    <w:rsid w:val="00613CB4"/>
    <w:rsid w:val="0061400B"/>
    <w:rsid w:val="00614095"/>
    <w:rsid w:val="00614785"/>
    <w:rsid w:val="006148DA"/>
    <w:rsid w:val="0061495C"/>
    <w:rsid w:val="006149A8"/>
    <w:rsid w:val="00614CB2"/>
    <w:rsid w:val="00614E52"/>
    <w:rsid w:val="006150D0"/>
    <w:rsid w:val="0061564D"/>
    <w:rsid w:val="006158C2"/>
    <w:rsid w:val="00615D1A"/>
    <w:rsid w:val="00615E3D"/>
    <w:rsid w:val="006160C9"/>
    <w:rsid w:val="00616213"/>
    <w:rsid w:val="006167BF"/>
    <w:rsid w:val="00616863"/>
    <w:rsid w:val="00616CAA"/>
    <w:rsid w:val="006170F2"/>
    <w:rsid w:val="0061715A"/>
    <w:rsid w:val="006174CF"/>
    <w:rsid w:val="006174D3"/>
    <w:rsid w:val="00617877"/>
    <w:rsid w:val="00617DFB"/>
    <w:rsid w:val="00617EAC"/>
    <w:rsid w:val="00617EBB"/>
    <w:rsid w:val="00620189"/>
    <w:rsid w:val="00620388"/>
    <w:rsid w:val="006205B5"/>
    <w:rsid w:val="006208F4"/>
    <w:rsid w:val="00620940"/>
    <w:rsid w:val="00620B3A"/>
    <w:rsid w:val="00620B97"/>
    <w:rsid w:val="00620C01"/>
    <w:rsid w:val="00620D9E"/>
    <w:rsid w:val="00620EAA"/>
    <w:rsid w:val="00620F7E"/>
    <w:rsid w:val="006213D7"/>
    <w:rsid w:val="00621592"/>
    <w:rsid w:val="00621605"/>
    <w:rsid w:val="00621750"/>
    <w:rsid w:val="006218E9"/>
    <w:rsid w:val="00621944"/>
    <w:rsid w:val="00621B6A"/>
    <w:rsid w:val="006220A0"/>
    <w:rsid w:val="006221B7"/>
    <w:rsid w:val="006224FF"/>
    <w:rsid w:val="0062268D"/>
    <w:rsid w:val="00622808"/>
    <w:rsid w:val="006228A0"/>
    <w:rsid w:val="006229BF"/>
    <w:rsid w:val="00622B19"/>
    <w:rsid w:val="00622E4A"/>
    <w:rsid w:val="0062330C"/>
    <w:rsid w:val="00623373"/>
    <w:rsid w:val="00623460"/>
    <w:rsid w:val="0062363C"/>
    <w:rsid w:val="00623B95"/>
    <w:rsid w:val="00623C1F"/>
    <w:rsid w:val="00623FC0"/>
    <w:rsid w:val="0062462A"/>
    <w:rsid w:val="00624764"/>
    <w:rsid w:val="00624830"/>
    <w:rsid w:val="006249FC"/>
    <w:rsid w:val="00624B1D"/>
    <w:rsid w:val="00624BD6"/>
    <w:rsid w:val="00624E4A"/>
    <w:rsid w:val="00625113"/>
    <w:rsid w:val="0062532D"/>
    <w:rsid w:val="006254BE"/>
    <w:rsid w:val="0062563B"/>
    <w:rsid w:val="0062569A"/>
    <w:rsid w:val="00625818"/>
    <w:rsid w:val="00625877"/>
    <w:rsid w:val="00625B31"/>
    <w:rsid w:val="00625BA4"/>
    <w:rsid w:val="00625F4D"/>
    <w:rsid w:val="00626065"/>
    <w:rsid w:val="00626224"/>
    <w:rsid w:val="00626259"/>
    <w:rsid w:val="006262DA"/>
    <w:rsid w:val="006264D3"/>
    <w:rsid w:val="006265C0"/>
    <w:rsid w:val="006265C4"/>
    <w:rsid w:val="006269C3"/>
    <w:rsid w:val="00626AE2"/>
    <w:rsid w:val="00626CDC"/>
    <w:rsid w:val="00626DFD"/>
    <w:rsid w:val="00626EAE"/>
    <w:rsid w:val="00626EEB"/>
    <w:rsid w:val="0062731A"/>
    <w:rsid w:val="0062737B"/>
    <w:rsid w:val="0062772D"/>
    <w:rsid w:val="006278F6"/>
    <w:rsid w:val="00627D37"/>
    <w:rsid w:val="00627E06"/>
    <w:rsid w:val="00627F70"/>
    <w:rsid w:val="006300FC"/>
    <w:rsid w:val="0063024E"/>
    <w:rsid w:val="00630804"/>
    <w:rsid w:val="0063083A"/>
    <w:rsid w:val="006309C4"/>
    <w:rsid w:val="00630E1B"/>
    <w:rsid w:val="00631382"/>
    <w:rsid w:val="00631497"/>
    <w:rsid w:val="00631514"/>
    <w:rsid w:val="00631523"/>
    <w:rsid w:val="00631643"/>
    <w:rsid w:val="006316D3"/>
    <w:rsid w:val="00631BCF"/>
    <w:rsid w:val="00631C5E"/>
    <w:rsid w:val="00631CE9"/>
    <w:rsid w:val="006322D8"/>
    <w:rsid w:val="0063230D"/>
    <w:rsid w:val="0063250B"/>
    <w:rsid w:val="00632738"/>
    <w:rsid w:val="00632968"/>
    <w:rsid w:val="00632CF9"/>
    <w:rsid w:val="00632FF4"/>
    <w:rsid w:val="00633358"/>
    <w:rsid w:val="006333C2"/>
    <w:rsid w:val="00633743"/>
    <w:rsid w:val="00633ABF"/>
    <w:rsid w:val="00633D99"/>
    <w:rsid w:val="00633FE8"/>
    <w:rsid w:val="006345B3"/>
    <w:rsid w:val="006346B6"/>
    <w:rsid w:val="0063471D"/>
    <w:rsid w:val="00634798"/>
    <w:rsid w:val="006347F0"/>
    <w:rsid w:val="00635206"/>
    <w:rsid w:val="00635479"/>
    <w:rsid w:val="00635652"/>
    <w:rsid w:val="006358B1"/>
    <w:rsid w:val="00636117"/>
    <w:rsid w:val="006361E3"/>
    <w:rsid w:val="00636BD9"/>
    <w:rsid w:val="00636D0E"/>
    <w:rsid w:val="00636E57"/>
    <w:rsid w:val="00636FF7"/>
    <w:rsid w:val="006371D3"/>
    <w:rsid w:val="0063724D"/>
    <w:rsid w:val="00637760"/>
    <w:rsid w:val="00637B26"/>
    <w:rsid w:val="00640350"/>
    <w:rsid w:val="00640405"/>
    <w:rsid w:val="00640508"/>
    <w:rsid w:val="006406B4"/>
    <w:rsid w:val="00640C1B"/>
    <w:rsid w:val="00640EF5"/>
    <w:rsid w:val="006411EB"/>
    <w:rsid w:val="006412B0"/>
    <w:rsid w:val="00641378"/>
    <w:rsid w:val="00641570"/>
    <w:rsid w:val="006418DB"/>
    <w:rsid w:val="00641965"/>
    <w:rsid w:val="00641B30"/>
    <w:rsid w:val="00641D27"/>
    <w:rsid w:val="00641F98"/>
    <w:rsid w:val="006421F1"/>
    <w:rsid w:val="00642588"/>
    <w:rsid w:val="00642BF6"/>
    <w:rsid w:val="00642D3A"/>
    <w:rsid w:val="00642D57"/>
    <w:rsid w:val="00642E61"/>
    <w:rsid w:val="0064382D"/>
    <w:rsid w:val="006438A5"/>
    <w:rsid w:val="00643C43"/>
    <w:rsid w:val="00643FED"/>
    <w:rsid w:val="0064419F"/>
    <w:rsid w:val="006441EC"/>
    <w:rsid w:val="006442D2"/>
    <w:rsid w:val="0064432D"/>
    <w:rsid w:val="00644417"/>
    <w:rsid w:val="006447CF"/>
    <w:rsid w:val="0064514A"/>
    <w:rsid w:val="00645536"/>
    <w:rsid w:val="006456E8"/>
    <w:rsid w:val="006456F1"/>
    <w:rsid w:val="0064593F"/>
    <w:rsid w:val="0064635F"/>
    <w:rsid w:val="006464B9"/>
    <w:rsid w:val="006464F5"/>
    <w:rsid w:val="0064690D"/>
    <w:rsid w:val="00646A3B"/>
    <w:rsid w:val="00646B2F"/>
    <w:rsid w:val="00646BB4"/>
    <w:rsid w:val="00646F19"/>
    <w:rsid w:val="0064721A"/>
    <w:rsid w:val="00647223"/>
    <w:rsid w:val="00647559"/>
    <w:rsid w:val="006475A1"/>
    <w:rsid w:val="00647AA5"/>
    <w:rsid w:val="00647B85"/>
    <w:rsid w:val="00647DA2"/>
    <w:rsid w:val="00647F0E"/>
    <w:rsid w:val="00647F7A"/>
    <w:rsid w:val="006500EE"/>
    <w:rsid w:val="0065023A"/>
    <w:rsid w:val="006502CA"/>
    <w:rsid w:val="00650541"/>
    <w:rsid w:val="00650544"/>
    <w:rsid w:val="00650B61"/>
    <w:rsid w:val="00650CFD"/>
    <w:rsid w:val="00650F3B"/>
    <w:rsid w:val="00650FCB"/>
    <w:rsid w:val="006510A7"/>
    <w:rsid w:val="006510EC"/>
    <w:rsid w:val="00651261"/>
    <w:rsid w:val="00651401"/>
    <w:rsid w:val="00651506"/>
    <w:rsid w:val="0065183E"/>
    <w:rsid w:val="006524B6"/>
    <w:rsid w:val="00652562"/>
    <w:rsid w:val="006526C7"/>
    <w:rsid w:val="0065286B"/>
    <w:rsid w:val="0065297B"/>
    <w:rsid w:val="006529F4"/>
    <w:rsid w:val="00652B6F"/>
    <w:rsid w:val="00653274"/>
    <w:rsid w:val="0065333C"/>
    <w:rsid w:val="0065360D"/>
    <w:rsid w:val="006536DA"/>
    <w:rsid w:val="006538AF"/>
    <w:rsid w:val="00653E83"/>
    <w:rsid w:val="00653F13"/>
    <w:rsid w:val="006540CE"/>
    <w:rsid w:val="006541EB"/>
    <w:rsid w:val="006545D4"/>
    <w:rsid w:val="006546F3"/>
    <w:rsid w:val="006548F6"/>
    <w:rsid w:val="00654982"/>
    <w:rsid w:val="00655010"/>
    <w:rsid w:val="00655108"/>
    <w:rsid w:val="0065533C"/>
    <w:rsid w:val="006553D4"/>
    <w:rsid w:val="0065595C"/>
    <w:rsid w:val="00655B3D"/>
    <w:rsid w:val="00655B95"/>
    <w:rsid w:val="00655DE9"/>
    <w:rsid w:val="00655EFD"/>
    <w:rsid w:val="00656038"/>
    <w:rsid w:val="00656612"/>
    <w:rsid w:val="0065690A"/>
    <w:rsid w:val="00656DBD"/>
    <w:rsid w:val="006570DD"/>
    <w:rsid w:val="0065779A"/>
    <w:rsid w:val="00657B72"/>
    <w:rsid w:val="00657C3C"/>
    <w:rsid w:val="00660020"/>
    <w:rsid w:val="00660059"/>
    <w:rsid w:val="00660127"/>
    <w:rsid w:val="006601FD"/>
    <w:rsid w:val="0066034C"/>
    <w:rsid w:val="00660594"/>
    <w:rsid w:val="0066063B"/>
    <w:rsid w:val="00660826"/>
    <w:rsid w:val="006609D3"/>
    <w:rsid w:val="00660E7C"/>
    <w:rsid w:val="00660F30"/>
    <w:rsid w:val="00661043"/>
    <w:rsid w:val="0066195A"/>
    <w:rsid w:val="006619DF"/>
    <w:rsid w:val="00661C92"/>
    <w:rsid w:val="00662317"/>
    <w:rsid w:val="006624F5"/>
    <w:rsid w:val="006625B1"/>
    <w:rsid w:val="00662E59"/>
    <w:rsid w:val="00663083"/>
    <w:rsid w:val="00663303"/>
    <w:rsid w:val="00663327"/>
    <w:rsid w:val="00663832"/>
    <w:rsid w:val="0066385F"/>
    <w:rsid w:val="00663A14"/>
    <w:rsid w:val="00663B7D"/>
    <w:rsid w:val="00663BD2"/>
    <w:rsid w:val="00663C2E"/>
    <w:rsid w:val="00663CDF"/>
    <w:rsid w:val="0066422D"/>
    <w:rsid w:val="006642FC"/>
    <w:rsid w:val="006644AE"/>
    <w:rsid w:val="0066474C"/>
    <w:rsid w:val="006647A8"/>
    <w:rsid w:val="00664963"/>
    <w:rsid w:val="00664AD7"/>
    <w:rsid w:val="00664D52"/>
    <w:rsid w:val="00664DC3"/>
    <w:rsid w:val="00664FCF"/>
    <w:rsid w:val="00665523"/>
    <w:rsid w:val="0066557B"/>
    <w:rsid w:val="00665A36"/>
    <w:rsid w:val="00665D94"/>
    <w:rsid w:val="00665E7F"/>
    <w:rsid w:val="0066609D"/>
    <w:rsid w:val="0066617E"/>
    <w:rsid w:val="0066620E"/>
    <w:rsid w:val="0066627F"/>
    <w:rsid w:val="006665F1"/>
    <w:rsid w:val="00666655"/>
    <w:rsid w:val="006667E9"/>
    <w:rsid w:val="00666AFF"/>
    <w:rsid w:val="00666B8A"/>
    <w:rsid w:val="00666C57"/>
    <w:rsid w:val="00666CAA"/>
    <w:rsid w:val="00666D4E"/>
    <w:rsid w:val="00666E77"/>
    <w:rsid w:val="00666EF8"/>
    <w:rsid w:val="00667086"/>
    <w:rsid w:val="0066711E"/>
    <w:rsid w:val="006676B2"/>
    <w:rsid w:val="00667AC0"/>
    <w:rsid w:val="00667AC9"/>
    <w:rsid w:val="00667D34"/>
    <w:rsid w:val="00667D65"/>
    <w:rsid w:val="00667DB2"/>
    <w:rsid w:val="00667E3C"/>
    <w:rsid w:val="006700C2"/>
    <w:rsid w:val="006702A5"/>
    <w:rsid w:val="00670444"/>
    <w:rsid w:val="006706A4"/>
    <w:rsid w:val="00670737"/>
    <w:rsid w:val="00670906"/>
    <w:rsid w:val="00670AF5"/>
    <w:rsid w:val="00670CE8"/>
    <w:rsid w:val="00670DB4"/>
    <w:rsid w:val="00670E98"/>
    <w:rsid w:val="00670FE7"/>
    <w:rsid w:val="006711D5"/>
    <w:rsid w:val="006713E9"/>
    <w:rsid w:val="006718B0"/>
    <w:rsid w:val="00671935"/>
    <w:rsid w:val="006719B2"/>
    <w:rsid w:val="00671D12"/>
    <w:rsid w:val="00671E3A"/>
    <w:rsid w:val="0067201F"/>
    <w:rsid w:val="0067221D"/>
    <w:rsid w:val="0067222D"/>
    <w:rsid w:val="006727E4"/>
    <w:rsid w:val="00672CA3"/>
    <w:rsid w:val="00672DCD"/>
    <w:rsid w:val="00672F21"/>
    <w:rsid w:val="00672F50"/>
    <w:rsid w:val="00672FC5"/>
    <w:rsid w:val="00673430"/>
    <w:rsid w:val="0067380E"/>
    <w:rsid w:val="0067383B"/>
    <w:rsid w:val="00673C71"/>
    <w:rsid w:val="00673E37"/>
    <w:rsid w:val="00673EA4"/>
    <w:rsid w:val="00673ECF"/>
    <w:rsid w:val="00674092"/>
    <w:rsid w:val="006741B2"/>
    <w:rsid w:val="0067447E"/>
    <w:rsid w:val="006746B1"/>
    <w:rsid w:val="00675281"/>
    <w:rsid w:val="00675615"/>
    <w:rsid w:val="00675686"/>
    <w:rsid w:val="00675864"/>
    <w:rsid w:val="00675C1F"/>
    <w:rsid w:val="006764D7"/>
    <w:rsid w:val="006768ED"/>
    <w:rsid w:val="00676B8B"/>
    <w:rsid w:val="00676CC2"/>
    <w:rsid w:val="00676D43"/>
    <w:rsid w:val="00676FBD"/>
    <w:rsid w:val="0067708D"/>
    <w:rsid w:val="00677324"/>
    <w:rsid w:val="006776FA"/>
    <w:rsid w:val="0067784B"/>
    <w:rsid w:val="00677D2D"/>
    <w:rsid w:val="00677E2B"/>
    <w:rsid w:val="006800D2"/>
    <w:rsid w:val="006802CB"/>
    <w:rsid w:val="006803D7"/>
    <w:rsid w:val="00680744"/>
    <w:rsid w:val="006808CC"/>
    <w:rsid w:val="006809C7"/>
    <w:rsid w:val="00680CBE"/>
    <w:rsid w:val="00680EBF"/>
    <w:rsid w:val="0068101A"/>
    <w:rsid w:val="006813A4"/>
    <w:rsid w:val="00681487"/>
    <w:rsid w:val="006816F1"/>
    <w:rsid w:val="0068180F"/>
    <w:rsid w:val="00681980"/>
    <w:rsid w:val="00681B8E"/>
    <w:rsid w:val="00681BE3"/>
    <w:rsid w:val="00681DB5"/>
    <w:rsid w:val="00681E1F"/>
    <w:rsid w:val="00681E28"/>
    <w:rsid w:val="00681FD8"/>
    <w:rsid w:val="00682033"/>
    <w:rsid w:val="0068249B"/>
    <w:rsid w:val="006827EA"/>
    <w:rsid w:val="00682A54"/>
    <w:rsid w:val="00682BFB"/>
    <w:rsid w:val="00682CA4"/>
    <w:rsid w:val="00682DCB"/>
    <w:rsid w:val="00682E29"/>
    <w:rsid w:val="00683185"/>
    <w:rsid w:val="00683292"/>
    <w:rsid w:val="00683673"/>
    <w:rsid w:val="0068392E"/>
    <w:rsid w:val="006839FB"/>
    <w:rsid w:val="00683BC2"/>
    <w:rsid w:val="00683E81"/>
    <w:rsid w:val="00684045"/>
    <w:rsid w:val="006841D8"/>
    <w:rsid w:val="006841EE"/>
    <w:rsid w:val="00684263"/>
    <w:rsid w:val="006842FB"/>
    <w:rsid w:val="0068439F"/>
    <w:rsid w:val="00684461"/>
    <w:rsid w:val="00684501"/>
    <w:rsid w:val="00684C5C"/>
    <w:rsid w:val="00684DB3"/>
    <w:rsid w:val="00684EE7"/>
    <w:rsid w:val="00684FFB"/>
    <w:rsid w:val="0068505A"/>
    <w:rsid w:val="00685181"/>
    <w:rsid w:val="006854B7"/>
    <w:rsid w:val="00685552"/>
    <w:rsid w:val="0068616D"/>
    <w:rsid w:val="00686252"/>
    <w:rsid w:val="006862FB"/>
    <w:rsid w:val="00686711"/>
    <w:rsid w:val="00686A7C"/>
    <w:rsid w:val="00686D0E"/>
    <w:rsid w:val="00686DF7"/>
    <w:rsid w:val="006870AD"/>
    <w:rsid w:val="00687747"/>
    <w:rsid w:val="006878A7"/>
    <w:rsid w:val="00687957"/>
    <w:rsid w:val="00687A23"/>
    <w:rsid w:val="00687E02"/>
    <w:rsid w:val="00687E3A"/>
    <w:rsid w:val="006903D9"/>
    <w:rsid w:val="00690810"/>
    <w:rsid w:val="00690E15"/>
    <w:rsid w:val="00690E60"/>
    <w:rsid w:val="006911EC"/>
    <w:rsid w:val="00691223"/>
    <w:rsid w:val="00691240"/>
    <w:rsid w:val="00691312"/>
    <w:rsid w:val="0069163B"/>
    <w:rsid w:val="00691645"/>
    <w:rsid w:val="00691AAD"/>
    <w:rsid w:val="00691C4E"/>
    <w:rsid w:val="00691DCF"/>
    <w:rsid w:val="00691F31"/>
    <w:rsid w:val="00692224"/>
    <w:rsid w:val="0069233E"/>
    <w:rsid w:val="0069276B"/>
    <w:rsid w:val="006928E3"/>
    <w:rsid w:val="0069296B"/>
    <w:rsid w:val="0069298C"/>
    <w:rsid w:val="00692B26"/>
    <w:rsid w:val="00692D79"/>
    <w:rsid w:val="006933EC"/>
    <w:rsid w:val="00693559"/>
    <w:rsid w:val="00693710"/>
    <w:rsid w:val="006938B6"/>
    <w:rsid w:val="00693966"/>
    <w:rsid w:val="00693A34"/>
    <w:rsid w:val="00693A5C"/>
    <w:rsid w:val="00693F88"/>
    <w:rsid w:val="00693F8B"/>
    <w:rsid w:val="006940D3"/>
    <w:rsid w:val="0069421D"/>
    <w:rsid w:val="00694374"/>
    <w:rsid w:val="00694398"/>
    <w:rsid w:val="00694403"/>
    <w:rsid w:val="00694501"/>
    <w:rsid w:val="0069470D"/>
    <w:rsid w:val="0069522A"/>
    <w:rsid w:val="00695414"/>
    <w:rsid w:val="006956A9"/>
    <w:rsid w:val="00695A03"/>
    <w:rsid w:val="00695A45"/>
    <w:rsid w:val="00695A5C"/>
    <w:rsid w:val="006965B0"/>
    <w:rsid w:val="0069676A"/>
    <w:rsid w:val="0069677F"/>
    <w:rsid w:val="00696AE3"/>
    <w:rsid w:val="00696D96"/>
    <w:rsid w:val="0069706D"/>
    <w:rsid w:val="006971DF"/>
    <w:rsid w:val="00697252"/>
    <w:rsid w:val="0069733E"/>
    <w:rsid w:val="0069737B"/>
    <w:rsid w:val="00697702"/>
    <w:rsid w:val="00697EF8"/>
    <w:rsid w:val="006A0286"/>
    <w:rsid w:val="006A04EE"/>
    <w:rsid w:val="006A07AE"/>
    <w:rsid w:val="006A09DD"/>
    <w:rsid w:val="006A0A57"/>
    <w:rsid w:val="006A0B91"/>
    <w:rsid w:val="006A0D49"/>
    <w:rsid w:val="006A1723"/>
    <w:rsid w:val="006A1A8E"/>
    <w:rsid w:val="006A1BB3"/>
    <w:rsid w:val="006A1EEF"/>
    <w:rsid w:val="006A1F88"/>
    <w:rsid w:val="006A2148"/>
    <w:rsid w:val="006A219B"/>
    <w:rsid w:val="006A22A0"/>
    <w:rsid w:val="006A2525"/>
    <w:rsid w:val="006A2610"/>
    <w:rsid w:val="006A28C3"/>
    <w:rsid w:val="006A30F9"/>
    <w:rsid w:val="006A324B"/>
    <w:rsid w:val="006A3EE8"/>
    <w:rsid w:val="006A4092"/>
    <w:rsid w:val="006A414B"/>
    <w:rsid w:val="006A4194"/>
    <w:rsid w:val="006A438E"/>
    <w:rsid w:val="006A43DA"/>
    <w:rsid w:val="006A44C5"/>
    <w:rsid w:val="006A480D"/>
    <w:rsid w:val="006A4DDB"/>
    <w:rsid w:val="006A4DF7"/>
    <w:rsid w:val="006A5670"/>
    <w:rsid w:val="006A56B4"/>
    <w:rsid w:val="006A5AB5"/>
    <w:rsid w:val="006A5C68"/>
    <w:rsid w:val="006A5DD2"/>
    <w:rsid w:val="006A60A2"/>
    <w:rsid w:val="006A6106"/>
    <w:rsid w:val="006A63A1"/>
    <w:rsid w:val="006A64A2"/>
    <w:rsid w:val="006A65A0"/>
    <w:rsid w:val="006A6612"/>
    <w:rsid w:val="006A66EA"/>
    <w:rsid w:val="006A67F1"/>
    <w:rsid w:val="006A69DC"/>
    <w:rsid w:val="006A6B16"/>
    <w:rsid w:val="006A6B40"/>
    <w:rsid w:val="006A6B9E"/>
    <w:rsid w:val="006A6D12"/>
    <w:rsid w:val="006A6FF0"/>
    <w:rsid w:val="006A716B"/>
    <w:rsid w:val="006A764E"/>
    <w:rsid w:val="006A76D9"/>
    <w:rsid w:val="006A786F"/>
    <w:rsid w:val="006A78F4"/>
    <w:rsid w:val="006A7C17"/>
    <w:rsid w:val="006A7C18"/>
    <w:rsid w:val="006A7D86"/>
    <w:rsid w:val="006A7DB2"/>
    <w:rsid w:val="006A7F03"/>
    <w:rsid w:val="006B05F9"/>
    <w:rsid w:val="006B0741"/>
    <w:rsid w:val="006B0780"/>
    <w:rsid w:val="006B0C6D"/>
    <w:rsid w:val="006B1087"/>
    <w:rsid w:val="006B1178"/>
    <w:rsid w:val="006B128B"/>
    <w:rsid w:val="006B1318"/>
    <w:rsid w:val="006B13C6"/>
    <w:rsid w:val="006B1504"/>
    <w:rsid w:val="006B177D"/>
    <w:rsid w:val="006B178E"/>
    <w:rsid w:val="006B1799"/>
    <w:rsid w:val="006B1B46"/>
    <w:rsid w:val="006B1BDB"/>
    <w:rsid w:val="006B1EAF"/>
    <w:rsid w:val="006B1FDF"/>
    <w:rsid w:val="006B20F1"/>
    <w:rsid w:val="006B229F"/>
    <w:rsid w:val="006B244A"/>
    <w:rsid w:val="006B2521"/>
    <w:rsid w:val="006B2A07"/>
    <w:rsid w:val="006B2BF6"/>
    <w:rsid w:val="006B2C9B"/>
    <w:rsid w:val="006B2CA7"/>
    <w:rsid w:val="006B2D5A"/>
    <w:rsid w:val="006B2DBF"/>
    <w:rsid w:val="006B2F37"/>
    <w:rsid w:val="006B31AE"/>
    <w:rsid w:val="006B32E0"/>
    <w:rsid w:val="006B33FF"/>
    <w:rsid w:val="006B34B0"/>
    <w:rsid w:val="006B36B2"/>
    <w:rsid w:val="006B38AA"/>
    <w:rsid w:val="006B39B0"/>
    <w:rsid w:val="006B3B06"/>
    <w:rsid w:val="006B3BB5"/>
    <w:rsid w:val="006B3E3F"/>
    <w:rsid w:val="006B42BD"/>
    <w:rsid w:val="006B4357"/>
    <w:rsid w:val="006B4478"/>
    <w:rsid w:val="006B459E"/>
    <w:rsid w:val="006B4655"/>
    <w:rsid w:val="006B4BD6"/>
    <w:rsid w:val="006B4C3F"/>
    <w:rsid w:val="006B4DBD"/>
    <w:rsid w:val="006B50E7"/>
    <w:rsid w:val="006B5275"/>
    <w:rsid w:val="006B568E"/>
    <w:rsid w:val="006B5798"/>
    <w:rsid w:val="006B596E"/>
    <w:rsid w:val="006B5EE1"/>
    <w:rsid w:val="006B6077"/>
    <w:rsid w:val="006B63DB"/>
    <w:rsid w:val="006B63EF"/>
    <w:rsid w:val="006B65EE"/>
    <w:rsid w:val="006B673A"/>
    <w:rsid w:val="006B683A"/>
    <w:rsid w:val="006B6983"/>
    <w:rsid w:val="006B69B2"/>
    <w:rsid w:val="006B6A72"/>
    <w:rsid w:val="006B6E86"/>
    <w:rsid w:val="006B72BC"/>
    <w:rsid w:val="006B74B5"/>
    <w:rsid w:val="006B777B"/>
    <w:rsid w:val="006B7B80"/>
    <w:rsid w:val="006B7DEC"/>
    <w:rsid w:val="006B7EF6"/>
    <w:rsid w:val="006C02CF"/>
    <w:rsid w:val="006C03A9"/>
    <w:rsid w:val="006C0484"/>
    <w:rsid w:val="006C0682"/>
    <w:rsid w:val="006C0AB8"/>
    <w:rsid w:val="006C0D51"/>
    <w:rsid w:val="006C0F51"/>
    <w:rsid w:val="006C0FC7"/>
    <w:rsid w:val="006C0FCD"/>
    <w:rsid w:val="006C1048"/>
    <w:rsid w:val="006C13EB"/>
    <w:rsid w:val="006C13FA"/>
    <w:rsid w:val="006C15BD"/>
    <w:rsid w:val="006C1601"/>
    <w:rsid w:val="006C1629"/>
    <w:rsid w:val="006C1787"/>
    <w:rsid w:val="006C19DD"/>
    <w:rsid w:val="006C1B26"/>
    <w:rsid w:val="006C1D98"/>
    <w:rsid w:val="006C1D9F"/>
    <w:rsid w:val="006C1E15"/>
    <w:rsid w:val="006C215E"/>
    <w:rsid w:val="006C2172"/>
    <w:rsid w:val="006C2181"/>
    <w:rsid w:val="006C2681"/>
    <w:rsid w:val="006C271D"/>
    <w:rsid w:val="006C2916"/>
    <w:rsid w:val="006C2AEE"/>
    <w:rsid w:val="006C2E9C"/>
    <w:rsid w:val="006C30AC"/>
    <w:rsid w:val="006C32A3"/>
    <w:rsid w:val="006C32C8"/>
    <w:rsid w:val="006C3465"/>
    <w:rsid w:val="006C34C5"/>
    <w:rsid w:val="006C37DF"/>
    <w:rsid w:val="006C384F"/>
    <w:rsid w:val="006C3A6E"/>
    <w:rsid w:val="006C3C7F"/>
    <w:rsid w:val="006C3DB7"/>
    <w:rsid w:val="006C4103"/>
    <w:rsid w:val="006C41BF"/>
    <w:rsid w:val="006C422E"/>
    <w:rsid w:val="006C48D0"/>
    <w:rsid w:val="006C4935"/>
    <w:rsid w:val="006C4ABA"/>
    <w:rsid w:val="006C4AD4"/>
    <w:rsid w:val="006C4D8C"/>
    <w:rsid w:val="006C4E7D"/>
    <w:rsid w:val="006C52F5"/>
    <w:rsid w:val="006C5356"/>
    <w:rsid w:val="006C5382"/>
    <w:rsid w:val="006C53A8"/>
    <w:rsid w:val="006C557A"/>
    <w:rsid w:val="006C5982"/>
    <w:rsid w:val="006C59CD"/>
    <w:rsid w:val="006C5B70"/>
    <w:rsid w:val="006C63D6"/>
    <w:rsid w:val="006C640D"/>
    <w:rsid w:val="006C6679"/>
    <w:rsid w:val="006C669B"/>
    <w:rsid w:val="006C6ADF"/>
    <w:rsid w:val="006C6E31"/>
    <w:rsid w:val="006C6E6F"/>
    <w:rsid w:val="006C7022"/>
    <w:rsid w:val="006C7139"/>
    <w:rsid w:val="006C7261"/>
    <w:rsid w:val="006C759D"/>
    <w:rsid w:val="006C77C3"/>
    <w:rsid w:val="006C7C64"/>
    <w:rsid w:val="006D0252"/>
    <w:rsid w:val="006D0311"/>
    <w:rsid w:val="006D0833"/>
    <w:rsid w:val="006D0A37"/>
    <w:rsid w:val="006D0BF2"/>
    <w:rsid w:val="006D0DBB"/>
    <w:rsid w:val="006D0E0B"/>
    <w:rsid w:val="006D103F"/>
    <w:rsid w:val="006D134C"/>
    <w:rsid w:val="006D14E8"/>
    <w:rsid w:val="006D1575"/>
    <w:rsid w:val="006D1786"/>
    <w:rsid w:val="006D1B96"/>
    <w:rsid w:val="006D1C36"/>
    <w:rsid w:val="006D1F15"/>
    <w:rsid w:val="006D21B6"/>
    <w:rsid w:val="006D2275"/>
    <w:rsid w:val="006D2277"/>
    <w:rsid w:val="006D228E"/>
    <w:rsid w:val="006D2388"/>
    <w:rsid w:val="006D28A2"/>
    <w:rsid w:val="006D2D8E"/>
    <w:rsid w:val="006D310F"/>
    <w:rsid w:val="006D3245"/>
    <w:rsid w:val="006D396B"/>
    <w:rsid w:val="006D39D4"/>
    <w:rsid w:val="006D3A34"/>
    <w:rsid w:val="006D3C7A"/>
    <w:rsid w:val="006D3E29"/>
    <w:rsid w:val="006D4603"/>
    <w:rsid w:val="006D464A"/>
    <w:rsid w:val="006D4B46"/>
    <w:rsid w:val="006D4F01"/>
    <w:rsid w:val="006D5103"/>
    <w:rsid w:val="006D51D0"/>
    <w:rsid w:val="006D523E"/>
    <w:rsid w:val="006D5428"/>
    <w:rsid w:val="006D56FA"/>
    <w:rsid w:val="006D573C"/>
    <w:rsid w:val="006D5A44"/>
    <w:rsid w:val="006D5B85"/>
    <w:rsid w:val="006D5E50"/>
    <w:rsid w:val="006D5F2C"/>
    <w:rsid w:val="006D6441"/>
    <w:rsid w:val="006D650C"/>
    <w:rsid w:val="006D6731"/>
    <w:rsid w:val="006D6A90"/>
    <w:rsid w:val="006D6C97"/>
    <w:rsid w:val="006D6D2D"/>
    <w:rsid w:val="006D6D5F"/>
    <w:rsid w:val="006D7061"/>
    <w:rsid w:val="006D7298"/>
    <w:rsid w:val="006D7377"/>
    <w:rsid w:val="006D7535"/>
    <w:rsid w:val="006D768B"/>
    <w:rsid w:val="006D77C5"/>
    <w:rsid w:val="006D7A3B"/>
    <w:rsid w:val="006D7BED"/>
    <w:rsid w:val="006D7E91"/>
    <w:rsid w:val="006D7F2A"/>
    <w:rsid w:val="006E0316"/>
    <w:rsid w:val="006E0BC5"/>
    <w:rsid w:val="006E0C4F"/>
    <w:rsid w:val="006E0D5B"/>
    <w:rsid w:val="006E0F9D"/>
    <w:rsid w:val="006E0FBA"/>
    <w:rsid w:val="006E138C"/>
    <w:rsid w:val="006E1409"/>
    <w:rsid w:val="006E1A07"/>
    <w:rsid w:val="006E1BB6"/>
    <w:rsid w:val="006E1CD2"/>
    <w:rsid w:val="006E1F37"/>
    <w:rsid w:val="006E210B"/>
    <w:rsid w:val="006E2185"/>
    <w:rsid w:val="006E21F0"/>
    <w:rsid w:val="006E2354"/>
    <w:rsid w:val="006E3168"/>
    <w:rsid w:val="006E33D0"/>
    <w:rsid w:val="006E36A6"/>
    <w:rsid w:val="006E39DC"/>
    <w:rsid w:val="006E3AEF"/>
    <w:rsid w:val="006E4101"/>
    <w:rsid w:val="006E5107"/>
    <w:rsid w:val="006E51F4"/>
    <w:rsid w:val="006E525D"/>
    <w:rsid w:val="006E5265"/>
    <w:rsid w:val="006E5351"/>
    <w:rsid w:val="006E5365"/>
    <w:rsid w:val="006E539A"/>
    <w:rsid w:val="006E5590"/>
    <w:rsid w:val="006E566D"/>
    <w:rsid w:val="006E580A"/>
    <w:rsid w:val="006E5A3E"/>
    <w:rsid w:val="006E5B10"/>
    <w:rsid w:val="006E5FAA"/>
    <w:rsid w:val="006E63AB"/>
    <w:rsid w:val="006E6402"/>
    <w:rsid w:val="006E6599"/>
    <w:rsid w:val="006E67DD"/>
    <w:rsid w:val="006E685C"/>
    <w:rsid w:val="006E6C84"/>
    <w:rsid w:val="006E7078"/>
    <w:rsid w:val="006E7119"/>
    <w:rsid w:val="006E727D"/>
    <w:rsid w:val="006E7517"/>
    <w:rsid w:val="006E782C"/>
    <w:rsid w:val="006E7B7B"/>
    <w:rsid w:val="006E7CD3"/>
    <w:rsid w:val="006E7EE5"/>
    <w:rsid w:val="006E7FAC"/>
    <w:rsid w:val="006F0000"/>
    <w:rsid w:val="006F0050"/>
    <w:rsid w:val="006F03C8"/>
    <w:rsid w:val="006F04CC"/>
    <w:rsid w:val="006F04E3"/>
    <w:rsid w:val="006F054C"/>
    <w:rsid w:val="006F0949"/>
    <w:rsid w:val="006F09A0"/>
    <w:rsid w:val="006F0CBD"/>
    <w:rsid w:val="006F0DA2"/>
    <w:rsid w:val="006F0F10"/>
    <w:rsid w:val="006F104A"/>
    <w:rsid w:val="006F1152"/>
    <w:rsid w:val="006F1335"/>
    <w:rsid w:val="006F13BC"/>
    <w:rsid w:val="006F1B37"/>
    <w:rsid w:val="006F1B95"/>
    <w:rsid w:val="006F1D3D"/>
    <w:rsid w:val="006F1E91"/>
    <w:rsid w:val="006F209E"/>
    <w:rsid w:val="006F218F"/>
    <w:rsid w:val="006F2261"/>
    <w:rsid w:val="006F22C2"/>
    <w:rsid w:val="006F2362"/>
    <w:rsid w:val="006F2382"/>
    <w:rsid w:val="006F2C0B"/>
    <w:rsid w:val="006F2FDA"/>
    <w:rsid w:val="006F301E"/>
    <w:rsid w:val="006F302E"/>
    <w:rsid w:val="006F34A4"/>
    <w:rsid w:val="006F352E"/>
    <w:rsid w:val="006F3581"/>
    <w:rsid w:val="006F3768"/>
    <w:rsid w:val="006F3D50"/>
    <w:rsid w:val="006F3F5D"/>
    <w:rsid w:val="006F43F8"/>
    <w:rsid w:val="006F44C1"/>
    <w:rsid w:val="006F44CF"/>
    <w:rsid w:val="006F47C0"/>
    <w:rsid w:val="006F482D"/>
    <w:rsid w:val="006F493E"/>
    <w:rsid w:val="006F4A21"/>
    <w:rsid w:val="006F4AF8"/>
    <w:rsid w:val="006F4E0C"/>
    <w:rsid w:val="006F5125"/>
    <w:rsid w:val="006F545A"/>
    <w:rsid w:val="006F54F5"/>
    <w:rsid w:val="006F58B0"/>
    <w:rsid w:val="006F5B64"/>
    <w:rsid w:val="006F5C7C"/>
    <w:rsid w:val="006F5E6A"/>
    <w:rsid w:val="006F6131"/>
    <w:rsid w:val="006F629F"/>
    <w:rsid w:val="006F63AB"/>
    <w:rsid w:val="006F63D8"/>
    <w:rsid w:val="006F6423"/>
    <w:rsid w:val="006F6626"/>
    <w:rsid w:val="006F66B4"/>
    <w:rsid w:val="006F67F0"/>
    <w:rsid w:val="006F68F5"/>
    <w:rsid w:val="006F6978"/>
    <w:rsid w:val="006F69B0"/>
    <w:rsid w:val="006F6C56"/>
    <w:rsid w:val="006F6F1F"/>
    <w:rsid w:val="006F7152"/>
    <w:rsid w:val="006F7466"/>
    <w:rsid w:val="006F78D2"/>
    <w:rsid w:val="006F7937"/>
    <w:rsid w:val="006F7A0F"/>
    <w:rsid w:val="006F7B21"/>
    <w:rsid w:val="006F7C3B"/>
    <w:rsid w:val="006F7C40"/>
    <w:rsid w:val="006F7C55"/>
    <w:rsid w:val="006F7D99"/>
    <w:rsid w:val="006F7FE9"/>
    <w:rsid w:val="007003B4"/>
    <w:rsid w:val="0070048A"/>
    <w:rsid w:val="0070098A"/>
    <w:rsid w:val="00700A0E"/>
    <w:rsid w:val="00700A17"/>
    <w:rsid w:val="00700AE2"/>
    <w:rsid w:val="0070127A"/>
    <w:rsid w:val="00701816"/>
    <w:rsid w:val="00701939"/>
    <w:rsid w:val="00701A50"/>
    <w:rsid w:val="00701BAE"/>
    <w:rsid w:val="00701D9E"/>
    <w:rsid w:val="00701FBF"/>
    <w:rsid w:val="0070234D"/>
    <w:rsid w:val="007023BB"/>
    <w:rsid w:val="007036DD"/>
    <w:rsid w:val="00703708"/>
    <w:rsid w:val="00703BC5"/>
    <w:rsid w:val="00703C24"/>
    <w:rsid w:val="00703E02"/>
    <w:rsid w:val="007040B7"/>
    <w:rsid w:val="00704845"/>
    <w:rsid w:val="00704A3A"/>
    <w:rsid w:val="00704F1B"/>
    <w:rsid w:val="0070516A"/>
    <w:rsid w:val="00705237"/>
    <w:rsid w:val="007054AE"/>
    <w:rsid w:val="0070586D"/>
    <w:rsid w:val="00705F92"/>
    <w:rsid w:val="00705F99"/>
    <w:rsid w:val="00706080"/>
    <w:rsid w:val="00706142"/>
    <w:rsid w:val="00706293"/>
    <w:rsid w:val="0070637B"/>
    <w:rsid w:val="007063FC"/>
    <w:rsid w:val="0070642D"/>
    <w:rsid w:val="007065FF"/>
    <w:rsid w:val="007067BB"/>
    <w:rsid w:val="00706C9F"/>
    <w:rsid w:val="00706E43"/>
    <w:rsid w:val="00706EA4"/>
    <w:rsid w:val="00706F24"/>
    <w:rsid w:val="00706FBE"/>
    <w:rsid w:val="00707302"/>
    <w:rsid w:val="00707695"/>
    <w:rsid w:val="00707762"/>
    <w:rsid w:val="007077A9"/>
    <w:rsid w:val="00710110"/>
    <w:rsid w:val="00710345"/>
    <w:rsid w:val="0071048F"/>
    <w:rsid w:val="0071058E"/>
    <w:rsid w:val="007105F6"/>
    <w:rsid w:val="00710858"/>
    <w:rsid w:val="007108FD"/>
    <w:rsid w:val="00710AD9"/>
    <w:rsid w:val="00710B09"/>
    <w:rsid w:val="00710B6C"/>
    <w:rsid w:val="00710C44"/>
    <w:rsid w:val="00710CBF"/>
    <w:rsid w:val="00710D8F"/>
    <w:rsid w:val="00710E92"/>
    <w:rsid w:val="00711090"/>
    <w:rsid w:val="007110EF"/>
    <w:rsid w:val="00711143"/>
    <w:rsid w:val="0071135C"/>
    <w:rsid w:val="00711BCA"/>
    <w:rsid w:val="00711EA0"/>
    <w:rsid w:val="00711FEE"/>
    <w:rsid w:val="007120D0"/>
    <w:rsid w:val="0071239A"/>
    <w:rsid w:val="00712709"/>
    <w:rsid w:val="00712729"/>
    <w:rsid w:val="007127A5"/>
    <w:rsid w:val="00712A66"/>
    <w:rsid w:val="00712BA9"/>
    <w:rsid w:val="00712C41"/>
    <w:rsid w:val="00712E59"/>
    <w:rsid w:val="00712F1B"/>
    <w:rsid w:val="0071329F"/>
    <w:rsid w:val="0071334F"/>
    <w:rsid w:val="00713745"/>
    <w:rsid w:val="00713ED6"/>
    <w:rsid w:val="00713F32"/>
    <w:rsid w:val="00713F38"/>
    <w:rsid w:val="00714547"/>
    <w:rsid w:val="007145A1"/>
    <w:rsid w:val="00714706"/>
    <w:rsid w:val="0071498C"/>
    <w:rsid w:val="00714AC2"/>
    <w:rsid w:val="00714C9C"/>
    <w:rsid w:val="00715028"/>
    <w:rsid w:val="00715387"/>
    <w:rsid w:val="0071541E"/>
    <w:rsid w:val="00715683"/>
    <w:rsid w:val="0071582A"/>
    <w:rsid w:val="00715920"/>
    <w:rsid w:val="007159D9"/>
    <w:rsid w:val="00715AC8"/>
    <w:rsid w:val="00715C9C"/>
    <w:rsid w:val="00716193"/>
    <w:rsid w:val="007164AD"/>
    <w:rsid w:val="0071656A"/>
    <w:rsid w:val="00716820"/>
    <w:rsid w:val="00716A01"/>
    <w:rsid w:val="00716A17"/>
    <w:rsid w:val="00716B67"/>
    <w:rsid w:val="00716C2B"/>
    <w:rsid w:val="007170E0"/>
    <w:rsid w:val="00717123"/>
    <w:rsid w:val="007171D6"/>
    <w:rsid w:val="007175B4"/>
    <w:rsid w:val="00717934"/>
    <w:rsid w:val="00717B01"/>
    <w:rsid w:val="00717BAD"/>
    <w:rsid w:val="007200DB"/>
    <w:rsid w:val="00720428"/>
    <w:rsid w:val="007205E9"/>
    <w:rsid w:val="007209D0"/>
    <w:rsid w:val="00720C31"/>
    <w:rsid w:val="00720FCF"/>
    <w:rsid w:val="007210E8"/>
    <w:rsid w:val="0072111A"/>
    <w:rsid w:val="0072118B"/>
    <w:rsid w:val="007215CA"/>
    <w:rsid w:val="007217A6"/>
    <w:rsid w:val="0072197D"/>
    <w:rsid w:val="007219CC"/>
    <w:rsid w:val="00721AAA"/>
    <w:rsid w:val="00721FB7"/>
    <w:rsid w:val="0072206E"/>
    <w:rsid w:val="00722545"/>
    <w:rsid w:val="00722551"/>
    <w:rsid w:val="00722695"/>
    <w:rsid w:val="007226B4"/>
    <w:rsid w:val="007228D9"/>
    <w:rsid w:val="0072291E"/>
    <w:rsid w:val="007229CE"/>
    <w:rsid w:val="00722AA5"/>
    <w:rsid w:val="00722E3B"/>
    <w:rsid w:val="007231D4"/>
    <w:rsid w:val="00723273"/>
    <w:rsid w:val="0072330F"/>
    <w:rsid w:val="00723332"/>
    <w:rsid w:val="007234B7"/>
    <w:rsid w:val="007235CC"/>
    <w:rsid w:val="00723A06"/>
    <w:rsid w:val="00723C87"/>
    <w:rsid w:val="00723D93"/>
    <w:rsid w:val="00724146"/>
    <w:rsid w:val="0072414F"/>
    <w:rsid w:val="007241A9"/>
    <w:rsid w:val="00724283"/>
    <w:rsid w:val="007243AB"/>
    <w:rsid w:val="00724519"/>
    <w:rsid w:val="00724DB2"/>
    <w:rsid w:val="00724E84"/>
    <w:rsid w:val="00724FCC"/>
    <w:rsid w:val="0072509D"/>
    <w:rsid w:val="0072533D"/>
    <w:rsid w:val="007255CF"/>
    <w:rsid w:val="007255EA"/>
    <w:rsid w:val="007257A6"/>
    <w:rsid w:val="007257D2"/>
    <w:rsid w:val="007257F6"/>
    <w:rsid w:val="007258CB"/>
    <w:rsid w:val="00725BC3"/>
    <w:rsid w:val="00725E0D"/>
    <w:rsid w:val="007261F7"/>
    <w:rsid w:val="00726362"/>
    <w:rsid w:val="007264C3"/>
    <w:rsid w:val="007267D8"/>
    <w:rsid w:val="0072686D"/>
    <w:rsid w:val="00726902"/>
    <w:rsid w:val="00726B21"/>
    <w:rsid w:val="007271F5"/>
    <w:rsid w:val="00727294"/>
    <w:rsid w:val="0072779B"/>
    <w:rsid w:val="00727834"/>
    <w:rsid w:val="00727DD9"/>
    <w:rsid w:val="007301FA"/>
    <w:rsid w:val="007302AB"/>
    <w:rsid w:val="0073080D"/>
    <w:rsid w:val="00730975"/>
    <w:rsid w:val="00731692"/>
    <w:rsid w:val="00731A9B"/>
    <w:rsid w:val="00731B8F"/>
    <w:rsid w:val="00731CBB"/>
    <w:rsid w:val="007321AB"/>
    <w:rsid w:val="00732327"/>
    <w:rsid w:val="007325AC"/>
    <w:rsid w:val="0073262F"/>
    <w:rsid w:val="0073290E"/>
    <w:rsid w:val="00732BB9"/>
    <w:rsid w:val="007335F7"/>
    <w:rsid w:val="007336EA"/>
    <w:rsid w:val="0073375C"/>
    <w:rsid w:val="007339BD"/>
    <w:rsid w:val="00733CFD"/>
    <w:rsid w:val="00733FFC"/>
    <w:rsid w:val="00734238"/>
    <w:rsid w:val="00734642"/>
    <w:rsid w:val="007346A8"/>
    <w:rsid w:val="00734712"/>
    <w:rsid w:val="007347ED"/>
    <w:rsid w:val="00734B30"/>
    <w:rsid w:val="00734C7B"/>
    <w:rsid w:val="00734E96"/>
    <w:rsid w:val="00734EBA"/>
    <w:rsid w:val="00734F14"/>
    <w:rsid w:val="00735425"/>
    <w:rsid w:val="00735534"/>
    <w:rsid w:val="007355ED"/>
    <w:rsid w:val="00735944"/>
    <w:rsid w:val="00735BC9"/>
    <w:rsid w:val="00735D21"/>
    <w:rsid w:val="007360B3"/>
    <w:rsid w:val="00736138"/>
    <w:rsid w:val="0073669B"/>
    <w:rsid w:val="0073694B"/>
    <w:rsid w:val="00736A5B"/>
    <w:rsid w:val="00736AAF"/>
    <w:rsid w:val="00736AF1"/>
    <w:rsid w:val="00736BD8"/>
    <w:rsid w:val="00736D15"/>
    <w:rsid w:val="00736D5E"/>
    <w:rsid w:val="00736F6F"/>
    <w:rsid w:val="00736FC8"/>
    <w:rsid w:val="00737417"/>
    <w:rsid w:val="0073780C"/>
    <w:rsid w:val="007400A8"/>
    <w:rsid w:val="00740159"/>
    <w:rsid w:val="00740214"/>
    <w:rsid w:val="0074039C"/>
    <w:rsid w:val="0074040A"/>
    <w:rsid w:val="0074091A"/>
    <w:rsid w:val="007409EF"/>
    <w:rsid w:val="00740EE4"/>
    <w:rsid w:val="00740FC5"/>
    <w:rsid w:val="0074110E"/>
    <w:rsid w:val="00741444"/>
    <w:rsid w:val="00741774"/>
    <w:rsid w:val="00741B6D"/>
    <w:rsid w:val="00741C20"/>
    <w:rsid w:val="00742039"/>
    <w:rsid w:val="00742774"/>
    <w:rsid w:val="007428EA"/>
    <w:rsid w:val="007428ED"/>
    <w:rsid w:val="00742DD6"/>
    <w:rsid w:val="00742E6F"/>
    <w:rsid w:val="00743008"/>
    <w:rsid w:val="0074303D"/>
    <w:rsid w:val="0074377A"/>
    <w:rsid w:val="007437D3"/>
    <w:rsid w:val="00743E9E"/>
    <w:rsid w:val="00743ED2"/>
    <w:rsid w:val="00744093"/>
    <w:rsid w:val="00744344"/>
    <w:rsid w:val="0074436E"/>
    <w:rsid w:val="007448B4"/>
    <w:rsid w:val="00744A9F"/>
    <w:rsid w:val="00744B05"/>
    <w:rsid w:val="00745052"/>
    <w:rsid w:val="0074570C"/>
    <w:rsid w:val="007457E0"/>
    <w:rsid w:val="007459AE"/>
    <w:rsid w:val="00745D30"/>
    <w:rsid w:val="00745EAA"/>
    <w:rsid w:val="00745F20"/>
    <w:rsid w:val="00745FA6"/>
    <w:rsid w:val="00746053"/>
    <w:rsid w:val="00746168"/>
    <w:rsid w:val="0074622D"/>
    <w:rsid w:val="0074634B"/>
    <w:rsid w:val="00746469"/>
    <w:rsid w:val="007464AD"/>
    <w:rsid w:val="00746970"/>
    <w:rsid w:val="00746CDE"/>
    <w:rsid w:val="00746D3A"/>
    <w:rsid w:val="00746F78"/>
    <w:rsid w:val="00746F7C"/>
    <w:rsid w:val="007471E0"/>
    <w:rsid w:val="007472E2"/>
    <w:rsid w:val="007472F8"/>
    <w:rsid w:val="007475DD"/>
    <w:rsid w:val="0074795B"/>
    <w:rsid w:val="00747B56"/>
    <w:rsid w:val="00747B77"/>
    <w:rsid w:val="00747F7F"/>
    <w:rsid w:val="00747FB6"/>
    <w:rsid w:val="007500D1"/>
    <w:rsid w:val="0075014C"/>
    <w:rsid w:val="00750B56"/>
    <w:rsid w:val="00750DFE"/>
    <w:rsid w:val="00750F1A"/>
    <w:rsid w:val="007512F9"/>
    <w:rsid w:val="00751399"/>
    <w:rsid w:val="007514E1"/>
    <w:rsid w:val="007515B8"/>
    <w:rsid w:val="00751783"/>
    <w:rsid w:val="00752249"/>
    <w:rsid w:val="0075249C"/>
    <w:rsid w:val="00752529"/>
    <w:rsid w:val="007525A3"/>
    <w:rsid w:val="00752D13"/>
    <w:rsid w:val="00752DF7"/>
    <w:rsid w:val="00752E08"/>
    <w:rsid w:val="00752E8A"/>
    <w:rsid w:val="00752F64"/>
    <w:rsid w:val="00753BB9"/>
    <w:rsid w:val="00753E22"/>
    <w:rsid w:val="00753F32"/>
    <w:rsid w:val="00754173"/>
    <w:rsid w:val="00754181"/>
    <w:rsid w:val="00754650"/>
    <w:rsid w:val="00754705"/>
    <w:rsid w:val="007547B2"/>
    <w:rsid w:val="00754E20"/>
    <w:rsid w:val="00755449"/>
    <w:rsid w:val="00755687"/>
    <w:rsid w:val="007556B6"/>
    <w:rsid w:val="0075573E"/>
    <w:rsid w:val="0075574A"/>
    <w:rsid w:val="0075583B"/>
    <w:rsid w:val="007558F1"/>
    <w:rsid w:val="007559FD"/>
    <w:rsid w:val="00755A7C"/>
    <w:rsid w:val="00755B90"/>
    <w:rsid w:val="00755CF9"/>
    <w:rsid w:val="007560E0"/>
    <w:rsid w:val="00756105"/>
    <w:rsid w:val="00756257"/>
    <w:rsid w:val="0075637A"/>
    <w:rsid w:val="00756816"/>
    <w:rsid w:val="007568A4"/>
    <w:rsid w:val="00756A88"/>
    <w:rsid w:val="00756BD8"/>
    <w:rsid w:val="00756F3A"/>
    <w:rsid w:val="00757085"/>
    <w:rsid w:val="00757123"/>
    <w:rsid w:val="00757328"/>
    <w:rsid w:val="00757556"/>
    <w:rsid w:val="0075758C"/>
    <w:rsid w:val="00757677"/>
    <w:rsid w:val="007576E3"/>
    <w:rsid w:val="007578C5"/>
    <w:rsid w:val="0075798A"/>
    <w:rsid w:val="00757C76"/>
    <w:rsid w:val="00757CD7"/>
    <w:rsid w:val="00760077"/>
    <w:rsid w:val="00760387"/>
    <w:rsid w:val="0076095B"/>
    <w:rsid w:val="00760B15"/>
    <w:rsid w:val="00760DFA"/>
    <w:rsid w:val="00761040"/>
    <w:rsid w:val="00761043"/>
    <w:rsid w:val="00761574"/>
    <w:rsid w:val="00761F65"/>
    <w:rsid w:val="00762205"/>
    <w:rsid w:val="007624E3"/>
    <w:rsid w:val="00762637"/>
    <w:rsid w:val="00762CD9"/>
    <w:rsid w:val="00762F75"/>
    <w:rsid w:val="007638DF"/>
    <w:rsid w:val="00763A7A"/>
    <w:rsid w:val="00763D67"/>
    <w:rsid w:val="00763E94"/>
    <w:rsid w:val="00763F68"/>
    <w:rsid w:val="007641DA"/>
    <w:rsid w:val="00764275"/>
    <w:rsid w:val="007642F2"/>
    <w:rsid w:val="0076469E"/>
    <w:rsid w:val="00764B17"/>
    <w:rsid w:val="00764B90"/>
    <w:rsid w:val="00764C23"/>
    <w:rsid w:val="00764F77"/>
    <w:rsid w:val="007652E2"/>
    <w:rsid w:val="00765515"/>
    <w:rsid w:val="007656B2"/>
    <w:rsid w:val="00765870"/>
    <w:rsid w:val="00765E0A"/>
    <w:rsid w:val="00766298"/>
    <w:rsid w:val="007669F7"/>
    <w:rsid w:val="00766A2D"/>
    <w:rsid w:val="00766AD7"/>
    <w:rsid w:val="00766EA4"/>
    <w:rsid w:val="00767052"/>
    <w:rsid w:val="007673AF"/>
    <w:rsid w:val="00767436"/>
    <w:rsid w:val="00767977"/>
    <w:rsid w:val="00767E70"/>
    <w:rsid w:val="00767EC9"/>
    <w:rsid w:val="00767F94"/>
    <w:rsid w:val="00767F96"/>
    <w:rsid w:val="00770546"/>
    <w:rsid w:val="00770988"/>
    <w:rsid w:val="00770D54"/>
    <w:rsid w:val="007712F4"/>
    <w:rsid w:val="00771423"/>
    <w:rsid w:val="0077184F"/>
    <w:rsid w:val="00771DDE"/>
    <w:rsid w:val="00771E78"/>
    <w:rsid w:val="00772050"/>
    <w:rsid w:val="007721F3"/>
    <w:rsid w:val="0077227D"/>
    <w:rsid w:val="0077265D"/>
    <w:rsid w:val="0077266F"/>
    <w:rsid w:val="0077276E"/>
    <w:rsid w:val="00772A97"/>
    <w:rsid w:val="00772E3A"/>
    <w:rsid w:val="0077316F"/>
    <w:rsid w:val="0077317D"/>
    <w:rsid w:val="00773287"/>
    <w:rsid w:val="00773358"/>
    <w:rsid w:val="007733B7"/>
    <w:rsid w:val="00773552"/>
    <w:rsid w:val="0077363C"/>
    <w:rsid w:val="007737BF"/>
    <w:rsid w:val="00773849"/>
    <w:rsid w:val="007739A0"/>
    <w:rsid w:val="00773D31"/>
    <w:rsid w:val="00773D4C"/>
    <w:rsid w:val="00773EC0"/>
    <w:rsid w:val="007740CC"/>
    <w:rsid w:val="0077410F"/>
    <w:rsid w:val="007741C8"/>
    <w:rsid w:val="00774509"/>
    <w:rsid w:val="0077469C"/>
    <w:rsid w:val="007747DB"/>
    <w:rsid w:val="007749AF"/>
    <w:rsid w:val="007749CE"/>
    <w:rsid w:val="00774E6A"/>
    <w:rsid w:val="00775145"/>
    <w:rsid w:val="00775435"/>
    <w:rsid w:val="007759F1"/>
    <w:rsid w:val="007761C5"/>
    <w:rsid w:val="007763DD"/>
    <w:rsid w:val="007763F5"/>
    <w:rsid w:val="007764CF"/>
    <w:rsid w:val="007767EF"/>
    <w:rsid w:val="00776972"/>
    <w:rsid w:val="0077697C"/>
    <w:rsid w:val="00776A47"/>
    <w:rsid w:val="00776C33"/>
    <w:rsid w:val="00777162"/>
    <w:rsid w:val="0077724C"/>
    <w:rsid w:val="0077739A"/>
    <w:rsid w:val="007776DC"/>
    <w:rsid w:val="007777A9"/>
    <w:rsid w:val="0077799C"/>
    <w:rsid w:val="007779BF"/>
    <w:rsid w:val="00777A93"/>
    <w:rsid w:val="00777B7F"/>
    <w:rsid w:val="00777D61"/>
    <w:rsid w:val="00780040"/>
    <w:rsid w:val="0078017F"/>
    <w:rsid w:val="007802BC"/>
    <w:rsid w:val="00780792"/>
    <w:rsid w:val="00780A7B"/>
    <w:rsid w:val="0078100E"/>
    <w:rsid w:val="00781151"/>
    <w:rsid w:val="0078140D"/>
    <w:rsid w:val="00781EBE"/>
    <w:rsid w:val="007821C2"/>
    <w:rsid w:val="0078235D"/>
    <w:rsid w:val="007824F5"/>
    <w:rsid w:val="0078266D"/>
    <w:rsid w:val="007826B4"/>
    <w:rsid w:val="007826D6"/>
    <w:rsid w:val="007829AB"/>
    <w:rsid w:val="00782BCB"/>
    <w:rsid w:val="00782E1A"/>
    <w:rsid w:val="007831BA"/>
    <w:rsid w:val="00783689"/>
    <w:rsid w:val="0078372C"/>
    <w:rsid w:val="00783794"/>
    <w:rsid w:val="007839D6"/>
    <w:rsid w:val="00783ABD"/>
    <w:rsid w:val="00783D0B"/>
    <w:rsid w:val="00783DC5"/>
    <w:rsid w:val="00783DEC"/>
    <w:rsid w:val="00783E55"/>
    <w:rsid w:val="007841B5"/>
    <w:rsid w:val="00784345"/>
    <w:rsid w:val="0078473D"/>
    <w:rsid w:val="00784B05"/>
    <w:rsid w:val="00784CDD"/>
    <w:rsid w:val="00784F66"/>
    <w:rsid w:val="00785259"/>
    <w:rsid w:val="0078550B"/>
    <w:rsid w:val="00785A58"/>
    <w:rsid w:val="00785F21"/>
    <w:rsid w:val="007867A7"/>
    <w:rsid w:val="007869B9"/>
    <w:rsid w:val="00786B08"/>
    <w:rsid w:val="00786B3E"/>
    <w:rsid w:val="00786CD8"/>
    <w:rsid w:val="00786F7B"/>
    <w:rsid w:val="00787115"/>
    <w:rsid w:val="00787352"/>
    <w:rsid w:val="00787396"/>
    <w:rsid w:val="00787556"/>
    <w:rsid w:val="00790003"/>
    <w:rsid w:val="00790021"/>
    <w:rsid w:val="00790112"/>
    <w:rsid w:val="00790180"/>
    <w:rsid w:val="0079047A"/>
    <w:rsid w:val="007904CC"/>
    <w:rsid w:val="0079087D"/>
    <w:rsid w:val="007909AE"/>
    <w:rsid w:val="00790BC9"/>
    <w:rsid w:val="00790BE6"/>
    <w:rsid w:val="007910CA"/>
    <w:rsid w:val="00791FC3"/>
    <w:rsid w:val="0079224B"/>
    <w:rsid w:val="007926CF"/>
    <w:rsid w:val="0079280E"/>
    <w:rsid w:val="007929C0"/>
    <w:rsid w:val="00792B1F"/>
    <w:rsid w:val="00793200"/>
    <w:rsid w:val="00793255"/>
    <w:rsid w:val="007932FF"/>
    <w:rsid w:val="007938C7"/>
    <w:rsid w:val="00793AE5"/>
    <w:rsid w:val="00793B24"/>
    <w:rsid w:val="00793EBF"/>
    <w:rsid w:val="00793F90"/>
    <w:rsid w:val="00794013"/>
    <w:rsid w:val="00794414"/>
    <w:rsid w:val="0079484A"/>
    <w:rsid w:val="00794940"/>
    <w:rsid w:val="00794A95"/>
    <w:rsid w:val="00794B50"/>
    <w:rsid w:val="00794E2F"/>
    <w:rsid w:val="00794F0A"/>
    <w:rsid w:val="00795473"/>
    <w:rsid w:val="007954AC"/>
    <w:rsid w:val="00795805"/>
    <w:rsid w:val="00795A3F"/>
    <w:rsid w:val="00795C64"/>
    <w:rsid w:val="00796449"/>
    <w:rsid w:val="007964F4"/>
    <w:rsid w:val="00796A63"/>
    <w:rsid w:val="00796B51"/>
    <w:rsid w:val="00796DBA"/>
    <w:rsid w:val="00796DFB"/>
    <w:rsid w:val="00796F89"/>
    <w:rsid w:val="007972C8"/>
    <w:rsid w:val="007972E0"/>
    <w:rsid w:val="00797368"/>
    <w:rsid w:val="007974B4"/>
    <w:rsid w:val="00797576"/>
    <w:rsid w:val="007975B5"/>
    <w:rsid w:val="00797B6A"/>
    <w:rsid w:val="00797B78"/>
    <w:rsid w:val="00797BB3"/>
    <w:rsid w:val="00797D52"/>
    <w:rsid w:val="007A02EE"/>
    <w:rsid w:val="007A02F5"/>
    <w:rsid w:val="007A039D"/>
    <w:rsid w:val="007A078B"/>
    <w:rsid w:val="007A0841"/>
    <w:rsid w:val="007A0B2A"/>
    <w:rsid w:val="007A13D1"/>
    <w:rsid w:val="007A13F0"/>
    <w:rsid w:val="007A1433"/>
    <w:rsid w:val="007A1982"/>
    <w:rsid w:val="007A1B53"/>
    <w:rsid w:val="007A1EBC"/>
    <w:rsid w:val="007A1F8B"/>
    <w:rsid w:val="007A2613"/>
    <w:rsid w:val="007A27D1"/>
    <w:rsid w:val="007A2AC6"/>
    <w:rsid w:val="007A2C11"/>
    <w:rsid w:val="007A2EA2"/>
    <w:rsid w:val="007A2ED8"/>
    <w:rsid w:val="007A2F5A"/>
    <w:rsid w:val="007A318A"/>
    <w:rsid w:val="007A323E"/>
    <w:rsid w:val="007A3282"/>
    <w:rsid w:val="007A33AC"/>
    <w:rsid w:val="007A3650"/>
    <w:rsid w:val="007A3688"/>
    <w:rsid w:val="007A3703"/>
    <w:rsid w:val="007A3742"/>
    <w:rsid w:val="007A38E6"/>
    <w:rsid w:val="007A3BD0"/>
    <w:rsid w:val="007A3C82"/>
    <w:rsid w:val="007A4340"/>
    <w:rsid w:val="007A4358"/>
    <w:rsid w:val="007A44AB"/>
    <w:rsid w:val="007A46A3"/>
    <w:rsid w:val="007A4B5E"/>
    <w:rsid w:val="007A4BCF"/>
    <w:rsid w:val="007A5442"/>
    <w:rsid w:val="007A5921"/>
    <w:rsid w:val="007A649A"/>
    <w:rsid w:val="007A67C1"/>
    <w:rsid w:val="007A6DB6"/>
    <w:rsid w:val="007A6E09"/>
    <w:rsid w:val="007A6EBC"/>
    <w:rsid w:val="007A720B"/>
    <w:rsid w:val="007A7567"/>
    <w:rsid w:val="007A757E"/>
    <w:rsid w:val="007A7D61"/>
    <w:rsid w:val="007A7DAE"/>
    <w:rsid w:val="007A7F08"/>
    <w:rsid w:val="007A7F53"/>
    <w:rsid w:val="007B0083"/>
    <w:rsid w:val="007B0129"/>
    <w:rsid w:val="007B0575"/>
    <w:rsid w:val="007B06C5"/>
    <w:rsid w:val="007B07C2"/>
    <w:rsid w:val="007B08DF"/>
    <w:rsid w:val="007B0ABC"/>
    <w:rsid w:val="007B0B21"/>
    <w:rsid w:val="007B0B67"/>
    <w:rsid w:val="007B0B68"/>
    <w:rsid w:val="007B0C5C"/>
    <w:rsid w:val="007B0F3F"/>
    <w:rsid w:val="007B11AF"/>
    <w:rsid w:val="007B1237"/>
    <w:rsid w:val="007B1CBD"/>
    <w:rsid w:val="007B1D76"/>
    <w:rsid w:val="007B232E"/>
    <w:rsid w:val="007B2440"/>
    <w:rsid w:val="007B24B7"/>
    <w:rsid w:val="007B27D2"/>
    <w:rsid w:val="007B2B31"/>
    <w:rsid w:val="007B2CF9"/>
    <w:rsid w:val="007B2DB3"/>
    <w:rsid w:val="007B30B5"/>
    <w:rsid w:val="007B3240"/>
    <w:rsid w:val="007B32DA"/>
    <w:rsid w:val="007B34DA"/>
    <w:rsid w:val="007B35A2"/>
    <w:rsid w:val="007B37A7"/>
    <w:rsid w:val="007B37CD"/>
    <w:rsid w:val="007B37EA"/>
    <w:rsid w:val="007B4295"/>
    <w:rsid w:val="007B4507"/>
    <w:rsid w:val="007B4786"/>
    <w:rsid w:val="007B4992"/>
    <w:rsid w:val="007B511E"/>
    <w:rsid w:val="007B5244"/>
    <w:rsid w:val="007B547F"/>
    <w:rsid w:val="007B5609"/>
    <w:rsid w:val="007B5A00"/>
    <w:rsid w:val="007B5A0E"/>
    <w:rsid w:val="007B5D91"/>
    <w:rsid w:val="007B5DDF"/>
    <w:rsid w:val="007B5F6B"/>
    <w:rsid w:val="007B5FD5"/>
    <w:rsid w:val="007B62A2"/>
    <w:rsid w:val="007B689C"/>
    <w:rsid w:val="007B6A08"/>
    <w:rsid w:val="007B6BCC"/>
    <w:rsid w:val="007B71FC"/>
    <w:rsid w:val="007B7526"/>
    <w:rsid w:val="007B7724"/>
    <w:rsid w:val="007B7857"/>
    <w:rsid w:val="007B7CEE"/>
    <w:rsid w:val="007B7D09"/>
    <w:rsid w:val="007B7ED4"/>
    <w:rsid w:val="007C026F"/>
    <w:rsid w:val="007C043B"/>
    <w:rsid w:val="007C04DE"/>
    <w:rsid w:val="007C0580"/>
    <w:rsid w:val="007C0586"/>
    <w:rsid w:val="007C0F95"/>
    <w:rsid w:val="007C1130"/>
    <w:rsid w:val="007C1291"/>
    <w:rsid w:val="007C12F3"/>
    <w:rsid w:val="007C1631"/>
    <w:rsid w:val="007C1959"/>
    <w:rsid w:val="007C19D7"/>
    <w:rsid w:val="007C1B4C"/>
    <w:rsid w:val="007C1C1E"/>
    <w:rsid w:val="007C1DFC"/>
    <w:rsid w:val="007C1E3D"/>
    <w:rsid w:val="007C1F54"/>
    <w:rsid w:val="007C2137"/>
    <w:rsid w:val="007C25D6"/>
    <w:rsid w:val="007C25E9"/>
    <w:rsid w:val="007C27A3"/>
    <w:rsid w:val="007C2840"/>
    <w:rsid w:val="007C2976"/>
    <w:rsid w:val="007C2EAE"/>
    <w:rsid w:val="007C3047"/>
    <w:rsid w:val="007C3054"/>
    <w:rsid w:val="007C30B2"/>
    <w:rsid w:val="007C3137"/>
    <w:rsid w:val="007C3328"/>
    <w:rsid w:val="007C35AC"/>
    <w:rsid w:val="007C3932"/>
    <w:rsid w:val="007C3DEF"/>
    <w:rsid w:val="007C4396"/>
    <w:rsid w:val="007C45A9"/>
    <w:rsid w:val="007C478F"/>
    <w:rsid w:val="007C49AD"/>
    <w:rsid w:val="007C4DFC"/>
    <w:rsid w:val="007C4F39"/>
    <w:rsid w:val="007C549A"/>
    <w:rsid w:val="007C55C1"/>
    <w:rsid w:val="007C5910"/>
    <w:rsid w:val="007C5A1F"/>
    <w:rsid w:val="007C5B6A"/>
    <w:rsid w:val="007C63B4"/>
    <w:rsid w:val="007C71C2"/>
    <w:rsid w:val="007C749E"/>
    <w:rsid w:val="007C754F"/>
    <w:rsid w:val="007C7893"/>
    <w:rsid w:val="007C7931"/>
    <w:rsid w:val="007C7AEE"/>
    <w:rsid w:val="007C7B1D"/>
    <w:rsid w:val="007C7EDA"/>
    <w:rsid w:val="007C7EE2"/>
    <w:rsid w:val="007C7F2B"/>
    <w:rsid w:val="007C7F5F"/>
    <w:rsid w:val="007C7FD2"/>
    <w:rsid w:val="007D0091"/>
    <w:rsid w:val="007D0151"/>
    <w:rsid w:val="007D0768"/>
    <w:rsid w:val="007D09DF"/>
    <w:rsid w:val="007D0A6F"/>
    <w:rsid w:val="007D0A8B"/>
    <w:rsid w:val="007D0C33"/>
    <w:rsid w:val="007D12AC"/>
    <w:rsid w:val="007D12E9"/>
    <w:rsid w:val="007D161A"/>
    <w:rsid w:val="007D17B0"/>
    <w:rsid w:val="007D1937"/>
    <w:rsid w:val="007D1ABF"/>
    <w:rsid w:val="007D1BC0"/>
    <w:rsid w:val="007D1CD0"/>
    <w:rsid w:val="007D1F7A"/>
    <w:rsid w:val="007D24C4"/>
    <w:rsid w:val="007D29A2"/>
    <w:rsid w:val="007D2CAF"/>
    <w:rsid w:val="007D2D7D"/>
    <w:rsid w:val="007D2F33"/>
    <w:rsid w:val="007D3043"/>
    <w:rsid w:val="007D369D"/>
    <w:rsid w:val="007D3769"/>
    <w:rsid w:val="007D3B30"/>
    <w:rsid w:val="007D3D95"/>
    <w:rsid w:val="007D3E85"/>
    <w:rsid w:val="007D3E97"/>
    <w:rsid w:val="007D4206"/>
    <w:rsid w:val="007D43A9"/>
    <w:rsid w:val="007D43DB"/>
    <w:rsid w:val="007D45DF"/>
    <w:rsid w:val="007D49B7"/>
    <w:rsid w:val="007D49FC"/>
    <w:rsid w:val="007D4C8D"/>
    <w:rsid w:val="007D4F6B"/>
    <w:rsid w:val="007D53AB"/>
    <w:rsid w:val="007D5410"/>
    <w:rsid w:val="007D54E1"/>
    <w:rsid w:val="007D5657"/>
    <w:rsid w:val="007D597D"/>
    <w:rsid w:val="007D5E0E"/>
    <w:rsid w:val="007D5E69"/>
    <w:rsid w:val="007D5EC4"/>
    <w:rsid w:val="007D60C2"/>
    <w:rsid w:val="007D68AD"/>
    <w:rsid w:val="007D6A63"/>
    <w:rsid w:val="007D6D0A"/>
    <w:rsid w:val="007D6D2C"/>
    <w:rsid w:val="007D72BE"/>
    <w:rsid w:val="007D72F9"/>
    <w:rsid w:val="007D7543"/>
    <w:rsid w:val="007D7640"/>
    <w:rsid w:val="007D7662"/>
    <w:rsid w:val="007D7797"/>
    <w:rsid w:val="007D77CF"/>
    <w:rsid w:val="007D77EF"/>
    <w:rsid w:val="007D77F0"/>
    <w:rsid w:val="007D7D33"/>
    <w:rsid w:val="007D7D34"/>
    <w:rsid w:val="007D7EB0"/>
    <w:rsid w:val="007D7FAD"/>
    <w:rsid w:val="007E03C1"/>
    <w:rsid w:val="007E0628"/>
    <w:rsid w:val="007E08B2"/>
    <w:rsid w:val="007E0B53"/>
    <w:rsid w:val="007E0BCB"/>
    <w:rsid w:val="007E0E11"/>
    <w:rsid w:val="007E1147"/>
    <w:rsid w:val="007E13AC"/>
    <w:rsid w:val="007E1938"/>
    <w:rsid w:val="007E1A2D"/>
    <w:rsid w:val="007E1CBA"/>
    <w:rsid w:val="007E1E13"/>
    <w:rsid w:val="007E25EB"/>
    <w:rsid w:val="007E2708"/>
    <w:rsid w:val="007E2711"/>
    <w:rsid w:val="007E279A"/>
    <w:rsid w:val="007E2831"/>
    <w:rsid w:val="007E2AAF"/>
    <w:rsid w:val="007E2C6B"/>
    <w:rsid w:val="007E2DAC"/>
    <w:rsid w:val="007E2F4D"/>
    <w:rsid w:val="007E3341"/>
    <w:rsid w:val="007E368D"/>
    <w:rsid w:val="007E36D4"/>
    <w:rsid w:val="007E3737"/>
    <w:rsid w:val="007E38A5"/>
    <w:rsid w:val="007E38BD"/>
    <w:rsid w:val="007E3963"/>
    <w:rsid w:val="007E3D90"/>
    <w:rsid w:val="007E3F1A"/>
    <w:rsid w:val="007E3F59"/>
    <w:rsid w:val="007E3FC2"/>
    <w:rsid w:val="007E4034"/>
    <w:rsid w:val="007E41C3"/>
    <w:rsid w:val="007E4283"/>
    <w:rsid w:val="007E448B"/>
    <w:rsid w:val="007E4BF9"/>
    <w:rsid w:val="007E4CD4"/>
    <w:rsid w:val="007E4DA0"/>
    <w:rsid w:val="007E5142"/>
    <w:rsid w:val="007E5202"/>
    <w:rsid w:val="007E5412"/>
    <w:rsid w:val="007E5542"/>
    <w:rsid w:val="007E587E"/>
    <w:rsid w:val="007E5991"/>
    <w:rsid w:val="007E5B81"/>
    <w:rsid w:val="007E5BDD"/>
    <w:rsid w:val="007E5D7C"/>
    <w:rsid w:val="007E6048"/>
    <w:rsid w:val="007E665E"/>
    <w:rsid w:val="007E6863"/>
    <w:rsid w:val="007E6947"/>
    <w:rsid w:val="007E6949"/>
    <w:rsid w:val="007E6C01"/>
    <w:rsid w:val="007E6C5C"/>
    <w:rsid w:val="007E6CC6"/>
    <w:rsid w:val="007E6E1B"/>
    <w:rsid w:val="007E6F58"/>
    <w:rsid w:val="007E713B"/>
    <w:rsid w:val="007E73E4"/>
    <w:rsid w:val="007E740D"/>
    <w:rsid w:val="007E7620"/>
    <w:rsid w:val="007E78EF"/>
    <w:rsid w:val="007E7EFA"/>
    <w:rsid w:val="007E7F01"/>
    <w:rsid w:val="007F10F7"/>
    <w:rsid w:val="007F12C1"/>
    <w:rsid w:val="007F1727"/>
    <w:rsid w:val="007F179F"/>
    <w:rsid w:val="007F19D6"/>
    <w:rsid w:val="007F1A01"/>
    <w:rsid w:val="007F1BFE"/>
    <w:rsid w:val="007F1D8E"/>
    <w:rsid w:val="007F1E01"/>
    <w:rsid w:val="007F2567"/>
    <w:rsid w:val="007F2693"/>
    <w:rsid w:val="007F2725"/>
    <w:rsid w:val="007F2B78"/>
    <w:rsid w:val="007F2CE6"/>
    <w:rsid w:val="007F314E"/>
    <w:rsid w:val="007F3231"/>
    <w:rsid w:val="007F3234"/>
    <w:rsid w:val="007F3239"/>
    <w:rsid w:val="007F34B0"/>
    <w:rsid w:val="007F38C4"/>
    <w:rsid w:val="007F3CBE"/>
    <w:rsid w:val="007F3E97"/>
    <w:rsid w:val="007F4213"/>
    <w:rsid w:val="007F4AB9"/>
    <w:rsid w:val="007F4B2E"/>
    <w:rsid w:val="007F4B53"/>
    <w:rsid w:val="007F4BEC"/>
    <w:rsid w:val="007F4CE6"/>
    <w:rsid w:val="007F4D7A"/>
    <w:rsid w:val="007F50F3"/>
    <w:rsid w:val="007F548F"/>
    <w:rsid w:val="007F5561"/>
    <w:rsid w:val="007F56E5"/>
    <w:rsid w:val="007F5863"/>
    <w:rsid w:val="007F5AAD"/>
    <w:rsid w:val="007F5BA2"/>
    <w:rsid w:val="007F6437"/>
    <w:rsid w:val="007F6A89"/>
    <w:rsid w:val="007F6C73"/>
    <w:rsid w:val="007F6EF0"/>
    <w:rsid w:val="007F7014"/>
    <w:rsid w:val="007F739D"/>
    <w:rsid w:val="007F7530"/>
    <w:rsid w:val="007F7733"/>
    <w:rsid w:val="007F7A2E"/>
    <w:rsid w:val="008003B5"/>
    <w:rsid w:val="00800720"/>
    <w:rsid w:val="00800A8F"/>
    <w:rsid w:val="00800C43"/>
    <w:rsid w:val="00800C59"/>
    <w:rsid w:val="00800DE2"/>
    <w:rsid w:val="00800F22"/>
    <w:rsid w:val="00800FB2"/>
    <w:rsid w:val="00801116"/>
    <w:rsid w:val="00801529"/>
    <w:rsid w:val="008015E0"/>
    <w:rsid w:val="0080167B"/>
    <w:rsid w:val="008016DF"/>
    <w:rsid w:val="00801911"/>
    <w:rsid w:val="00801D05"/>
    <w:rsid w:val="00802302"/>
    <w:rsid w:val="0080243F"/>
    <w:rsid w:val="008028F1"/>
    <w:rsid w:val="00802967"/>
    <w:rsid w:val="008029DE"/>
    <w:rsid w:val="00802DCF"/>
    <w:rsid w:val="00802F40"/>
    <w:rsid w:val="0080308E"/>
    <w:rsid w:val="00803113"/>
    <w:rsid w:val="00803242"/>
    <w:rsid w:val="00803399"/>
    <w:rsid w:val="0080365E"/>
    <w:rsid w:val="008036B6"/>
    <w:rsid w:val="008037AC"/>
    <w:rsid w:val="00803C01"/>
    <w:rsid w:val="0080415E"/>
    <w:rsid w:val="00804300"/>
    <w:rsid w:val="0080449B"/>
    <w:rsid w:val="0080452C"/>
    <w:rsid w:val="008045E0"/>
    <w:rsid w:val="00804790"/>
    <w:rsid w:val="00804C9D"/>
    <w:rsid w:val="00804DF5"/>
    <w:rsid w:val="00805163"/>
    <w:rsid w:val="008052CC"/>
    <w:rsid w:val="0080535C"/>
    <w:rsid w:val="008055B8"/>
    <w:rsid w:val="00805731"/>
    <w:rsid w:val="00805DD9"/>
    <w:rsid w:val="00805DEB"/>
    <w:rsid w:val="00805E66"/>
    <w:rsid w:val="0080622E"/>
    <w:rsid w:val="00806972"/>
    <w:rsid w:val="00806973"/>
    <w:rsid w:val="00806AA7"/>
    <w:rsid w:val="00806B05"/>
    <w:rsid w:val="00806DF5"/>
    <w:rsid w:val="00806F6A"/>
    <w:rsid w:val="00807235"/>
    <w:rsid w:val="008074E7"/>
    <w:rsid w:val="008075C0"/>
    <w:rsid w:val="00807BAE"/>
    <w:rsid w:val="00807C42"/>
    <w:rsid w:val="00807CAF"/>
    <w:rsid w:val="00807CDE"/>
    <w:rsid w:val="00807E9B"/>
    <w:rsid w:val="0081033B"/>
    <w:rsid w:val="0081037D"/>
    <w:rsid w:val="008103AC"/>
    <w:rsid w:val="008104C6"/>
    <w:rsid w:val="00810754"/>
    <w:rsid w:val="00810995"/>
    <w:rsid w:val="008109EA"/>
    <w:rsid w:val="00810AFB"/>
    <w:rsid w:val="00810B89"/>
    <w:rsid w:val="00810C08"/>
    <w:rsid w:val="00810D32"/>
    <w:rsid w:val="00810E7F"/>
    <w:rsid w:val="00810EA9"/>
    <w:rsid w:val="008111D1"/>
    <w:rsid w:val="0081123A"/>
    <w:rsid w:val="008117F2"/>
    <w:rsid w:val="00811F50"/>
    <w:rsid w:val="00811F97"/>
    <w:rsid w:val="0081210E"/>
    <w:rsid w:val="00812161"/>
    <w:rsid w:val="00812312"/>
    <w:rsid w:val="00812656"/>
    <w:rsid w:val="00812A7F"/>
    <w:rsid w:val="00812BDC"/>
    <w:rsid w:val="00812DF0"/>
    <w:rsid w:val="008136C4"/>
    <w:rsid w:val="00813C71"/>
    <w:rsid w:val="0081416E"/>
    <w:rsid w:val="0081420C"/>
    <w:rsid w:val="0081451E"/>
    <w:rsid w:val="00814A30"/>
    <w:rsid w:val="00814C1F"/>
    <w:rsid w:val="00814E2C"/>
    <w:rsid w:val="0081505E"/>
    <w:rsid w:val="0081512E"/>
    <w:rsid w:val="00815255"/>
    <w:rsid w:val="00815496"/>
    <w:rsid w:val="008156D5"/>
    <w:rsid w:val="00815AAC"/>
    <w:rsid w:val="00815B49"/>
    <w:rsid w:val="00815BBD"/>
    <w:rsid w:val="00815C13"/>
    <w:rsid w:val="00815C81"/>
    <w:rsid w:val="00815D81"/>
    <w:rsid w:val="00815D8D"/>
    <w:rsid w:val="008164FC"/>
    <w:rsid w:val="008165F2"/>
    <w:rsid w:val="00816AA9"/>
    <w:rsid w:val="00816EC5"/>
    <w:rsid w:val="008170D2"/>
    <w:rsid w:val="00817272"/>
    <w:rsid w:val="008176ED"/>
    <w:rsid w:val="00817751"/>
    <w:rsid w:val="008177CE"/>
    <w:rsid w:val="00817805"/>
    <w:rsid w:val="00817B05"/>
    <w:rsid w:val="00817BDC"/>
    <w:rsid w:val="00817C75"/>
    <w:rsid w:val="00820004"/>
    <w:rsid w:val="00820021"/>
    <w:rsid w:val="0082021B"/>
    <w:rsid w:val="0082023C"/>
    <w:rsid w:val="00820395"/>
    <w:rsid w:val="008203E3"/>
    <w:rsid w:val="0082078A"/>
    <w:rsid w:val="00820A38"/>
    <w:rsid w:val="00820DF8"/>
    <w:rsid w:val="00820F25"/>
    <w:rsid w:val="008210DB"/>
    <w:rsid w:val="00821179"/>
    <w:rsid w:val="00821387"/>
    <w:rsid w:val="008214C0"/>
    <w:rsid w:val="00821C07"/>
    <w:rsid w:val="00821FB0"/>
    <w:rsid w:val="00822031"/>
    <w:rsid w:val="00822047"/>
    <w:rsid w:val="0082231C"/>
    <w:rsid w:val="0082239C"/>
    <w:rsid w:val="00822586"/>
    <w:rsid w:val="008227C0"/>
    <w:rsid w:val="00822867"/>
    <w:rsid w:val="00822B6C"/>
    <w:rsid w:val="00822E08"/>
    <w:rsid w:val="00823AA8"/>
    <w:rsid w:val="00823ADE"/>
    <w:rsid w:val="00823B0C"/>
    <w:rsid w:val="00823C36"/>
    <w:rsid w:val="00823E93"/>
    <w:rsid w:val="00824040"/>
    <w:rsid w:val="008242D0"/>
    <w:rsid w:val="00824A23"/>
    <w:rsid w:val="00824D49"/>
    <w:rsid w:val="00824E37"/>
    <w:rsid w:val="0082500F"/>
    <w:rsid w:val="00825229"/>
    <w:rsid w:val="0082523B"/>
    <w:rsid w:val="0082569C"/>
    <w:rsid w:val="00825738"/>
    <w:rsid w:val="0082597C"/>
    <w:rsid w:val="00825A9C"/>
    <w:rsid w:val="00825B50"/>
    <w:rsid w:val="00825BD6"/>
    <w:rsid w:val="00825EFA"/>
    <w:rsid w:val="0082603E"/>
    <w:rsid w:val="0082625D"/>
    <w:rsid w:val="0082628F"/>
    <w:rsid w:val="0082651A"/>
    <w:rsid w:val="008265A0"/>
    <w:rsid w:val="008265C4"/>
    <w:rsid w:val="00826767"/>
    <w:rsid w:val="008267D0"/>
    <w:rsid w:val="008267E4"/>
    <w:rsid w:val="00826B27"/>
    <w:rsid w:val="00826E38"/>
    <w:rsid w:val="00827439"/>
    <w:rsid w:val="0082753C"/>
    <w:rsid w:val="008276FF"/>
    <w:rsid w:val="0082776D"/>
    <w:rsid w:val="00827801"/>
    <w:rsid w:val="00827AF7"/>
    <w:rsid w:val="00827FAA"/>
    <w:rsid w:val="0083018F"/>
    <w:rsid w:val="008301F8"/>
    <w:rsid w:val="00830268"/>
    <w:rsid w:val="008307F4"/>
    <w:rsid w:val="00830A95"/>
    <w:rsid w:val="00830BE6"/>
    <w:rsid w:val="00830C99"/>
    <w:rsid w:val="00830DD5"/>
    <w:rsid w:val="00831171"/>
    <w:rsid w:val="00831326"/>
    <w:rsid w:val="00831489"/>
    <w:rsid w:val="008315DC"/>
    <w:rsid w:val="00831834"/>
    <w:rsid w:val="00831A7A"/>
    <w:rsid w:val="00831C1D"/>
    <w:rsid w:val="008320EE"/>
    <w:rsid w:val="00832601"/>
    <w:rsid w:val="00832858"/>
    <w:rsid w:val="00832A34"/>
    <w:rsid w:val="00832B04"/>
    <w:rsid w:val="00832C6B"/>
    <w:rsid w:val="0083374F"/>
    <w:rsid w:val="00833BA3"/>
    <w:rsid w:val="00833C55"/>
    <w:rsid w:val="00833C8C"/>
    <w:rsid w:val="0083404F"/>
    <w:rsid w:val="00834509"/>
    <w:rsid w:val="00834540"/>
    <w:rsid w:val="00834598"/>
    <w:rsid w:val="00834A9D"/>
    <w:rsid w:val="00834C90"/>
    <w:rsid w:val="00834D46"/>
    <w:rsid w:val="00834DD9"/>
    <w:rsid w:val="00834E4C"/>
    <w:rsid w:val="008350BB"/>
    <w:rsid w:val="0083523A"/>
    <w:rsid w:val="00835258"/>
    <w:rsid w:val="008353FF"/>
    <w:rsid w:val="00835463"/>
    <w:rsid w:val="008355BA"/>
    <w:rsid w:val="008355DE"/>
    <w:rsid w:val="008355E8"/>
    <w:rsid w:val="00835923"/>
    <w:rsid w:val="00835B95"/>
    <w:rsid w:val="00835BA9"/>
    <w:rsid w:val="00835D37"/>
    <w:rsid w:val="00835D69"/>
    <w:rsid w:val="00835E30"/>
    <w:rsid w:val="0083627A"/>
    <w:rsid w:val="00836402"/>
    <w:rsid w:val="008364E7"/>
    <w:rsid w:val="00836622"/>
    <w:rsid w:val="00836C35"/>
    <w:rsid w:val="00836DBF"/>
    <w:rsid w:val="008372CD"/>
    <w:rsid w:val="00837505"/>
    <w:rsid w:val="00837A2D"/>
    <w:rsid w:val="00837B42"/>
    <w:rsid w:val="0084000A"/>
    <w:rsid w:val="0084023D"/>
    <w:rsid w:val="0084044D"/>
    <w:rsid w:val="0084066E"/>
    <w:rsid w:val="00840A47"/>
    <w:rsid w:val="00840E82"/>
    <w:rsid w:val="008411F1"/>
    <w:rsid w:val="008414B8"/>
    <w:rsid w:val="008414D4"/>
    <w:rsid w:val="008417FB"/>
    <w:rsid w:val="0084188D"/>
    <w:rsid w:val="0084195F"/>
    <w:rsid w:val="00841A7E"/>
    <w:rsid w:val="008422CA"/>
    <w:rsid w:val="00842A5E"/>
    <w:rsid w:val="00842C1A"/>
    <w:rsid w:val="00842FF0"/>
    <w:rsid w:val="00843678"/>
    <w:rsid w:val="008438BB"/>
    <w:rsid w:val="008438FA"/>
    <w:rsid w:val="008439BA"/>
    <w:rsid w:val="0084422C"/>
    <w:rsid w:val="008444EA"/>
    <w:rsid w:val="008445B8"/>
    <w:rsid w:val="0084482B"/>
    <w:rsid w:val="0084493A"/>
    <w:rsid w:val="00844A00"/>
    <w:rsid w:val="00844DF7"/>
    <w:rsid w:val="00844E51"/>
    <w:rsid w:val="00844FC6"/>
    <w:rsid w:val="0084519D"/>
    <w:rsid w:val="0084520B"/>
    <w:rsid w:val="0084533A"/>
    <w:rsid w:val="00845536"/>
    <w:rsid w:val="008456E8"/>
    <w:rsid w:val="00845E06"/>
    <w:rsid w:val="00846326"/>
    <w:rsid w:val="008463E3"/>
    <w:rsid w:val="008466BE"/>
    <w:rsid w:val="008467FD"/>
    <w:rsid w:val="00846852"/>
    <w:rsid w:val="00846855"/>
    <w:rsid w:val="00846D49"/>
    <w:rsid w:val="00846FAD"/>
    <w:rsid w:val="00846FEE"/>
    <w:rsid w:val="008470C2"/>
    <w:rsid w:val="008475D6"/>
    <w:rsid w:val="008475F9"/>
    <w:rsid w:val="00847A95"/>
    <w:rsid w:val="00847ACF"/>
    <w:rsid w:val="00847C4C"/>
    <w:rsid w:val="00847EB0"/>
    <w:rsid w:val="00850025"/>
    <w:rsid w:val="00850060"/>
    <w:rsid w:val="0085047F"/>
    <w:rsid w:val="00850504"/>
    <w:rsid w:val="00850844"/>
    <w:rsid w:val="00850910"/>
    <w:rsid w:val="00850985"/>
    <w:rsid w:val="00850C3C"/>
    <w:rsid w:val="00850D46"/>
    <w:rsid w:val="00850E50"/>
    <w:rsid w:val="00850E5D"/>
    <w:rsid w:val="0085101D"/>
    <w:rsid w:val="00851168"/>
    <w:rsid w:val="00851246"/>
    <w:rsid w:val="008513A5"/>
    <w:rsid w:val="008513B3"/>
    <w:rsid w:val="00851753"/>
    <w:rsid w:val="00851927"/>
    <w:rsid w:val="0085235F"/>
    <w:rsid w:val="008523DD"/>
    <w:rsid w:val="0085271A"/>
    <w:rsid w:val="00852B6D"/>
    <w:rsid w:val="00852F5B"/>
    <w:rsid w:val="008531F1"/>
    <w:rsid w:val="00853764"/>
    <w:rsid w:val="00853933"/>
    <w:rsid w:val="0085397B"/>
    <w:rsid w:val="00853998"/>
    <w:rsid w:val="00853A70"/>
    <w:rsid w:val="00853D8D"/>
    <w:rsid w:val="00853F36"/>
    <w:rsid w:val="00853F46"/>
    <w:rsid w:val="008543E5"/>
    <w:rsid w:val="008546A3"/>
    <w:rsid w:val="00855091"/>
    <w:rsid w:val="008550E0"/>
    <w:rsid w:val="00855231"/>
    <w:rsid w:val="00855519"/>
    <w:rsid w:val="0085587F"/>
    <w:rsid w:val="0085594D"/>
    <w:rsid w:val="00855D16"/>
    <w:rsid w:val="00856260"/>
    <w:rsid w:val="00856289"/>
    <w:rsid w:val="00856468"/>
    <w:rsid w:val="008565A8"/>
    <w:rsid w:val="00856679"/>
    <w:rsid w:val="008566FC"/>
    <w:rsid w:val="008569A3"/>
    <w:rsid w:val="00856CAD"/>
    <w:rsid w:val="0085700E"/>
    <w:rsid w:val="00857264"/>
    <w:rsid w:val="008572C5"/>
    <w:rsid w:val="008573A8"/>
    <w:rsid w:val="00857743"/>
    <w:rsid w:val="00857A42"/>
    <w:rsid w:val="00857AF2"/>
    <w:rsid w:val="00857D23"/>
    <w:rsid w:val="00857EE3"/>
    <w:rsid w:val="0086007B"/>
    <w:rsid w:val="00860805"/>
    <w:rsid w:val="008608B1"/>
    <w:rsid w:val="00860A95"/>
    <w:rsid w:val="00860B5C"/>
    <w:rsid w:val="00860D04"/>
    <w:rsid w:val="00860E50"/>
    <w:rsid w:val="00861195"/>
    <w:rsid w:val="00861290"/>
    <w:rsid w:val="008612EF"/>
    <w:rsid w:val="008612F9"/>
    <w:rsid w:val="00861AFF"/>
    <w:rsid w:val="00861C85"/>
    <w:rsid w:val="00861F40"/>
    <w:rsid w:val="00861FD1"/>
    <w:rsid w:val="00862007"/>
    <w:rsid w:val="0086209E"/>
    <w:rsid w:val="008625D0"/>
    <w:rsid w:val="008628AD"/>
    <w:rsid w:val="00862C36"/>
    <w:rsid w:val="00862C6D"/>
    <w:rsid w:val="00862E22"/>
    <w:rsid w:val="00862FC3"/>
    <w:rsid w:val="00863371"/>
    <w:rsid w:val="00863987"/>
    <w:rsid w:val="00863CDD"/>
    <w:rsid w:val="00863D3C"/>
    <w:rsid w:val="00863E59"/>
    <w:rsid w:val="00864383"/>
    <w:rsid w:val="008647A7"/>
    <w:rsid w:val="008647F5"/>
    <w:rsid w:val="008649BB"/>
    <w:rsid w:val="008649FC"/>
    <w:rsid w:val="00864A56"/>
    <w:rsid w:val="00864B24"/>
    <w:rsid w:val="00864DF1"/>
    <w:rsid w:val="008651E8"/>
    <w:rsid w:val="00865238"/>
    <w:rsid w:val="008654AC"/>
    <w:rsid w:val="0086551E"/>
    <w:rsid w:val="00865804"/>
    <w:rsid w:val="00865CDF"/>
    <w:rsid w:val="00865F46"/>
    <w:rsid w:val="00865F91"/>
    <w:rsid w:val="00866040"/>
    <w:rsid w:val="00866167"/>
    <w:rsid w:val="008663E0"/>
    <w:rsid w:val="008663E1"/>
    <w:rsid w:val="00866443"/>
    <w:rsid w:val="0086680B"/>
    <w:rsid w:val="00866A86"/>
    <w:rsid w:val="00866B05"/>
    <w:rsid w:val="00867184"/>
    <w:rsid w:val="00867441"/>
    <w:rsid w:val="008675FE"/>
    <w:rsid w:val="008677C6"/>
    <w:rsid w:val="00867872"/>
    <w:rsid w:val="00867C6F"/>
    <w:rsid w:val="00867C77"/>
    <w:rsid w:val="00867F06"/>
    <w:rsid w:val="008708A9"/>
    <w:rsid w:val="00870A3B"/>
    <w:rsid w:val="00870ED5"/>
    <w:rsid w:val="00870EDF"/>
    <w:rsid w:val="0087110C"/>
    <w:rsid w:val="008716D0"/>
    <w:rsid w:val="00871801"/>
    <w:rsid w:val="0087184D"/>
    <w:rsid w:val="00871936"/>
    <w:rsid w:val="00871B32"/>
    <w:rsid w:val="00871C28"/>
    <w:rsid w:val="00871F4B"/>
    <w:rsid w:val="0087209C"/>
    <w:rsid w:val="0087209F"/>
    <w:rsid w:val="008720A9"/>
    <w:rsid w:val="008721EF"/>
    <w:rsid w:val="00872391"/>
    <w:rsid w:val="00872396"/>
    <w:rsid w:val="008724A0"/>
    <w:rsid w:val="008726A8"/>
    <w:rsid w:val="00872B57"/>
    <w:rsid w:val="00872C09"/>
    <w:rsid w:val="00872F07"/>
    <w:rsid w:val="00872FF6"/>
    <w:rsid w:val="008735C9"/>
    <w:rsid w:val="00873637"/>
    <w:rsid w:val="00873670"/>
    <w:rsid w:val="00873CF5"/>
    <w:rsid w:val="00873DCA"/>
    <w:rsid w:val="00873F46"/>
    <w:rsid w:val="00874142"/>
    <w:rsid w:val="008741E1"/>
    <w:rsid w:val="008741FA"/>
    <w:rsid w:val="0087443E"/>
    <w:rsid w:val="0087447A"/>
    <w:rsid w:val="008745B9"/>
    <w:rsid w:val="008749D2"/>
    <w:rsid w:val="00874C12"/>
    <w:rsid w:val="00874DE1"/>
    <w:rsid w:val="00875002"/>
    <w:rsid w:val="00875114"/>
    <w:rsid w:val="00875184"/>
    <w:rsid w:val="008751EA"/>
    <w:rsid w:val="00875242"/>
    <w:rsid w:val="008752FE"/>
    <w:rsid w:val="00875989"/>
    <w:rsid w:val="00875A57"/>
    <w:rsid w:val="00875A58"/>
    <w:rsid w:val="00875B7C"/>
    <w:rsid w:val="00875F65"/>
    <w:rsid w:val="008765F7"/>
    <w:rsid w:val="00876601"/>
    <w:rsid w:val="0087684F"/>
    <w:rsid w:val="0087691B"/>
    <w:rsid w:val="00876F51"/>
    <w:rsid w:val="00877117"/>
    <w:rsid w:val="00877209"/>
    <w:rsid w:val="0087758A"/>
    <w:rsid w:val="008779DD"/>
    <w:rsid w:val="008802B9"/>
    <w:rsid w:val="00880B59"/>
    <w:rsid w:val="008810B1"/>
    <w:rsid w:val="008810CA"/>
    <w:rsid w:val="008814E1"/>
    <w:rsid w:val="00881654"/>
    <w:rsid w:val="00881907"/>
    <w:rsid w:val="00881F9C"/>
    <w:rsid w:val="0088231A"/>
    <w:rsid w:val="008823E5"/>
    <w:rsid w:val="00882650"/>
    <w:rsid w:val="00882687"/>
    <w:rsid w:val="0088280D"/>
    <w:rsid w:val="00882832"/>
    <w:rsid w:val="00882A1D"/>
    <w:rsid w:val="00882CC8"/>
    <w:rsid w:val="00882FFA"/>
    <w:rsid w:val="0088307A"/>
    <w:rsid w:val="00883A7C"/>
    <w:rsid w:val="00883E6F"/>
    <w:rsid w:val="008843EF"/>
    <w:rsid w:val="0088468E"/>
    <w:rsid w:val="00884919"/>
    <w:rsid w:val="00884B09"/>
    <w:rsid w:val="00884B44"/>
    <w:rsid w:val="008850CD"/>
    <w:rsid w:val="008850F9"/>
    <w:rsid w:val="00885118"/>
    <w:rsid w:val="008852B6"/>
    <w:rsid w:val="0088547A"/>
    <w:rsid w:val="00885670"/>
    <w:rsid w:val="00885696"/>
    <w:rsid w:val="008856C5"/>
    <w:rsid w:val="00885A36"/>
    <w:rsid w:val="00885BE9"/>
    <w:rsid w:val="00885CCF"/>
    <w:rsid w:val="0088647C"/>
    <w:rsid w:val="00886573"/>
    <w:rsid w:val="0088658A"/>
    <w:rsid w:val="00886A08"/>
    <w:rsid w:val="00886AA4"/>
    <w:rsid w:val="00886B77"/>
    <w:rsid w:val="00886DD7"/>
    <w:rsid w:val="00886EBE"/>
    <w:rsid w:val="00886F63"/>
    <w:rsid w:val="00887053"/>
    <w:rsid w:val="00887342"/>
    <w:rsid w:val="008875A3"/>
    <w:rsid w:val="008875BD"/>
    <w:rsid w:val="008876F8"/>
    <w:rsid w:val="0088777F"/>
    <w:rsid w:val="008878DC"/>
    <w:rsid w:val="00887A02"/>
    <w:rsid w:val="00887AD4"/>
    <w:rsid w:val="00887BAB"/>
    <w:rsid w:val="00887CE6"/>
    <w:rsid w:val="008900CB"/>
    <w:rsid w:val="0089019D"/>
    <w:rsid w:val="008901BF"/>
    <w:rsid w:val="00890310"/>
    <w:rsid w:val="008904E0"/>
    <w:rsid w:val="00890769"/>
    <w:rsid w:val="008907FB"/>
    <w:rsid w:val="00890E34"/>
    <w:rsid w:val="008912CD"/>
    <w:rsid w:val="008912D8"/>
    <w:rsid w:val="00891505"/>
    <w:rsid w:val="008919A6"/>
    <w:rsid w:val="00891D99"/>
    <w:rsid w:val="00891E5F"/>
    <w:rsid w:val="0089222F"/>
    <w:rsid w:val="00892418"/>
    <w:rsid w:val="00892431"/>
    <w:rsid w:val="0089253C"/>
    <w:rsid w:val="008925C5"/>
    <w:rsid w:val="008928EC"/>
    <w:rsid w:val="00892975"/>
    <w:rsid w:val="00892C5E"/>
    <w:rsid w:val="00892E64"/>
    <w:rsid w:val="00892F19"/>
    <w:rsid w:val="00892FD2"/>
    <w:rsid w:val="00892FE9"/>
    <w:rsid w:val="00892FEF"/>
    <w:rsid w:val="0089332D"/>
    <w:rsid w:val="0089333B"/>
    <w:rsid w:val="008933D7"/>
    <w:rsid w:val="00893696"/>
    <w:rsid w:val="00893804"/>
    <w:rsid w:val="00893A49"/>
    <w:rsid w:val="00893B3F"/>
    <w:rsid w:val="00893EF2"/>
    <w:rsid w:val="0089404B"/>
    <w:rsid w:val="0089424F"/>
    <w:rsid w:val="008943BC"/>
    <w:rsid w:val="00894483"/>
    <w:rsid w:val="008947C3"/>
    <w:rsid w:val="008948B9"/>
    <w:rsid w:val="00894FF6"/>
    <w:rsid w:val="00895299"/>
    <w:rsid w:val="00895A1E"/>
    <w:rsid w:val="00895AFF"/>
    <w:rsid w:val="00896247"/>
    <w:rsid w:val="0089632E"/>
    <w:rsid w:val="00896700"/>
    <w:rsid w:val="00896CA5"/>
    <w:rsid w:val="00896D1D"/>
    <w:rsid w:val="00896E5B"/>
    <w:rsid w:val="00897001"/>
    <w:rsid w:val="00897116"/>
    <w:rsid w:val="008973DF"/>
    <w:rsid w:val="00897448"/>
    <w:rsid w:val="008975D4"/>
    <w:rsid w:val="00897900"/>
    <w:rsid w:val="00897C0C"/>
    <w:rsid w:val="00897C62"/>
    <w:rsid w:val="00897CA5"/>
    <w:rsid w:val="00897F6A"/>
    <w:rsid w:val="008A00A9"/>
    <w:rsid w:val="008A04ED"/>
    <w:rsid w:val="008A07D8"/>
    <w:rsid w:val="008A091E"/>
    <w:rsid w:val="008A099F"/>
    <w:rsid w:val="008A1210"/>
    <w:rsid w:val="008A1291"/>
    <w:rsid w:val="008A13BC"/>
    <w:rsid w:val="008A1534"/>
    <w:rsid w:val="008A15B4"/>
    <w:rsid w:val="008A165B"/>
    <w:rsid w:val="008A1996"/>
    <w:rsid w:val="008A211A"/>
    <w:rsid w:val="008A2223"/>
    <w:rsid w:val="008A2282"/>
    <w:rsid w:val="008A242F"/>
    <w:rsid w:val="008A24BE"/>
    <w:rsid w:val="008A26C5"/>
    <w:rsid w:val="008A2DB8"/>
    <w:rsid w:val="008A2E7C"/>
    <w:rsid w:val="008A2F19"/>
    <w:rsid w:val="008A3288"/>
    <w:rsid w:val="008A3528"/>
    <w:rsid w:val="008A389B"/>
    <w:rsid w:val="008A3AEA"/>
    <w:rsid w:val="008A3B06"/>
    <w:rsid w:val="008A3E04"/>
    <w:rsid w:val="008A3E75"/>
    <w:rsid w:val="008A407F"/>
    <w:rsid w:val="008A4130"/>
    <w:rsid w:val="008A43BF"/>
    <w:rsid w:val="008A4406"/>
    <w:rsid w:val="008A45EC"/>
    <w:rsid w:val="008A476D"/>
    <w:rsid w:val="008A4EF6"/>
    <w:rsid w:val="008A505F"/>
    <w:rsid w:val="008A516B"/>
    <w:rsid w:val="008A54C9"/>
    <w:rsid w:val="008A556C"/>
    <w:rsid w:val="008A55F1"/>
    <w:rsid w:val="008A5B67"/>
    <w:rsid w:val="008A5DB9"/>
    <w:rsid w:val="008A6599"/>
    <w:rsid w:val="008A6ADA"/>
    <w:rsid w:val="008A6FFB"/>
    <w:rsid w:val="008A7247"/>
    <w:rsid w:val="008A785F"/>
    <w:rsid w:val="008A79D7"/>
    <w:rsid w:val="008A7AF9"/>
    <w:rsid w:val="008A7D26"/>
    <w:rsid w:val="008A7E6C"/>
    <w:rsid w:val="008A7EC1"/>
    <w:rsid w:val="008B003F"/>
    <w:rsid w:val="008B0272"/>
    <w:rsid w:val="008B03AF"/>
    <w:rsid w:val="008B0432"/>
    <w:rsid w:val="008B04D9"/>
    <w:rsid w:val="008B05E4"/>
    <w:rsid w:val="008B06D6"/>
    <w:rsid w:val="008B075D"/>
    <w:rsid w:val="008B0860"/>
    <w:rsid w:val="008B0BB8"/>
    <w:rsid w:val="008B1611"/>
    <w:rsid w:val="008B16DD"/>
    <w:rsid w:val="008B1710"/>
    <w:rsid w:val="008B1716"/>
    <w:rsid w:val="008B175A"/>
    <w:rsid w:val="008B177E"/>
    <w:rsid w:val="008B17DA"/>
    <w:rsid w:val="008B1802"/>
    <w:rsid w:val="008B1975"/>
    <w:rsid w:val="008B1C23"/>
    <w:rsid w:val="008B1E9D"/>
    <w:rsid w:val="008B200D"/>
    <w:rsid w:val="008B211E"/>
    <w:rsid w:val="008B2121"/>
    <w:rsid w:val="008B2788"/>
    <w:rsid w:val="008B29AB"/>
    <w:rsid w:val="008B2B28"/>
    <w:rsid w:val="008B2ED6"/>
    <w:rsid w:val="008B3195"/>
    <w:rsid w:val="008B3256"/>
    <w:rsid w:val="008B3530"/>
    <w:rsid w:val="008B354C"/>
    <w:rsid w:val="008B3576"/>
    <w:rsid w:val="008B35B2"/>
    <w:rsid w:val="008B3A8F"/>
    <w:rsid w:val="008B4075"/>
    <w:rsid w:val="008B414C"/>
    <w:rsid w:val="008B4246"/>
    <w:rsid w:val="008B42A3"/>
    <w:rsid w:val="008B43E7"/>
    <w:rsid w:val="008B464D"/>
    <w:rsid w:val="008B4714"/>
    <w:rsid w:val="008B4745"/>
    <w:rsid w:val="008B4819"/>
    <w:rsid w:val="008B4841"/>
    <w:rsid w:val="008B4968"/>
    <w:rsid w:val="008B49F0"/>
    <w:rsid w:val="008B4A1D"/>
    <w:rsid w:val="008B50E3"/>
    <w:rsid w:val="008B5196"/>
    <w:rsid w:val="008B5344"/>
    <w:rsid w:val="008B5DBD"/>
    <w:rsid w:val="008B5E79"/>
    <w:rsid w:val="008B622A"/>
    <w:rsid w:val="008B638B"/>
    <w:rsid w:val="008B63D6"/>
    <w:rsid w:val="008B6474"/>
    <w:rsid w:val="008B6CA9"/>
    <w:rsid w:val="008B6E48"/>
    <w:rsid w:val="008B6F88"/>
    <w:rsid w:val="008B703D"/>
    <w:rsid w:val="008B717D"/>
    <w:rsid w:val="008B7396"/>
    <w:rsid w:val="008B76ED"/>
    <w:rsid w:val="008B77CE"/>
    <w:rsid w:val="008B7A7F"/>
    <w:rsid w:val="008B7A86"/>
    <w:rsid w:val="008B7BE1"/>
    <w:rsid w:val="008B7D8B"/>
    <w:rsid w:val="008B7E12"/>
    <w:rsid w:val="008C0001"/>
    <w:rsid w:val="008C010C"/>
    <w:rsid w:val="008C03DB"/>
    <w:rsid w:val="008C07B2"/>
    <w:rsid w:val="008C0847"/>
    <w:rsid w:val="008C0863"/>
    <w:rsid w:val="008C0924"/>
    <w:rsid w:val="008C097E"/>
    <w:rsid w:val="008C09FC"/>
    <w:rsid w:val="008C0D66"/>
    <w:rsid w:val="008C0D7C"/>
    <w:rsid w:val="008C115C"/>
    <w:rsid w:val="008C11CC"/>
    <w:rsid w:val="008C1288"/>
    <w:rsid w:val="008C14F3"/>
    <w:rsid w:val="008C1594"/>
    <w:rsid w:val="008C17E4"/>
    <w:rsid w:val="008C17EA"/>
    <w:rsid w:val="008C19B4"/>
    <w:rsid w:val="008C1A05"/>
    <w:rsid w:val="008C20D1"/>
    <w:rsid w:val="008C2306"/>
    <w:rsid w:val="008C2769"/>
    <w:rsid w:val="008C2771"/>
    <w:rsid w:val="008C2792"/>
    <w:rsid w:val="008C2CAE"/>
    <w:rsid w:val="008C3124"/>
    <w:rsid w:val="008C3257"/>
    <w:rsid w:val="008C33FF"/>
    <w:rsid w:val="008C36D6"/>
    <w:rsid w:val="008C394D"/>
    <w:rsid w:val="008C3B84"/>
    <w:rsid w:val="008C3D1C"/>
    <w:rsid w:val="008C3DA8"/>
    <w:rsid w:val="008C407C"/>
    <w:rsid w:val="008C41DF"/>
    <w:rsid w:val="008C42FC"/>
    <w:rsid w:val="008C4366"/>
    <w:rsid w:val="008C4567"/>
    <w:rsid w:val="008C496D"/>
    <w:rsid w:val="008C4A58"/>
    <w:rsid w:val="008C4EB0"/>
    <w:rsid w:val="008C5282"/>
    <w:rsid w:val="008C52C0"/>
    <w:rsid w:val="008C5815"/>
    <w:rsid w:val="008C593D"/>
    <w:rsid w:val="008C5B0B"/>
    <w:rsid w:val="008C5FA6"/>
    <w:rsid w:val="008C617B"/>
    <w:rsid w:val="008C64A9"/>
    <w:rsid w:val="008C64FA"/>
    <w:rsid w:val="008C6614"/>
    <w:rsid w:val="008C6759"/>
    <w:rsid w:val="008C6854"/>
    <w:rsid w:val="008C6B1D"/>
    <w:rsid w:val="008C6B44"/>
    <w:rsid w:val="008C6E0B"/>
    <w:rsid w:val="008C7189"/>
    <w:rsid w:val="008C7288"/>
    <w:rsid w:val="008C7376"/>
    <w:rsid w:val="008C76DA"/>
    <w:rsid w:val="008C77BA"/>
    <w:rsid w:val="008C79F1"/>
    <w:rsid w:val="008D038A"/>
    <w:rsid w:val="008D03FA"/>
    <w:rsid w:val="008D059A"/>
    <w:rsid w:val="008D0C4A"/>
    <w:rsid w:val="008D0EA1"/>
    <w:rsid w:val="008D11EF"/>
    <w:rsid w:val="008D135C"/>
    <w:rsid w:val="008D138F"/>
    <w:rsid w:val="008D1391"/>
    <w:rsid w:val="008D141B"/>
    <w:rsid w:val="008D144E"/>
    <w:rsid w:val="008D151C"/>
    <w:rsid w:val="008D1628"/>
    <w:rsid w:val="008D1D68"/>
    <w:rsid w:val="008D1DDA"/>
    <w:rsid w:val="008D231C"/>
    <w:rsid w:val="008D24EE"/>
    <w:rsid w:val="008D26A7"/>
    <w:rsid w:val="008D270A"/>
    <w:rsid w:val="008D2ABE"/>
    <w:rsid w:val="008D2B6D"/>
    <w:rsid w:val="008D2D37"/>
    <w:rsid w:val="008D2D4C"/>
    <w:rsid w:val="008D3417"/>
    <w:rsid w:val="008D36AE"/>
    <w:rsid w:val="008D3ED7"/>
    <w:rsid w:val="008D4296"/>
    <w:rsid w:val="008D4359"/>
    <w:rsid w:val="008D4443"/>
    <w:rsid w:val="008D450C"/>
    <w:rsid w:val="008D4675"/>
    <w:rsid w:val="008D484F"/>
    <w:rsid w:val="008D487E"/>
    <w:rsid w:val="008D4A90"/>
    <w:rsid w:val="008D4DF1"/>
    <w:rsid w:val="008D4E58"/>
    <w:rsid w:val="008D4EE2"/>
    <w:rsid w:val="008D50BC"/>
    <w:rsid w:val="008D511D"/>
    <w:rsid w:val="008D53B4"/>
    <w:rsid w:val="008D556C"/>
    <w:rsid w:val="008D58C1"/>
    <w:rsid w:val="008D5C92"/>
    <w:rsid w:val="008D6050"/>
    <w:rsid w:val="008D6138"/>
    <w:rsid w:val="008D638B"/>
    <w:rsid w:val="008D650E"/>
    <w:rsid w:val="008D663D"/>
    <w:rsid w:val="008D68D7"/>
    <w:rsid w:val="008D6A55"/>
    <w:rsid w:val="008D6F95"/>
    <w:rsid w:val="008D6FE0"/>
    <w:rsid w:val="008D713F"/>
    <w:rsid w:val="008D714F"/>
    <w:rsid w:val="008D757C"/>
    <w:rsid w:val="008D75D9"/>
    <w:rsid w:val="008D7842"/>
    <w:rsid w:val="008D7DE6"/>
    <w:rsid w:val="008E00E4"/>
    <w:rsid w:val="008E018B"/>
    <w:rsid w:val="008E0583"/>
    <w:rsid w:val="008E058D"/>
    <w:rsid w:val="008E05E4"/>
    <w:rsid w:val="008E0635"/>
    <w:rsid w:val="008E0818"/>
    <w:rsid w:val="008E0862"/>
    <w:rsid w:val="008E0888"/>
    <w:rsid w:val="008E08AD"/>
    <w:rsid w:val="008E094A"/>
    <w:rsid w:val="008E0AF6"/>
    <w:rsid w:val="008E1212"/>
    <w:rsid w:val="008E1633"/>
    <w:rsid w:val="008E178E"/>
    <w:rsid w:val="008E1AC4"/>
    <w:rsid w:val="008E1F7A"/>
    <w:rsid w:val="008E215B"/>
    <w:rsid w:val="008E21A3"/>
    <w:rsid w:val="008E269E"/>
    <w:rsid w:val="008E2763"/>
    <w:rsid w:val="008E283E"/>
    <w:rsid w:val="008E2A4B"/>
    <w:rsid w:val="008E2ABB"/>
    <w:rsid w:val="008E2C21"/>
    <w:rsid w:val="008E2E0B"/>
    <w:rsid w:val="008E3075"/>
    <w:rsid w:val="008E329F"/>
    <w:rsid w:val="008E3313"/>
    <w:rsid w:val="008E33CD"/>
    <w:rsid w:val="008E33E3"/>
    <w:rsid w:val="008E3975"/>
    <w:rsid w:val="008E3B5A"/>
    <w:rsid w:val="008E3E6C"/>
    <w:rsid w:val="008E43F4"/>
    <w:rsid w:val="008E4A2E"/>
    <w:rsid w:val="008E4AB5"/>
    <w:rsid w:val="008E4C3C"/>
    <w:rsid w:val="008E4F7B"/>
    <w:rsid w:val="008E5001"/>
    <w:rsid w:val="008E5478"/>
    <w:rsid w:val="008E5620"/>
    <w:rsid w:val="008E5761"/>
    <w:rsid w:val="008E5851"/>
    <w:rsid w:val="008E5879"/>
    <w:rsid w:val="008E5ABA"/>
    <w:rsid w:val="008E5D35"/>
    <w:rsid w:val="008E5E19"/>
    <w:rsid w:val="008E5E3A"/>
    <w:rsid w:val="008E5ED2"/>
    <w:rsid w:val="008E5F9F"/>
    <w:rsid w:val="008E6140"/>
    <w:rsid w:val="008E61B9"/>
    <w:rsid w:val="008E62EE"/>
    <w:rsid w:val="008E64F1"/>
    <w:rsid w:val="008E65F5"/>
    <w:rsid w:val="008E662E"/>
    <w:rsid w:val="008E6677"/>
    <w:rsid w:val="008E66F2"/>
    <w:rsid w:val="008E671A"/>
    <w:rsid w:val="008E67B3"/>
    <w:rsid w:val="008E6958"/>
    <w:rsid w:val="008E6C0D"/>
    <w:rsid w:val="008E6C12"/>
    <w:rsid w:val="008E6E01"/>
    <w:rsid w:val="008E6F08"/>
    <w:rsid w:val="008E734B"/>
    <w:rsid w:val="008E74F2"/>
    <w:rsid w:val="008E7573"/>
    <w:rsid w:val="008E7855"/>
    <w:rsid w:val="008E7BC3"/>
    <w:rsid w:val="008E7C62"/>
    <w:rsid w:val="008E7C9D"/>
    <w:rsid w:val="008E7E82"/>
    <w:rsid w:val="008F033D"/>
    <w:rsid w:val="008F03A3"/>
    <w:rsid w:val="008F040C"/>
    <w:rsid w:val="008F0641"/>
    <w:rsid w:val="008F0950"/>
    <w:rsid w:val="008F0D0A"/>
    <w:rsid w:val="008F0DAB"/>
    <w:rsid w:val="008F1009"/>
    <w:rsid w:val="008F100C"/>
    <w:rsid w:val="008F1273"/>
    <w:rsid w:val="008F148E"/>
    <w:rsid w:val="008F14D9"/>
    <w:rsid w:val="008F1589"/>
    <w:rsid w:val="008F1747"/>
    <w:rsid w:val="008F17B9"/>
    <w:rsid w:val="008F196A"/>
    <w:rsid w:val="008F1C06"/>
    <w:rsid w:val="008F20B9"/>
    <w:rsid w:val="008F20E8"/>
    <w:rsid w:val="008F2148"/>
    <w:rsid w:val="008F26B1"/>
    <w:rsid w:val="008F27EE"/>
    <w:rsid w:val="008F2970"/>
    <w:rsid w:val="008F2B8D"/>
    <w:rsid w:val="008F2D41"/>
    <w:rsid w:val="008F2D7B"/>
    <w:rsid w:val="008F2FE9"/>
    <w:rsid w:val="008F2FF1"/>
    <w:rsid w:val="008F303A"/>
    <w:rsid w:val="008F31E4"/>
    <w:rsid w:val="008F335A"/>
    <w:rsid w:val="008F35C1"/>
    <w:rsid w:val="008F38A2"/>
    <w:rsid w:val="008F3AE6"/>
    <w:rsid w:val="008F3B4A"/>
    <w:rsid w:val="008F3CF6"/>
    <w:rsid w:val="008F3D8F"/>
    <w:rsid w:val="008F3FB6"/>
    <w:rsid w:val="008F4091"/>
    <w:rsid w:val="008F4B9A"/>
    <w:rsid w:val="008F4C37"/>
    <w:rsid w:val="008F4D1B"/>
    <w:rsid w:val="008F4F2C"/>
    <w:rsid w:val="008F50EC"/>
    <w:rsid w:val="008F533D"/>
    <w:rsid w:val="008F5651"/>
    <w:rsid w:val="008F568C"/>
    <w:rsid w:val="008F56EB"/>
    <w:rsid w:val="008F5F9D"/>
    <w:rsid w:val="008F6A2E"/>
    <w:rsid w:val="008F6C73"/>
    <w:rsid w:val="008F6CBA"/>
    <w:rsid w:val="008F76CA"/>
    <w:rsid w:val="008F78A4"/>
    <w:rsid w:val="008F7B4D"/>
    <w:rsid w:val="008F7B59"/>
    <w:rsid w:val="008F7B5B"/>
    <w:rsid w:val="008F7C49"/>
    <w:rsid w:val="008F7EC6"/>
    <w:rsid w:val="008F7EF8"/>
    <w:rsid w:val="0090017A"/>
    <w:rsid w:val="009003D3"/>
    <w:rsid w:val="009005D0"/>
    <w:rsid w:val="00900697"/>
    <w:rsid w:val="00900B9F"/>
    <w:rsid w:val="00900C35"/>
    <w:rsid w:val="00900C39"/>
    <w:rsid w:val="00900C76"/>
    <w:rsid w:val="00900D81"/>
    <w:rsid w:val="00900D99"/>
    <w:rsid w:val="00900EC6"/>
    <w:rsid w:val="0090104F"/>
    <w:rsid w:val="00901058"/>
    <w:rsid w:val="00901139"/>
    <w:rsid w:val="00901700"/>
    <w:rsid w:val="00901964"/>
    <w:rsid w:val="00901BF7"/>
    <w:rsid w:val="00901C8E"/>
    <w:rsid w:val="00901FFC"/>
    <w:rsid w:val="009022B6"/>
    <w:rsid w:val="00902383"/>
    <w:rsid w:val="0090258F"/>
    <w:rsid w:val="009025D8"/>
    <w:rsid w:val="00902761"/>
    <w:rsid w:val="00902A59"/>
    <w:rsid w:val="00902A7B"/>
    <w:rsid w:val="00902A96"/>
    <w:rsid w:val="009031CA"/>
    <w:rsid w:val="00903235"/>
    <w:rsid w:val="00903539"/>
    <w:rsid w:val="009035DC"/>
    <w:rsid w:val="00903DFA"/>
    <w:rsid w:val="00903E7F"/>
    <w:rsid w:val="00904120"/>
    <w:rsid w:val="009045DC"/>
    <w:rsid w:val="009047B5"/>
    <w:rsid w:val="00904BD9"/>
    <w:rsid w:val="00904D5B"/>
    <w:rsid w:val="00904E5F"/>
    <w:rsid w:val="009051B3"/>
    <w:rsid w:val="0090557C"/>
    <w:rsid w:val="00905B29"/>
    <w:rsid w:val="00905BEE"/>
    <w:rsid w:val="00905C7E"/>
    <w:rsid w:val="00905DA8"/>
    <w:rsid w:val="00905DAC"/>
    <w:rsid w:val="00906132"/>
    <w:rsid w:val="009064BF"/>
    <w:rsid w:val="0090651B"/>
    <w:rsid w:val="00906A6C"/>
    <w:rsid w:val="00906B31"/>
    <w:rsid w:val="00906B5E"/>
    <w:rsid w:val="00906C70"/>
    <w:rsid w:val="00906E21"/>
    <w:rsid w:val="00906F8D"/>
    <w:rsid w:val="00907261"/>
    <w:rsid w:val="00907577"/>
    <w:rsid w:val="0091012F"/>
    <w:rsid w:val="00910169"/>
    <w:rsid w:val="00910315"/>
    <w:rsid w:val="00910334"/>
    <w:rsid w:val="00910720"/>
    <w:rsid w:val="009108F2"/>
    <w:rsid w:val="009109E3"/>
    <w:rsid w:val="00910A3E"/>
    <w:rsid w:val="00910A4C"/>
    <w:rsid w:val="00910C1C"/>
    <w:rsid w:val="00910CAC"/>
    <w:rsid w:val="009110CB"/>
    <w:rsid w:val="00911829"/>
    <w:rsid w:val="00911AD9"/>
    <w:rsid w:val="00911C31"/>
    <w:rsid w:val="00911D69"/>
    <w:rsid w:val="00912654"/>
    <w:rsid w:val="00912A66"/>
    <w:rsid w:val="00912BBE"/>
    <w:rsid w:val="00912C2F"/>
    <w:rsid w:val="00912CD5"/>
    <w:rsid w:val="00912E82"/>
    <w:rsid w:val="00912ECB"/>
    <w:rsid w:val="00912F0F"/>
    <w:rsid w:val="00912F27"/>
    <w:rsid w:val="00913013"/>
    <w:rsid w:val="0091305A"/>
    <w:rsid w:val="00913914"/>
    <w:rsid w:val="00913A9C"/>
    <w:rsid w:val="00913B67"/>
    <w:rsid w:val="00913E31"/>
    <w:rsid w:val="009140D2"/>
    <w:rsid w:val="00914103"/>
    <w:rsid w:val="00914710"/>
    <w:rsid w:val="0091473B"/>
    <w:rsid w:val="0091486E"/>
    <w:rsid w:val="009148B2"/>
    <w:rsid w:val="009149CD"/>
    <w:rsid w:val="00914FAE"/>
    <w:rsid w:val="00915220"/>
    <w:rsid w:val="00915492"/>
    <w:rsid w:val="00915814"/>
    <w:rsid w:val="00915921"/>
    <w:rsid w:val="009159FD"/>
    <w:rsid w:val="00915B0C"/>
    <w:rsid w:val="00915EE2"/>
    <w:rsid w:val="0091616D"/>
    <w:rsid w:val="00916539"/>
    <w:rsid w:val="00916B40"/>
    <w:rsid w:val="009176FC"/>
    <w:rsid w:val="009179DE"/>
    <w:rsid w:val="00917A9C"/>
    <w:rsid w:val="00917B0A"/>
    <w:rsid w:val="00917DF6"/>
    <w:rsid w:val="00917EF2"/>
    <w:rsid w:val="0092054B"/>
    <w:rsid w:val="00920577"/>
    <w:rsid w:val="009205C3"/>
    <w:rsid w:val="0092074B"/>
    <w:rsid w:val="00920D34"/>
    <w:rsid w:val="00920D81"/>
    <w:rsid w:val="00920DEB"/>
    <w:rsid w:val="00920FA8"/>
    <w:rsid w:val="0092116A"/>
    <w:rsid w:val="009217A4"/>
    <w:rsid w:val="0092184E"/>
    <w:rsid w:val="00921A1B"/>
    <w:rsid w:val="00921FFA"/>
    <w:rsid w:val="009224C4"/>
    <w:rsid w:val="009224D6"/>
    <w:rsid w:val="009226FB"/>
    <w:rsid w:val="00922B08"/>
    <w:rsid w:val="00922B83"/>
    <w:rsid w:val="00923172"/>
    <w:rsid w:val="009232CD"/>
    <w:rsid w:val="009232F3"/>
    <w:rsid w:val="009233EE"/>
    <w:rsid w:val="009234E9"/>
    <w:rsid w:val="009236CC"/>
    <w:rsid w:val="00923A6E"/>
    <w:rsid w:val="00923BFD"/>
    <w:rsid w:val="00923C93"/>
    <w:rsid w:val="00923FF4"/>
    <w:rsid w:val="009241FC"/>
    <w:rsid w:val="00924ADB"/>
    <w:rsid w:val="00924B99"/>
    <w:rsid w:val="00924D1F"/>
    <w:rsid w:val="009251F9"/>
    <w:rsid w:val="009255F3"/>
    <w:rsid w:val="009257CA"/>
    <w:rsid w:val="0092598E"/>
    <w:rsid w:val="00925B34"/>
    <w:rsid w:val="00925DE9"/>
    <w:rsid w:val="00925E26"/>
    <w:rsid w:val="00925E75"/>
    <w:rsid w:val="0092619D"/>
    <w:rsid w:val="009263B6"/>
    <w:rsid w:val="009265D0"/>
    <w:rsid w:val="00926719"/>
    <w:rsid w:val="009269C5"/>
    <w:rsid w:val="00926BAB"/>
    <w:rsid w:val="009273E9"/>
    <w:rsid w:val="00927716"/>
    <w:rsid w:val="00927829"/>
    <w:rsid w:val="009278F8"/>
    <w:rsid w:val="009279E6"/>
    <w:rsid w:val="00927A24"/>
    <w:rsid w:val="00927CE5"/>
    <w:rsid w:val="009300B2"/>
    <w:rsid w:val="00930608"/>
    <w:rsid w:val="00930775"/>
    <w:rsid w:val="0093096B"/>
    <w:rsid w:val="00930EE1"/>
    <w:rsid w:val="009310CB"/>
    <w:rsid w:val="00931135"/>
    <w:rsid w:val="00931498"/>
    <w:rsid w:val="009314DC"/>
    <w:rsid w:val="009316B9"/>
    <w:rsid w:val="009318DF"/>
    <w:rsid w:val="00931E99"/>
    <w:rsid w:val="0093217C"/>
    <w:rsid w:val="00932222"/>
    <w:rsid w:val="00932DFC"/>
    <w:rsid w:val="00932E87"/>
    <w:rsid w:val="00932FC2"/>
    <w:rsid w:val="00933024"/>
    <w:rsid w:val="00933032"/>
    <w:rsid w:val="0093322F"/>
    <w:rsid w:val="009332FE"/>
    <w:rsid w:val="00933504"/>
    <w:rsid w:val="0093375B"/>
    <w:rsid w:val="00933E30"/>
    <w:rsid w:val="00933EAD"/>
    <w:rsid w:val="00934128"/>
    <w:rsid w:val="00934549"/>
    <w:rsid w:val="009346E2"/>
    <w:rsid w:val="00934897"/>
    <w:rsid w:val="00934B35"/>
    <w:rsid w:val="00934C2A"/>
    <w:rsid w:val="00935012"/>
    <w:rsid w:val="00935155"/>
    <w:rsid w:val="009353C4"/>
    <w:rsid w:val="00935471"/>
    <w:rsid w:val="009354A5"/>
    <w:rsid w:val="00935768"/>
    <w:rsid w:val="00935C0B"/>
    <w:rsid w:val="00935D79"/>
    <w:rsid w:val="00936000"/>
    <w:rsid w:val="0093601D"/>
    <w:rsid w:val="009360C5"/>
    <w:rsid w:val="0093611E"/>
    <w:rsid w:val="0093647B"/>
    <w:rsid w:val="00936966"/>
    <w:rsid w:val="00936B29"/>
    <w:rsid w:val="00936F5C"/>
    <w:rsid w:val="009370DF"/>
    <w:rsid w:val="0093732E"/>
    <w:rsid w:val="00937716"/>
    <w:rsid w:val="00937931"/>
    <w:rsid w:val="00937BB2"/>
    <w:rsid w:val="00937C1A"/>
    <w:rsid w:val="00937D47"/>
    <w:rsid w:val="00937FE8"/>
    <w:rsid w:val="00940023"/>
    <w:rsid w:val="00940144"/>
    <w:rsid w:val="009403B7"/>
    <w:rsid w:val="00940835"/>
    <w:rsid w:val="00940B47"/>
    <w:rsid w:val="00940F38"/>
    <w:rsid w:val="00940FCB"/>
    <w:rsid w:val="009411E6"/>
    <w:rsid w:val="00941202"/>
    <w:rsid w:val="0094192E"/>
    <w:rsid w:val="00942076"/>
    <w:rsid w:val="009422E9"/>
    <w:rsid w:val="009423FE"/>
    <w:rsid w:val="009427E1"/>
    <w:rsid w:val="009428D2"/>
    <w:rsid w:val="00943017"/>
    <w:rsid w:val="00943045"/>
    <w:rsid w:val="009431A0"/>
    <w:rsid w:val="0094321E"/>
    <w:rsid w:val="0094350F"/>
    <w:rsid w:val="00943590"/>
    <w:rsid w:val="009438A9"/>
    <w:rsid w:val="0094393D"/>
    <w:rsid w:val="009439BF"/>
    <w:rsid w:val="00943A70"/>
    <w:rsid w:val="00943BA5"/>
    <w:rsid w:val="00943F58"/>
    <w:rsid w:val="009441C1"/>
    <w:rsid w:val="00944264"/>
    <w:rsid w:val="009442B5"/>
    <w:rsid w:val="00944387"/>
    <w:rsid w:val="00944849"/>
    <w:rsid w:val="00944905"/>
    <w:rsid w:val="00944AE7"/>
    <w:rsid w:val="00944C70"/>
    <w:rsid w:val="00945694"/>
    <w:rsid w:val="00945D38"/>
    <w:rsid w:val="00945EA9"/>
    <w:rsid w:val="00946315"/>
    <w:rsid w:val="00946365"/>
    <w:rsid w:val="00946409"/>
    <w:rsid w:val="0094644F"/>
    <w:rsid w:val="00946662"/>
    <w:rsid w:val="00946DAC"/>
    <w:rsid w:val="00946F40"/>
    <w:rsid w:val="00946F5C"/>
    <w:rsid w:val="00946F8A"/>
    <w:rsid w:val="009470A2"/>
    <w:rsid w:val="00947175"/>
    <w:rsid w:val="009471AA"/>
    <w:rsid w:val="0094728A"/>
    <w:rsid w:val="0094729E"/>
    <w:rsid w:val="00947585"/>
    <w:rsid w:val="009475BF"/>
    <w:rsid w:val="0094762C"/>
    <w:rsid w:val="00947C4A"/>
    <w:rsid w:val="00947E2B"/>
    <w:rsid w:val="00947E5F"/>
    <w:rsid w:val="00947F16"/>
    <w:rsid w:val="00947F19"/>
    <w:rsid w:val="00950125"/>
    <w:rsid w:val="009503D8"/>
    <w:rsid w:val="00950A34"/>
    <w:rsid w:val="00951179"/>
    <w:rsid w:val="0095119D"/>
    <w:rsid w:val="00951E60"/>
    <w:rsid w:val="00952052"/>
    <w:rsid w:val="00952E16"/>
    <w:rsid w:val="0095310D"/>
    <w:rsid w:val="00953112"/>
    <w:rsid w:val="009531BC"/>
    <w:rsid w:val="00953416"/>
    <w:rsid w:val="00953490"/>
    <w:rsid w:val="00954138"/>
    <w:rsid w:val="009543A0"/>
    <w:rsid w:val="009544D9"/>
    <w:rsid w:val="00954543"/>
    <w:rsid w:val="00954618"/>
    <w:rsid w:val="00954658"/>
    <w:rsid w:val="009548E3"/>
    <w:rsid w:val="00954906"/>
    <w:rsid w:val="0095501E"/>
    <w:rsid w:val="00955231"/>
    <w:rsid w:val="009555B4"/>
    <w:rsid w:val="00955605"/>
    <w:rsid w:val="0095585D"/>
    <w:rsid w:val="00955950"/>
    <w:rsid w:val="009559CE"/>
    <w:rsid w:val="00955D3F"/>
    <w:rsid w:val="00955D5B"/>
    <w:rsid w:val="00955D79"/>
    <w:rsid w:val="00955D8C"/>
    <w:rsid w:val="00955EFC"/>
    <w:rsid w:val="00955F91"/>
    <w:rsid w:val="0095619C"/>
    <w:rsid w:val="00956381"/>
    <w:rsid w:val="0095654A"/>
    <w:rsid w:val="0095675A"/>
    <w:rsid w:val="0095681B"/>
    <w:rsid w:val="00956851"/>
    <w:rsid w:val="0095686C"/>
    <w:rsid w:val="00956966"/>
    <w:rsid w:val="00956BCD"/>
    <w:rsid w:val="00956D9A"/>
    <w:rsid w:val="0095709C"/>
    <w:rsid w:val="0095734C"/>
    <w:rsid w:val="00957504"/>
    <w:rsid w:val="009576F8"/>
    <w:rsid w:val="00957826"/>
    <w:rsid w:val="0095789A"/>
    <w:rsid w:val="009579A1"/>
    <w:rsid w:val="00957A2E"/>
    <w:rsid w:val="00957EE5"/>
    <w:rsid w:val="0096011B"/>
    <w:rsid w:val="0096036E"/>
    <w:rsid w:val="009603CC"/>
    <w:rsid w:val="00960498"/>
    <w:rsid w:val="0096059A"/>
    <w:rsid w:val="00960664"/>
    <w:rsid w:val="009607D8"/>
    <w:rsid w:val="009607E8"/>
    <w:rsid w:val="00960927"/>
    <w:rsid w:val="00960AAB"/>
    <w:rsid w:val="00960B44"/>
    <w:rsid w:val="00960F53"/>
    <w:rsid w:val="00961131"/>
    <w:rsid w:val="0096116D"/>
    <w:rsid w:val="00961218"/>
    <w:rsid w:val="00961292"/>
    <w:rsid w:val="0096137C"/>
    <w:rsid w:val="0096139D"/>
    <w:rsid w:val="0096152E"/>
    <w:rsid w:val="0096164C"/>
    <w:rsid w:val="009616CC"/>
    <w:rsid w:val="009616E7"/>
    <w:rsid w:val="00961741"/>
    <w:rsid w:val="009617D0"/>
    <w:rsid w:val="00961B27"/>
    <w:rsid w:val="00961B54"/>
    <w:rsid w:val="00961B9D"/>
    <w:rsid w:val="0096202E"/>
    <w:rsid w:val="009621CC"/>
    <w:rsid w:val="0096228B"/>
    <w:rsid w:val="00962566"/>
    <w:rsid w:val="009627E9"/>
    <w:rsid w:val="009628FE"/>
    <w:rsid w:val="00962A6E"/>
    <w:rsid w:val="00962E1F"/>
    <w:rsid w:val="00962E6C"/>
    <w:rsid w:val="00962E8B"/>
    <w:rsid w:val="00963010"/>
    <w:rsid w:val="00963074"/>
    <w:rsid w:val="0096328A"/>
    <w:rsid w:val="009632B1"/>
    <w:rsid w:val="00963413"/>
    <w:rsid w:val="0096344D"/>
    <w:rsid w:val="00963678"/>
    <w:rsid w:val="009637C4"/>
    <w:rsid w:val="00963862"/>
    <w:rsid w:val="00963869"/>
    <w:rsid w:val="0096424B"/>
    <w:rsid w:val="00964722"/>
    <w:rsid w:val="00964752"/>
    <w:rsid w:val="009648F7"/>
    <w:rsid w:val="00964D61"/>
    <w:rsid w:val="00964F54"/>
    <w:rsid w:val="00964FF5"/>
    <w:rsid w:val="00965327"/>
    <w:rsid w:val="0096534B"/>
    <w:rsid w:val="009657CA"/>
    <w:rsid w:val="00965BC7"/>
    <w:rsid w:val="00965C60"/>
    <w:rsid w:val="00965E6D"/>
    <w:rsid w:val="00965E92"/>
    <w:rsid w:val="00966043"/>
    <w:rsid w:val="00966103"/>
    <w:rsid w:val="0096617A"/>
    <w:rsid w:val="0096624F"/>
    <w:rsid w:val="00966651"/>
    <w:rsid w:val="00966813"/>
    <w:rsid w:val="00966992"/>
    <w:rsid w:val="00966AF9"/>
    <w:rsid w:val="00966B16"/>
    <w:rsid w:val="00966DA6"/>
    <w:rsid w:val="00966E83"/>
    <w:rsid w:val="00966ECA"/>
    <w:rsid w:val="00967286"/>
    <w:rsid w:val="00967BAB"/>
    <w:rsid w:val="00967CEC"/>
    <w:rsid w:val="00970291"/>
    <w:rsid w:val="00970378"/>
    <w:rsid w:val="009709F3"/>
    <w:rsid w:val="00970DE3"/>
    <w:rsid w:val="0097131C"/>
    <w:rsid w:val="00971320"/>
    <w:rsid w:val="0097158A"/>
    <w:rsid w:val="009716F1"/>
    <w:rsid w:val="009717E2"/>
    <w:rsid w:val="00971CCA"/>
    <w:rsid w:val="00971D48"/>
    <w:rsid w:val="00971D4A"/>
    <w:rsid w:val="00971E0F"/>
    <w:rsid w:val="00971E1F"/>
    <w:rsid w:val="009720B8"/>
    <w:rsid w:val="00972458"/>
    <w:rsid w:val="00972706"/>
    <w:rsid w:val="00972A03"/>
    <w:rsid w:val="00972DBB"/>
    <w:rsid w:val="00972F17"/>
    <w:rsid w:val="0097304A"/>
    <w:rsid w:val="00973338"/>
    <w:rsid w:val="00973383"/>
    <w:rsid w:val="00973576"/>
    <w:rsid w:val="009739F5"/>
    <w:rsid w:val="00973CB4"/>
    <w:rsid w:val="00973CBF"/>
    <w:rsid w:val="00974036"/>
    <w:rsid w:val="0097455F"/>
    <w:rsid w:val="00974577"/>
    <w:rsid w:val="00974747"/>
    <w:rsid w:val="0097495A"/>
    <w:rsid w:val="00974CA0"/>
    <w:rsid w:val="009750F9"/>
    <w:rsid w:val="009756EC"/>
    <w:rsid w:val="00975AE5"/>
    <w:rsid w:val="00975B76"/>
    <w:rsid w:val="00975E93"/>
    <w:rsid w:val="0097615E"/>
    <w:rsid w:val="0097653C"/>
    <w:rsid w:val="009765F4"/>
    <w:rsid w:val="009768BC"/>
    <w:rsid w:val="00976A04"/>
    <w:rsid w:val="00976CB3"/>
    <w:rsid w:val="00976DCC"/>
    <w:rsid w:val="00976F67"/>
    <w:rsid w:val="00977134"/>
    <w:rsid w:val="00977318"/>
    <w:rsid w:val="00977787"/>
    <w:rsid w:val="00977BA7"/>
    <w:rsid w:val="00977D10"/>
    <w:rsid w:val="00977E97"/>
    <w:rsid w:val="00977FC5"/>
    <w:rsid w:val="00980506"/>
    <w:rsid w:val="009806FA"/>
    <w:rsid w:val="0098115D"/>
    <w:rsid w:val="00981176"/>
    <w:rsid w:val="00981218"/>
    <w:rsid w:val="00981259"/>
    <w:rsid w:val="00981416"/>
    <w:rsid w:val="009814CA"/>
    <w:rsid w:val="00981636"/>
    <w:rsid w:val="00981A96"/>
    <w:rsid w:val="00981AE6"/>
    <w:rsid w:val="00982195"/>
    <w:rsid w:val="009823A3"/>
    <w:rsid w:val="00982722"/>
    <w:rsid w:val="00982802"/>
    <w:rsid w:val="0098289B"/>
    <w:rsid w:val="00982A2D"/>
    <w:rsid w:val="00982E26"/>
    <w:rsid w:val="0098321F"/>
    <w:rsid w:val="009833A8"/>
    <w:rsid w:val="00983514"/>
    <w:rsid w:val="0098374F"/>
    <w:rsid w:val="00983838"/>
    <w:rsid w:val="00983D5D"/>
    <w:rsid w:val="00983DBD"/>
    <w:rsid w:val="00983E12"/>
    <w:rsid w:val="00983F2F"/>
    <w:rsid w:val="0098405F"/>
    <w:rsid w:val="0098439D"/>
    <w:rsid w:val="00984418"/>
    <w:rsid w:val="0098456D"/>
    <w:rsid w:val="009845DD"/>
    <w:rsid w:val="0098464D"/>
    <w:rsid w:val="00984CDD"/>
    <w:rsid w:val="00985199"/>
    <w:rsid w:val="0098529F"/>
    <w:rsid w:val="009857A3"/>
    <w:rsid w:val="0098582B"/>
    <w:rsid w:val="00985A56"/>
    <w:rsid w:val="00985A58"/>
    <w:rsid w:val="00985A81"/>
    <w:rsid w:val="00985AAD"/>
    <w:rsid w:val="00985B2E"/>
    <w:rsid w:val="00985FB9"/>
    <w:rsid w:val="00986048"/>
    <w:rsid w:val="009860D4"/>
    <w:rsid w:val="00986149"/>
    <w:rsid w:val="009863FF"/>
    <w:rsid w:val="009865E8"/>
    <w:rsid w:val="00986787"/>
    <w:rsid w:val="009868BB"/>
    <w:rsid w:val="00986930"/>
    <w:rsid w:val="00986A43"/>
    <w:rsid w:val="009871C5"/>
    <w:rsid w:val="009872FE"/>
    <w:rsid w:val="00987397"/>
    <w:rsid w:val="009875C3"/>
    <w:rsid w:val="0098766C"/>
    <w:rsid w:val="009876D0"/>
    <w:rsid w:val="00987AF7"/>
    <w:rsid w:val="0099016E"/>
    <w:rsid w:val="009904C3"/>
    <w:rsid w:val="00990BC0"/>
    <w:rsid w:val="00990D0A"/>
    <w:rsid w:val="00990D26"/>
    <w:rsid w:val="00990F12"/>
    <w:rsid w:val="00990FE1"/>
    <w:rsid w:val="00991298"/>
    <w:rsid w:val="00991518"/>
    <w:rsid w:val="009916A5"/>
    <w:rsid w:val="00991C83"/>
    <w:rsid w:val="00991DA1"/>
    <w:rsid w:val="00991E1B"/>
    <w:rsid w:val="009923DC"/>
    <w:rsid w:val="00992DA0"/>
    <w:rsid w:val="00993107"/>
    <w:rsid w:val="009931DB"/>
    <w:rsid w:val="00993C22"/>
    <w:rsid w:val="00993D4A"/>
    <w:rsid w:val="0099404C"/>
    <w:rsid w:val="0099447B"/>
    <w:rsid w:val="0099454A"/>
    <w:rsid w:val="00994586"/>
    <w:rsid w:val="00994DB1"/>
    <w:rsid w:val="00995198"/>
    <w:rsid w:val="00995451"/>
    <w:rsid w:val="009955D3"/>
    <w:rsid w:val="00995764"/>
    <w:rsid w:val="00995926"/>
    <w:rsid w:val="00995A54"/>
    <w:rsid w:val="00995DCD"/>
    <w:rsid w:val="00996292"/>
    <w:rsid w:val="00996409"/>
    <w:rsid w:val="00996BD9"/>
    <w:rsid w:val="009970E2"/>
    <w:rsid w:val="009972AF"/>
    <w:rsid w:val="0099770E"/>
    <w:rsid w:val="00997A15"/>
    <w:rsid w:val="00997A92"/>
    <w:rsid w:val="00997C67"/>
    <w:rsid w:val="00997E39"/>
    <w:rsid w:val="009A0019"/>
    <w:rsid w:val="009A01EF"/>
    <w:rsid w:val="009A0656"/>
    <w:rsid w:val="009A0742"/>
    <w:rsid w:val="009A07A4"/>
    <w:rsid w:val="009A0878"/>
    <w:rsid w:val="009A094E"/>
    <w:rsid w:val="009A0A20"/>
    <w:rsid w:val="009A0CA7"/>
    <w:rsid w:val="009A0CB8"/>
    <w:rsid w:val="009A0D51"/>
    <w:rsid w:val="009A10E0"/>
    <w:rsid w:val="009A1416"/>
    <w:rsid w:val="009A1699"/>
    <w:rsid w:val="009A1730"/>
    <w:rsid w:val="009A1A2B"/>
    <w:rsid w:val="009A1C53"/>
    <w:rsid w:val="009A1C69"/>
    <w:rsid w:val="009A1F3A"/>
    <w:rsid w:val="009A21AF"/>
    <w:rsid w:val="009A24A0"/>
    <w:rsid w:val="009A25BB"/>
    <w:rsid w:val="009A268E"/>
    <w:rsid w:val="009A28F9"/>
    <w:rsid w:val="009A31A0"/>
    <w:rsid w:val="009A335A"/>
    <w:rsid w:val="009A38B7"/>
    <w:rsid w:val="009A395C"/>
    <w:rsid w:val="009A3B17"/>
    <w:rsid w:val="009A3F15"/>
    <w:rsid w:val="009A408B"/>
    <w:rsid w:val="009A41C4"/>
    <w:rsid w:val="009A450D"/>
    <w:rsid w:val="009A46C1"/>
    <w:rsid w:val="009A4A1D"/>
    <w:rsid w:val="009A4D45"/>
    <w:rsid w:val="009A52AA"/>
    <w:rsid w:val="009A5452"/>
    <w:rsid w:val="009A5C16"/>
    <w:rsid w:val="009A5DA0"/>
    <w:rsid w:val="009A5DC8"/>
    <w:rsid w:val="009A6011"/>
    <w:rsid w:val="009A6262"/>
    <w:rsid w:val="009A664F"/>
    <w:rsid w:val="009A6693"/>
    <w:rsid w:val="009A6782"/>
    <w:rsid w:val="009A6974"/>
    <w:rsid w:val="009A6C1A"/>
    <w:rsid w:val="009A6DC5"/>
    <w:rsid w:val="009A6E08"/>
    <w:rsid w:val="009A726E"/>
    <w:rsid w:val="009A7272"/>
    <w:rsid w:val="009A7386"/>
    <w:rsid w:val="009A7622"/>
    <w:rsid w:val="009A797D"/>
    <w:rsid w:val="009A7E11"/>
    <w:rsid w:val="009A7F12"/>
    <w:rsid w:val="009B0171"/>
    <w:rsid w:val="009B07E6"/>
    <w:rsid w:val="009B0878"/>
    <w:rsid w:val="009B0A3C"/>
    <w:rsid w:val="009B0A53"/>
    <w:rsid w:val="009B0EDC"/>
    <w:rsid w:val="009B1161"/>
    <w:rsid w:val="009B1A16"/>
    <w:rsid w:val="009B1CDF"/>
    <w:rsid w:val="009B22D2"/>
    <w:rsid w:val="009B2384"/>
    <w:rsid w:val="009B254B"/>
    <w:rsid w:val="009B2594"/>
    <w:rsid w:val="009B259E"/>
    <w:rsid w:val="009B2906"/>
    <w:rsid w:val="009B2934"/>
    <w:rsid w:val="009B2A8A"/>
    <w:rsid w:val="009B2AC5"/>
    <w:rsid w:val="009B2ACA"/>
    <w:rsid w:val="009B2B4A"/>
    <w:rsid w:val="009B2BDD"/>
    <w:rsid w:val="009B2D83"/>
    <w:rsid w:val="009B2E2C"/>
    <w:rsid w:val="009B2E45"/>
    <w:rsid w:val="009B306F"/>
    <w:rsid w:val="009B30A0"/>
    <w:rsid w:val="009B3249"/>
    <w:rsid w:val="009B3580"/>
    <w:rsid w:val="009B38A9"/>
    <w:rsid w:val="009B3A47"/>
    <w:rsid w:val="009B3E77"/>
    <w:rsid w:val="009B3F37"/>
    <w:rsid w:val="009B41C7"/>
    <w:rsid w:val="009B479F"/>
    <w:rsid w:val="009B49E6"/>
    <w:rsid w:val="009B4D97"/>
    <w:rsid w:val="009B4E3F"/>
    <w:rsid w:val="009B4F3C"/>
    <w:rsid w:val="009B5436"/>
    <w:rsid w:val="009B546E"/>
    <w:rsid w:val="009B5682"/>
    <w:rsid w:val="009B5B78"/>
    <w:rsid w:val="009B5E18"/>
    <w:rsid w:val="009B5F6F"/>
    <w:rsid w:val="009B604A"/>
    <w:rsid w:val="009B6151"/>
    <w:rsid w:val="009B61BA"/>
    <w:rsid w:val="009B6210"/>
    <w:rsid w:val="009B6320"/>
    <w:rsid w:val="009B6368"/>
    <w:rsid w:val="009B6768"/>
    <w:rsid w:val="009B7009"/>
    <w:rsid w:val="009B70A1"/>
    <w:rsid w:val="009B73E9"/>
    <w:rsid w:val="009B7595"/>
    <w:rsid w:val="009B7CC0"/>
    <w:rsid w:val="009B7E46"/>
    <w:rsid w:val="009B7E98"/>
    <w:rsid w:val="009C013C"/>
    <w:rsid w:val="009C01E6"/>
    <w:rsid w:val="009C0232"/>
    <w:rsid w:val="009C02E9"/>
    <w:rsid w:val="009C059D"/>
    <w:rsid w:val="009C0A4A"/>
    <w:rsid w:val="009C0ECE"/>
    <w:rsid w:val="009C0FCC"/>
    <w:rsid w:val="009C115D"/>
    <w:rsid w:val="009C1296"/>
    <w:rsid w:val="009C1387"/>
    <w:rsid w:val="009C143B"/>
    <w:rsid w:val="009C151D"/>
    <w:rsid w:val="009C183E"/>
    <w:rsid w:val="009C19D8"/>
    <w:rsid w:val="009C1B04"/>
    <w:rsid w:val="009C1C3D"/>
    <w:rsid w:val="009C1C60"/>
    <w:rsid w:val="009C1E52"/>
    <w:rsid w:val="009C2143"/>
    <w:rsid w:val="009C24CC"/>
    <w:rsid w:val="009C264E"/>
    <w:rsid w:val="009C289C"/>
    <w:rsid w:val="009C2C59"/>
    <w:rsid w:val="009C2E43"/>
    <w:rsid w:val="009C32A1"/>
    <w:rsid w:val="009C3607"/>
    <w:rsid w:val="009C36C3"/>
    <w:rsid w:val="009C3C7C"/>
    <w:rsid w:val="009C415A"/>
    <w:rsid w:val="009C42F3"/>
    <w:rsid w:val="009C4718"/>
    <w:rsid w:val="009C4A00"/>
    <w:rsid w:val="009C4AFA"/>
    <w:rsid w:val="009C4C65"/>
    <w:rsid w:val="009C4FA1"/>
    <w:rsid w:val="009C5252"/>
    <w:rsid w:val="009C5353"/>
    <w:rsid w:val="009C5450"/>
    <w:rsid w:val="009C560D"/>
    <w:rsid w:val="009C573D"/>
    <w:rsid w:val="009C58C3"/>
    <w:rsid w:val="009C5D8E"/>
    <w:rsid w:val="009C6114"/>
    <w:rsid w:val="009C6454"/>
    <w:rsid w:val="009C676A"/>
    <w:rsid w:val="009C68EC"/>
    <w:rsid w:val="009C6E1A"/>
    <w:rsid w:val="009C6FC6"/>
    <w:rsid w:val="009C7052"/>
    <w:rsid w:val="009C7541"/>
    <w:rsid w:val="009C7561"/>
    <w:rsid w:val="009C75CA"/>
    <w:rsid w:val="009C76BC"/>
    <w:rsid w:val="009C7D9E"/>
    <w:rsid w:val="009C7DEE"/>
    <w:rsid w:val="009C7E67"/>
    <w:rsid w:val="009C7F67"/>
    <w:rsid w:val="009D00E9"/>
    <w:rsid w:val="009D016B"/>
    <w:rsid w:val="009D03C7"/>
    <w:rsid w:val="009D070C"/>
    <w:rsid w:val="009D0A2A"/>
    <w:rsid w:val="009D0AF9"/>
    <w:rsid w:val="009D0BF2"/>
    <w:rsid w:val="009D1044"/>
    <w:rsid w:val="009D12BA"/>
    <w:rsid w:val="009D13D4"/>
    <w:rsid w:val="009D1408"/>
    <w:rsid w:val="009D1665"/>
    <w:rsid w:val="009D1732"/>
    <w:rsid w:val="009D1788"/>
    <w:rsid w:val="009D19D4"/>
    <w:rsid w:val="009D1BEA"/>
    <w:rsid w:val="009D1C82"/>
    <w:rsid w:val="009D2108"/>
    <w:rsid w:val="009D2754"/>
    <w:rsid w:val="009D29AC"/>
    <w:rsid w:val="009D2FE1"/>
    <w:rsid w:val="009D317B"/>
    <w:rsid w:val="009D33F4"/>
    <w:rsid w:val="009D3545"/>
    <w:rsid w:val="009D3596"/>
    <w:rsid w:val="009D35E7"/>
    <w:rsid w:val="009D38B7"/>
    <w:rsid w:val="009D3945"/>
    <w:rsid w:val="009D3BB3"/>
    <w:rsid w:val="009D3D1A"/>
    <w:rsid w:val="009D3DAB"/>
    <w:rsid w:val="009D3E5C"/>
    <w:rsid w:val="009D4099"/>
    <w:rsid w:val="009D423D"/>
    <w:rsid w:val="009D4801"/>
    <w:rsid w:val="009D4837"/>
    <w:rsid w:val="009D4A8D"/>
    <w:rsid w:val="009D4BA1"/>
    <w:rsid w:val="009D504D"/>
    <w:rsid w:val="009D5107"/>
    <w:rsid w:val="009D513D"/>
    <w:rsid w:val="009D5280"/>
    <w:rsid w:val="009D540E"/>
    <w:rsid w:val="009D5561"/>
    <w:rsid w:val="009D5582"/>
    <w:rsid w:val="009D5862"/>
    <w:rsid w:val="009D59E5"/>
    <w:rsid w:val="009D59EB"/>
    <w:rsid w:val="009D5C5B"/>
    <w:rsid w:val="009D5D4B"/>
    <w:rsid w:val="009D5E87"/>
    <w:rsid w:val="009D5ED4"/>
    <w:rsid w:val="009D5F98"/>
    <w:rsid w:val="009D6363"/>
    <w:rsid w:val="009D640D"/>
    <w:rsid w:val="009D6EBC"/>
    <w:rsid w:val="009D706E"/>
    <w:rsid w:val="009D75DC"/>
    <w:rsid w:val="009D7856"/>
    <w:rsid w:val="009D7934"/>
    <w:rsid w:val="009D7C73"/>
    <w:rsid w:val="009D7C96"/>
    <w:rsid w:val="009D7FE9"/>
    <w:rsid w:val="009E0048"/>
    <w:rsid w:val="009E037C"/>
    <w:rsid w:val="009E038C"/>
    <w:rsid w:val="009E0733"/>
    <w:rsid w:val="009E0D4F"/>
    <w:rsid w:val="009E0EED"/>
    <w:rsid w:val="009E10AA"/>
    <w:rsid w:val="009E142A"/>
    <w:rsid w:val="009E1552"/>
    <w:rsid w:val="009E19AB"/>
    <w:rsid w:val="009E1A23"/>
    <w:rsid w:val="009E1D1E"/>
    <w:rsid w:val="009E1D84"/>
    <w:rsid w:val="009E1FCB"/>
    <w:rsid w:val="009E220A"/>
    <w:rsid w:val="009E279A"/>
    <w:rsid w:val="009E2B08"/>
    <w:rsid w:val="009E2BAE"/>
    <w:rsid w:val="009E2F05"/>
    <w:rsid w:val="009E2FC3"/>
    <w:rsid w:val="009E330A"/>
    <w:rsid w:val="009E3341"/>
    <w:rsid w:val="009E35CA"/>
    <w:rsid w:val="009E36CF"/>
    <w:rsid w:val="009E36E5"/>
    <w:rsid w:val="009E3753"/>
    <w:rsid w:val="009E3E46"/>
    <w:rsid w:val="009E3FBC"/>
    <w:rsid w:val="009E43E3"/>
    <w:rsid w:val="009E442A"/>
    <w:rsid w:val="009E452D"/>
    <w:rsid w:val="009E4919"/>
    <w:rsid w:val="009E49AE"/>
    <w:rsid w:val="009E4A06"/>
    <w:rsid w:val="009E4A1A"/>
    <w:rsid w:val="009E4CB5"/>
    <w:rsid w:val="009E4DCC"/>
    <w:rsid w:val="009E4DDD"/>
    <w:rsid w:val="009E4FC3"/>
    <w:rsid w:val="009E5135"/>
    <w:rsid w:val="009E5216"/>
    <w:rsid w:val="009E5219"/>
    <w:rsid w:val="009E522D"/>
    <w:rsid w:val="009E5324"/>
    <w:rsid w:val="009E5858"/>
    <w:rsid w:val="009E595A"/>
    <w:rsid w:val="009E5B94"/>
    <w:rsid w:val="009E5E00"/>
    <w:rsid w:val="009E6263"/>
    <w:rsid w:val="009E63D8"/>
    <w:rsid w:val="009E6436"/>
    <w:rsid w:val="009E6501"/>
    <w:rsid w:val="009E6503"/>
    <w:rsid w:val="009E6508"/>
    <w:rsid w:val="009E66BD"/>
    <w:rsid w:val="009E6AE9"/>
    <w:rsid w:val="009E6B6B"/>
    <w:rsid w:val="009E6DBC"/>
    <w:rsid w:val="009E6EB2"/>
    <w:rsid w:val="009E6FE9"/>
    <w:rsid w:val="009E735B"/>
    <w:rsid w:val="009E737E"/>
    <w:rsid w:val="009E7470"/>
    <w:rsid w:val="009E76E7"/>
    <w:rsid w:val="009E7860"/>
    <w:rsid w:val="009E7ADF"/>
    <w:rsid w:val="009E7B41"/>
    <w:rsid w:val="009E7CB3"/>
    <w:rsid w:val="009E7DFE"/>
    <w:rsid w:val="009F0204"/>
    <w:rsid w:val="009F028C"/>
    <w:rsid w:val="009F032F"/>
    <w:rsid w:val="009F0698"/>
    <w:rsid w:val="009F0820"/>
    <w:rsid w:val="009F0F2F"/>
    <w:rsid w:val="009F105F"/>
    <w:rsid w:val="009F198D"/>
    <w:rsid w:val="009F1ADF"/>
    <w:rsid w:val="009F1C60"/>
    <w:rsid w:val="009F1D8F"/>
    <w:rsid w:val="009F202E"/>
    <w:rsid w:val="009F2094"/>
    <w:rsid w:val="009F2254"/>
    <w:rsid w:val="009F249E"/>
    <w:rsid w:val="009F2759"/>
    <w:rsid w:val="009F2787"/>
    <w:rsid w:val="009F280B"/>
    <w:rsid w:val="009F2A0D"/>
    <w:rsid w:val="009F2F23"/>
    <w:rsid w:val="009F2F2B"/>
    <w:rsid w:val="009F3017"/>
    <w:rsid w:val="009F304D"/>
    <w:rsid w:val="009F3715"/>
    <w:rsid w:val="009F37AF"/>
    <w:rsid w:val="009F393F"/>
    <w:rsid w:val="009F44D2"/>
    <w:rsid w:val="009F463D"/>
    <w:rsid w:val="009F474D"/>
    <w:rsid w:val="009F476D"/>
    <w:rsid w:val="009F4860"/>
    <w:rsid w:val="009F492B"/>
    <w:rsid w:val="009F4AEF"/>
    <w:rsid w:val="009F4B47"/>
    <w:rsid w:val="009F4F60"/>
    <w:rsid w:val="009F4F70"/>
    <w:rsid w:val="009F4FC1"/>
    <w:rsid w:val="009F52D5"/>
    <w:rsid w:val="009F5497"/>
    <w:rsid w:val="009F570E"/>
    <w:rsid w:val="009F5718"/>
    <w:rsid w:val="009F58EE"/>
    <w:rsid w:val="009F5916"/>
    <w:rsid w:val="009F5967"/>
    <w:rsid w:val="009F5AE3"/>
    <w:rsid w:val="009F5B06"/>
    <w:rsid w:val="009F5D44"/>
    <w:rsid w:val="009F5F2A"/>
    <w:rsid w:val="009F60D4"/>
    <w:rsid w:val="009F6248"/>
    <w:rsid w:val="009F67CD"/>
    <w:rsid w:val="009F681C"/>
    <w:rsid w:val="009F6E90"/>
    <w:rsid w:val="009F6EB9"/>
    <w:rsid w:val="009F6F58"/>
    <w:rsid w:val="009F7105"/>
    <w:rsid w:val="009F7184"/>
    <w:rsid w:val="009F72F4"/>
    <w:rsid w:val="009F7409"/>
    <w:rsid w:val="009F7832"/>
    <w:rsid w:val="009F7888"/>
    <w:rsid w:val="009F79BA"/>
    <w:rsid w:val="009F7D0D"/>
    <w:rsid w:val="00A002AB"/>
    <w:rsid w:val="00A00622"/>
    <w:rsid w:val="00A00BEA"/>
    <w:rsid w:val="00A00EA9"/>
    <w:rsid w:val="00A01466"/>
    <w:rsid w:val="00A01596"/>
    <w:rsid w:val="00A01BD5"/>
    <w:rsid w:val="00A01CC9"/>
    <w:rsid w:val="00A0248F"/>
    <w:rsid w:val="00A02561"/>
    <w:rsid w:val="00A025B2"/>
    <w:rsid w:val="00A0274A"/>
    <w:rsid w:val="00A02AEA"/>
    <w:rsid w:val="00A02D33"/>
    <w:rsid w:val="00A02E16"/>
    <w:rsid w:val="00A031E4"/>
    <w:rsid w:val="00A0328E"/>
    <w:rsid w:val="00A0379C"/>
    <w:rsid w:val="00A03854"/>
    <w:rsid w:val="00A03B89"/>
    <w:rsid w:val="00A03CB5"/>
    <w:rsid w:val="00A03D6F"/>
    <w:rsid w:val="00A03DD0"/>
    <w:rsid w:val="00A040D2"/>
    <w:rsid w:val="00A040EF"/>
    <w:rsid w:val="00A041FD"/>
    <w:rsid w:val="00A048E7"/>
    <w:rsid w:val="00A049A1"/>
    <w:rsid w:val="00A04A3B"/>
    <w:rsid w:val="00A04A79"/>
    <w:rsid w:val="00A04AA8"/>
    <w:rsid w:val="00A04BCD"/>
    <w:rsid w:val="00A04C1D"/>
    <w:rsid w:val="00A04C6D"/>
    <w:rsid w:val="00A04F54"/>
    <w:rsid w:val="00A05217"/>
    <w:rsid w:val="00A05486"/>
    <w:rsid w:val="00A058DB"/>
    <w:rsid w:val="00A05B4F"/>
    <w:rsid w:val="00A06422"/>
    <w:rsid w:val="00A064ED"/>
    <w:rsid w:val="00A0670D"/>
    <w:rsid w:val="00A06A58"/>
    <w:rsid w:val="00A06A87"/>
    <w:rsid w:val="00A06A89"/>
    <w:rsid w:val="00A0735A"/>
    <w:rsid w:val="00A0735D"/>
    <w:rsid w:val="00A0760D"/>
    <w:rsid w:val="00A07648"/>
    <w:rsid w:val="00A0796A"/>
    <w:rsid w:val="00A07A85"/>
    <w:rsid w:val="00A07B73"/>
    <w:rsid w:val="00A07D5D"/>
    <w:rsid w:val="00A07DD3"/>
    <w:rsid w:val="00A10144"/>
    <w:rsid w:val="00A1018D"/>
    <w:rsid w:val="00A10459"/>
    <w:rsid w:val="00A10672"/>
    <w:rsid w:val="00A107E3"/>
    <w:rsid w:val="00A1082B"/>
    <w:rsid w:val="00A10934"/>
    <w:rsid w:val="00A10AD6"/>
    <w:rsid w:val="00A10B80"/>
    <w:rsid w:val="00A10D44"/>
    <w:rsid w:val="00A10DBD"/>
    <w:rsid w:val="00A10E79"/>
    <w:rsid w:val="00A11161"/>
    <w:rsid w:val="00A113F5"/>
    <w:rsid w:val="00A11546"/>
    <w:rsid w:val="00A11834"/>
    <w:rsid w:val="00A11898"/>
    <w:rsid w:val="00A11B13"/>
    <w:rsid w:val="00A11D28"/>
    <w:rsid w:val="00A11FB6"/>
    <w:rsid w:val="00A1227A"/>
    <w:rsid w:val="00A122E2"/>
    <w:rsid w:val="00A12454"/>
    <w:rsid w:val="00A126E9"/>
    <w:rsid w:val="00A126EB"/>
    <w:rsid w:val="00A12743"/>
    <w:rsid w:val="00A127AB"/>
    <w:rsid w:val="00A12B12"/>
    <w:rsid w:val="00A12BA8"/>
    <w:rsid w:val="00A12E4A"/>
    <w:rsid w:val="00A1346C"/>
    <w:rsid w:val="00A135DD"/>
    <w:rsid w:val="00A137B0"/>
    <w:rsid w:val="00A13952"/>
    <w:rsid w:val="00A1395E"/>
    <w:rsid w:val="00A13A7D"/>
    <w:rsid w:val="00A13C34"/>
    <w:rsid w:val="00A13E78"/>
    <w:rsid w:val="00A13F6E"/>
    <w:rsid w:val="00A14145"/>
    <w:rsid w:val="00A141A3"/>
    <w:rsid w:val="00A1455B"/>
    <w:rsid w:val="00A146E7"/>
    <w:rsid w:val="00A14B79"/>
    <w:rsid w:val="00A14C03"/>
    <w:rsid w:val="00A14C6D"/>
    <w:rsid w:val="00A14EE8"/>
    <w:rsid w:val="00A14F27"/>
    <w:rsid w:val="00A14FA0"/>
    <w:rsid w:val="00A15172"/>
    <w:rsid w:val="00A15361"/>
    <w:rsid w:val="00A1538F"/>
    <w:rsid w:val="00A15391"/>
    <w:rsid w:val="00A15470"/>
    <w:rsid w:val="00A154CF"/>
    <w:rsid w:val="00A155F3"/>
    <w:rsid w:val="00A1598C"/>
    <w:rsid w:val="00A159EC"/>
    <w:rsid w:val="00A15CF9"/>
    <w:rsid w:val="00A15EC8"/>
    <w:rsid w:val="00A15F87"/>
    <w:rsid w:val="00A1622A"/>
    <w:rsid w:val="00A16409"/>
    <w:rsid w:val="00A166D7"/>
    <w:rsid w:val="00A1675F"/>
    <w:rsid w:val="00A16AAC"/>
    <w:rsid w:val="00A1718A"/>
    <w:rsid w:val="00A17218"/>
    <w:rsid w:val="00A172C7"/>
    <w:rsid w:val="00A17338"/>
    <w:rsid w:val="00A17D75"/>
    <w:rsid w:val="00A17F28"/>
    <w:rsid w:val="00A20236"/>
    <w:rsid w:val="00A2074A"/>
    <w:rsid w:val="00A207FC"/>
    <w:rsid w:val="00A20AD4"/>
    <w:rsid w:val="00A20CD1"/>
    <w:rsid w:val="00A20CD9"/>
    <w:rsid w:val="00A21357"/>
    <w:rsid w:val="00A213D4"/>
    <w:rsid w:val="00A2178A"/>
    <w:rsid w:val="00A218B7"/>
    <w:rsid w:val="00A219C4"/>
    <w:rsid w:val="00A21D9B"/>
    <w:rsid w:val="00A220CA"/>
    <w:rsid w:val="00A2252D"/>
    <w:rsid w:val="00A22941"/>
    <w:rsid w:val="00A22E04"/>
    <w:rsid w:val="00A22F46"/>
    <w:rsid w:val="00A237A6"/>
    <w:rsid w:val="00A237FB"/>
    <w:rsid w:val="00A23942"/>
    <w:rsid w:val="00A23BA6"/>
    <w:rsid w:val="00A23E8E"/>
    <w:rsid w:val="00A23F18"/>
    <w:rsid w:val="00A23F77"/>
    <w:rsid w:val="00A240F0"/>
    <w:rsid w:val="00A2416B"/>
    <w:rsid w:val="00A24204"/>
    <w:rsid w:val="00A242AF"/>
    <w:rsid w:val="00A2432D"/>
    <w:rsid w:val="00A244FE"/>
    <w:rsid w:val="00A246D1"/>
    <w:rsid w:val="00A2476C"/>
    <w:rsid w:val="00A247C3"/>
    <w:rsid w:val="00A249D2"/>
    <w:rsid w:val="00A24AED"/>
    <w:rsid w:val="00A24C89"/>
    <w:rsid w:val="00A24EA4"/>
    <w:rsid w:val="00A251C3"/>
    <w:rsid w:val="00A257E4"/>
    <w:rsid w:val="00A25E41"/>
    <w:rsid w:val="00A25ED3"/>
    <w:rsid w:val="00A2625F"/>
    <w:rsid w:val="00A262F1"/>
    <w:rsid w:val="00A2650F"/>
    <w:rsid w:val="00A2668F"/>
    <w:rsid w:val="00A2681B"/>
    <w:rsid w:val="00A26AA6"/>
    <w:rsid w:val="00A26B43"/>
    <w:rsid w:val="00A26FC6"/>
    <w:rsid w:val="00A2704B"/>
    <w:rsid w:val="00A271B1"/>
    <w:rsid w:val="00A27415"/>
    <w:rsid w:val="00A274E9"/>
    <w:rsid w:val="00A27544"/>
    <w:rsid w:val="00A275A9"/>
    <w:rsid w:val="00A2775C"/>
    <w:rsid w:val="00A27B4A"/>
    <w:rsid w:val="00A27C08"/>
    <w:rsid w:val="00A301B9"/>
    <w:rsid w:val="00A3063D"/>
    <w:rsid w:val="00A307FA"/>
    <w:rsid w:val="00A30AF2"/>
    <w:rsid w:val="00A30B89"/>
    <w:rsid w:val="00A30CC8"/>
    <w:rsid w:val="00A310D5"/>
    <w:rsid w:val="00A313E6"/>
    <w:rsid w:val="00A31534"/>
    <w:rsid w:val="00A3155C"/>
    <w:rsid w:val="00A31701"/>
    <w:rsid w:val="00A31A68"/>
    <w:rsid w:val="00A31C6C"/>
    <w:rsid w:val="00A31D27"/>
    <w:rsid w:val="00A31FAC"/>
    <w:rsid w:val="00A32013"/>
    <w:rsid w:val="00A32019"/>
    <w:rsid w:val="00A324F4"/>
    <w:rsid w:val="00A325B4"/>
    <w:rsid w:val="00A32827"/>
    <w:rsid w:val="00A3285B"/>
    <w:rsid w:val="00A328F8"/>
    <w:rsid w:val="00A32922"/>
    <w:rsid w:val="00A32A7F"/>
    <w:rsid w:val="00A32C92"/>
    <w:rsid w:val="00A32ED0"/>
    <w:rsid w:val="00A33149"/>
    <w:rsid w:val="00A332F7"/>
    <w:rsid w:val="00A336D9"/>
    <w:rsid w:val="00A33B6A"/>
    <w:rsid w:val="00A33CAD"/>
    <w:rsid w:val="00A33F5C"/>
    <w:rsid w:val="00A344F7"/>
    <w:rsid w:val="00A34621"/>
    <w:rsid w:val="00A3466A"/>
    <w:rsid w:val="00A346EF"/>
    <w:rsid w:val="00A34C8F"/>
    <w:rsid w:val="00A34D44"/>
    <w:rsid w:val="00A34F48"/>
    <w:rsid w:val="00A352BC"/>
    <w:rsid w:val="00A35843"/>
    <w:rsid w:val="00A35884"/>
    <w:rsid w:val="00A35C45"/>
    <w:rsid w:val="00A35F36"/>
    <w:rsid w:val="00A364F2"/>
    <w:rsid w:val="00A36729"/>
    <w:rsid w:val="00A36962"/>
    <w:rsid w:val="00A36B9F"/>
    <w:rsid w:val="00A36D0F"/>
    <w:rsid w:val="00A36EA2"/>
    <w:rsid w:val="00A371A1"/>
    <w:rsid w:val="00A376EA"/>
    <w:rsid w:val="00A378E7"/>
    <w:rsid w:val="00A37920"/>
    <w:rsid w:val="00A37BAE"/>
    <w:rsid w:val="00A4057B"/>
    <w:rsid w:val="00A40679"/>
    <w:rsid w:val="00A40746"/>
    <w:rsid w:val="00A407FA"/>
    <w:rsid w:val="00A4084C"/>
    <w:rsid w:val="00A40DD0"/>
    <w:rsid w:val="00A40DD2"/>
    <w:rsid w:val="00A40EA5"/>
    <w:rsid w:val="00A41091"/>
    <w:rsid w:val="00A41605"/>
    <w:rsid w:val="00A41691"/>
    <w:rsid w:val="00A41A21"/>
    <w:rsid w:val="00A41BE4"/>
    <w:rsid w:val="00A41D9F"/>
    <w:rsid w:val="00A41F36"/>
    <w:rsid w:val="00A41F84"/>
    <w:rsid w:val="00A42020"/>
    <w:rsid w:val="00A420D5"/>
    <w:rsid w:val="00A420D9"/>
    <w:rsid w:val="00A42146"/>
    <w:rsid w:val="00A421EB"/>
    <w:rsid w:val="00A42327"/>
    <w:rsid w:val="00A42498"/>
    <w:rsid w:val="00A42950"/>
    <w:rsid w:val="00A429C8"/>
    <w:rsid w:val="00A42AC6"/>
    <w:rsid w:val="00A42D8E"/>
    <w:rsid w:val="00A42F36"/>
    <w:rsid w:val="00A42F67"/>
    <w:rsid w:val="00A431DD"/>
    <w:rsid w:val="00A434CB"/>
    <w:rsid w:val="00A43727"/>
    <w:rsid w:val="00A43B43"/>
    <w:rsid w:val="00A43D8A"/>
    <w:rsid w:val="00A443AE"/>
    <w:rsid w:val="00A444F3"/>
    <w:rsid w:val="00A446B4"/>
    <w:rsid w:val="00A44A17"/>
    <w:rsid w:val="00A44E53"/>
    <w:rsid w:val="00A44F92"/>
    <w:rsid w:val="00A44FB7"/>
    <w:rsid w:val="00A45273"/>
    <w:rsid w:val="00A452C5"/>
    <w:rsid w:val="00A45327"/>
    <w:rsid w:val="00A453A0"/>
    <w:rsid w:val="00A45780"/>
    <w:rsid w:val="00A458A7"/>
    <w:rsid w:val="00A45960"/>
    <w:rsid w:val="00A45ECE"/>
    <w:rsid w:val="00A46000"/>
    <w:rsid w:val="00A46130"/>
    <w:rsid w:val="00A463F6"/>
    <w:rsid w:val="00A464D5"/>
    <w:rsid w:val="00A46573"/>
    <w:rsid w:val="00A46989"/>
    <w:rsid w:val="00A46C16"/>
    <w:rsid w:val="00A4769A"/>
    <w:rsid w:val="00A47B47"/>
    <w:rsid w:val="00A47BDF"/>
    <w:rsid w:val="00A47DCF"/>
    <w:rsid w:val="00A47E40"/>
    <w:rsid w:val="00A47ED0"/>
    <w:rsid w:val="00A50502"/>
    <w:rsid w:val="00A507A4"/>
    <w:rsid w:val="00A509BD"/>
    <w:rsid w:val="00A50BE9"/>
    <w:rsid w:val="00A50CC8"/>
    <w:rsid w:val="00A50D2B"/>
    <w:rsid w:val="00A50F56"/>
    <w:rsid w:val="00A50F71"/>
    <w:rsid w:val="00A51023"/>
    <w:rsid w:val="00A5108B"/>
    <w:rsid w:val="00A51112"/>
    <w:rsid w:val="00A51186"/>
    <w:rsid w:val="00A51292"/>
    <w:rsid w:val="00A5179C"/>
    <w:rsid w:val="00A51880"/>
    <w:rsid w:val="00A51B1D"/>
    <w:rsid w:val="00A51EC3"/>
    <w:rsid w:val="00A51FA1"/>
    <w:rsid w:val="00A52357"/>
    <w:rsid w:val="00A52684"/>
    <w:rsid w:val="00A527FB"/>
    <w:rsid w:val="00A52AEE"/>
    <w:rsid w:val="00A530E0"/>
    <w:rsid w:val="00A53326"/>
    <w:rsid w:val="00A53602"/>
    <w:rsid w:val="00A537A1"/>
    <w:rsid w:val="00A53BC7"/>
    <w:rsid w:val="00A53BEC"/>
    <w:rsid w:val="00A53D0E"/>
    <w:rsid w:val="00A53D6C"/>
    <w:rsid w:val="00A53DA2"/>
    <w:rsid w:val="00A54256"/>
    <w:rsid w:val="00A54554"/>
    <w:rsid w:val="00A5490C"/>
    <w:rsid w:val="00A54AF3"/>
    <w:rsid w:val="00A54C79"/>
    <w:rsid w:val="00A54CD5"/>
    <w:rsid w:val="00A54FED"/>
    <w:rsid w:val="00A5517E"/>
    <w:rsid w:val="00A5522C"/>
    <w:rsid w:val="00A553A2"/>
    <w:rsid w:val="00A55473"/>
    <w:rsid w:val="00A554E6"/>
    <w:rsid w:val="00A55759"/>
    <w:rsid w:val="00A559D2"/>
    <w:rsid w:val="00A55B65"/>
    <w:rsid w:val="00A55B77"/>
    <w:rsid w:val="00A55BBF"/>
    <w:rsid w:val="00A5605B"/>
    <w:rsid w:val="00A560E1"/>
    <w:rsid w:val="00A56726"/>
    <w:rsid w:val="00A568CF"/>
    <w:rsid w:val="00A569A5"/>
    <w:rsid w:val="00A56BBE"/>
    <w:rsid w:val="00A56BFD"/>
    <w:rsid w:val="00A56D56"/>
    <w:rsid w:val="00A578F9"/>
    <w:rsid w:val="00A60052"/>
    <w:rsid w:val="00A600E1"/>
    <w:rsid w:val="00A6013A"/>
    <w:rsid w:val="00A601E9"/>
    <w:rsid w:val="00A602B3"/>
    <w:rsid w:val="00A6097C"/>
    <w:rsid w:val="00A61211"/>
    <w:rsid w:val="00A61582"/>
    <w:rsid w:val="00A6167B"/>
    <w:rsid w:val="00A616A2"/>
    <w:rsid w:val="00A61BF3"/>
    <w:rsid w:val="00A61E09"/>
    <w:rsid w:val="00A61F0A"/>
    <w:rsid w:val="00A61F7B"/>
    <w:rsid w:val="00A61F88"/>
    <w:rsid w:val="00A61FA9"/>
    <w:rsid w:val="00A622D0"/>
    <w:rsid w:val="00A62B88"/>
    <w:rsid w:val="00A62B95"/>
    <w:rsid w:val="00A62D52"/>
    <w:rsid w:val="00A62FFD"/>
    <w:rsid w:val="00A63146"/>
    <w:rsid w:val="00A6333C"/>
    <w:rsid w:val="00A6342C"/>
    <w:rsid w:val="00A63594"/>
    <w:rsid w:val="00A636F1"/>
    <w:rsid w:val="00A6383A"/>
    <w:rsid w:val="00A63C8D"/>
    <w:rsid w:val="00A63C94"/>
    <w:rsid w:val="00A6449D"/>
    <w:rsid w:val="00A644B9"/>
    <w:rsid w:val="00A647AB"/>
    <w:rsid w:val="00A64851"/>
    <w:rsid w:val="00A64951"/>
    <w:rsid w:val="00A64A75"/>
    <w:rsid w:val="00A64BDA"/>
    <w:rsid w:val="00A64C27"/>
    <w:rsid w:val="00A64EB4"/>
    <w:rsid w:val="00A64EDB"/>
    <w:rsid w:val="00A65091"/>
    <w:rsid w:val="00A6580F"/>
    <w:rsid w:val="00A65907"/>
    <w:rsid w:val="00A65C85"/>
    <w:rsid w:val="00A65E3F"/>
    <w:rsid w:val="00A65E9D"/>
    <w:rsid w:val="00A65FBB"/>
    <w:rsid w:val="00A66159"/>
    <w:rsid w:val="00A661CB"/>
    <w:rsid w:val="00A6661C"/>
    <w:rsid w:val="00A66687"/>
    <w:rsid w:val="00A67072"/>
    <w:rsid w:val="00A67121"/>
    <w:rsid w:val="00A6724B"/>
    <w:rsid w:val="00A673CA"/>
    <w:rsid w:val="00A67BEA"/>
    <w:rsid w:val="00A67DE7"/>
    <w:rsid w:val="00A67E6F"/>
    <w:rsid w:val="00A67EC4"/>
    <w:rsid w:val="00A7014A"/>
    <w:rsid w:val="00A707D6"/>
    <w:rsid w:val="00A70889"/>
    <w:rsid w:val="00A70CF0"/>
    <w:rsid w:val="00A7145D"/>
    <w:rsid w:val="00A71AE6"/>
    <w:rsid w:val="00A71BC1"/>
    <w:rsid w:val="00A722E2"/>
    <w:rsid w:val="00A7239F"/>
    <w:rsid w:val="00A7247C"/>
    <w:rsid w:val="00A72530"/>
    <w:rsid w:val="00A725AF"/>
    <w:rsid w:val="00A729BC"/>
    <w:rsid w:val="00A733CF"/>
    <w:rsid w:val="00A7342E"/>
    <w:rsid w:val="00A73CDF"/>
    <w:rsid w:val="00A73CEF"/>
    <w:rsid w:val="00A73FB3"/>
    <w:rsid w:val="00A7407E"/>
    <w:rsid w:val="00A74172"/>
    <w:rsid w:val="00A741DE"/>
    <w:rsid w:val="00A74254"/>
    <w:rsid w:val="00A74587"/>
    <w:rsid w:val="00A7461D"/>
    <w:rsid w:val="00A74947"/>
    <w:rsid w:val="00A74AB0"/>
    <w:rsid w:val="00A74AD1"/>
    <w:rsid w:val="00A74CBA"/>
    <w:rsid w:val="00A75211"/>
    <w:rsid w:val="00A75358"/>
    <w:rsid w:val="00A7553D"/>
    <w:rsid w:val="00A756B7"/>
    <w:rsid w:val="00A757CA"/>
    <w:rsid w:val="00A75DF5"/>
    <w:rsid w:val="00A75E4F"/>
    <w:rsid w:val="00A760A9"/>
    <w:rsid w:val="00A761B3"/>
    <w:rsid w:val="00A762C0"/>
    <w:rsid w:val="00A76334"/>
    <w:rsid w:val="00A7670F"/>
    <w:rsid w:val="00A76956"/>
    <w:rsid w:val="00A76D86"/>
    <w:rsid w:val="00A76FBA"/>
    <w:rsid w:val="00A77417"/>
    <w:rsid w:val="00A775FD"/>
    <w:rsid w:val="00A77794"/>
    <w:rsid w:val="00A77A0B"/>
    <w:rsid w:val="00A77A89"/>
    <w:rsid w:val="00A77E2A"/>
    <w:rsid w:val="00A77FD9"/>
    <w:rsid w:val="00A800EC"/>
    <w:rsid w:val="00A802FB"/>
    <w:rsid w:val="00A80511"/>
    <w:rsid w:val="00A8057B"/>
    <w:rsid w:val="00A806C4"/>
    <w:rsid w:val="00A80AAC"/>
    <w:rsid w:val="00A80CFA"/>
    <w:rsid w:val="00A81380"/>
    <w:rsid w:val="00A81614"/>
    <w:rsid w:val="00A816ED"/>
    <w:rsid w:val="00A81DB5"/>
    <w:rsid w:val="00A81DFC"/>
    <w:rsid w:val="00A81E67"/>
    <w:rsid w:val="00A81FCA"/>
    <w:rsid w:val="00A81FE5"/>
    <w:rsid w:val="00A8242D"/>
    <w:rsid w:val="00A8244C"/>
    <w:rsid w:val="00A8249D"/>
    <w:rsid w:val="00A827E9"/>
    <w:rsid w:val="00A828CD"/>
    <w:rsid w:val="00A829C2"/>
    <w:rsid w:val="00A82D54"/>
    <w:rsid w:val="00A83000"/>
    <w:rsid w:val="00A83550"/>
    <w:rsid w:val="00A83731"/>
    <w:rsid w:val="00A83796"/>
    <w:rsid w:val="00A83859"/>
    <w:rsid w:val="00A83E54"/>
    <w:rsid w:val="00A83F0E"/>
    <w:rsid w:val="00A83F8C"/>
    <w:rsid w:val="00A8411E"/>
    <w:rsid w:val="00A84489"/>
    <w:rsid w:val="00A84679"/>
    <w:rsid w:val="00A8469E"/>
    <w:rsid w:val="00A847BF"/>
    <w:rsid w:val="00A8499A"/>
    <w:rsid w:val="00A84C66"/>
    <w:rsid w:val="00A84E41"/>
    <w:rsid w:val="00A853B8"/>
    <w:rsid w:val="00A85401"/>
    <w:rsid w:val="00A854BC"/>
    <w:rsid w:val="00A85774"/>
    <w:rsid w:val="00A85A5A"/>
    <w:rsid w:val="00A85BCA"/>
    <w:rsid w:val="00A85E9C"/>
    <w:rsid w:val="00A8609D"/>
    <w:rsid w:val="00A864E3"/>
    <w:rsid w:val="00A86520"/>
    <w:rsid w:val="00A86784"/>
    <w:rsid w:val="00A867FB"/>
    <w:rsid w:val="00A867FC"/>
    <w:rsid w:val="00A86C40"/>
    <w:rsid w:val="00A86C65"/>
    <w:rsid w:val="00A86E58"/>
    <w:rsid w:val="00A872AF"/>
    <w:rsid w:val="00A872EA"/>
    <w:rsid w:val="00A87482"/>
    <w:rsid w:val="00A87969"/>
    <w:rsid w:val="00A87CFF"/>
    <w:rsid w:val="00A87F10"/>
    <w:rsid w:val="00A9036D"/>
    <w:rsid w:val="00A9066F"/>
    <w:rsid w:val="00A906C1"/>
    <w:rsid w:val="00A909DD"/>
    <w:rsid w:val="00A90C0D"/>
    <w:rsid w:val="00A90CF0"/>
    <w:rsid w:val="00A90CFD"/>
    <w:rsid w:val="00A9100A"/>
    <w:rsid w:val="00A91075"/>
    <w:rsid w:val="00A91197"/>
    <w:rsid w:val="00A91284"/>
    <w:rsid w:val="00A912F7"/>
    <w:rsid w:val="00A916FD"/>
    <w:rsid w:val="00A9177A"/>
    <w:rsid w:val="00A91874"/>
    <w:rsid w:val="00A9196A"/>
    <w:rsid w:val="00A919A2"/>
    <w:rsid w:val="00A919BB"/>
    <w:rsid w:val="00A91B91"/>
    <w:rsid w:val="00A91BE1"/>
    <w:rsid w:val="00A91C91"/>
    <w:rsid w:val="00A91D27"/>
    <w:rsid w:val="00A92073"/>
    <w:rsid w:val="00A9264C"/>
    <w:rsid w:val="00A92735"/>
    <w:rsid w:val="00A92769"/>
    <w:rsid w:val="00A92D1E"/>
    <w:rsid w:val="00A92D9C"/>
    <w:rsid w:val="00A92F2C"/>
    <w:rsid w:val="00A92FE5"/>
    <w:rsid w:val="00A931BF"/>
    <w:rsid w:val="00A9361A"/>
    <w:rsid w:val="00A938DA"/>
    <w:rsid w:val="00A938FD"/>
    <w:rsid w:val="00A94161"/>
    <w:rsid w:val="00A94477"/>
    <w:rsid w:val="00A946B5"/>
    <w:rsid w:val="00A94894"/>
    <w:rsid w:val="00A948A2"/>
    <w:rsid w:val="00A949EB"/>
    <w:rsid w:val="00A94AC6"/>
    <w:rsid w:val="00A94CAB"/>
    <w:rsid w:val="00A94D47"/>
    <w:rsid w:val="00A950CA"/>
    <w:rsid w:val="00A951FD"/>
    <w:rsid w:val="00A95227"/>
    <w:rsid w:val="00A95858"/>
    <w:rsid w:val="00A958B0"/>
    <w:rsid w:val="00A95950"/>
    <w:rsid w:val="00A95AE1"/>
    <w:rsid w:val="00A95B1F"/>
    <w:rsid w:val="00A95CE6"/>
    <w:rsid w:val="00A95E29"/>
    <w:rsid w:val="00A95FC2"/>
    <w:rsid w:val="00A96022"/>
    <w:rsid w:val="00A960AE"/>
    <w:rsid w:val="00A9662C"/>
    <w:rsid w:val="00A96645"/>
    <w:rsid w:val="00A966C0"/>
    <w:rsid w:val="00A967C4"/>
    <w:rsid w:val="00A9681D"/>
    <w:rsid w:val="00A968B6"/>
    <w:rsid w:val="00A96980"/>
    <w:rsid w:val="00A969AE"/>
    <w:rsid w:val="00A96E91"/>
    <w:rsid w:val="00A97B7F"/>
    <w:rsid w:val="00A97C77"/>
    <w:rsid w:val="00A97F21"/>
    <w:rsid w:val="00AA021E"/>
    <w:rsid w:val="00AA073D"/>
    <w:rsid w:val="00AA0AC9"/>
    <w:rsid w:val="00AA0AF8"/>
    <w:rsid w:val="00AA0B79"/>
    <w:rsid w:val="00AA0D3A"/>
    <w:rsid w:val="00AA0EDC"/>
    <w:rsid w:val="00AA1013"/>
    <w:rsid w:val="00AA143E"/>
    <w:rsid w:val="00AA15DE"/>
    <w:rsid w:val="00AA1A38"/>
    <w:rsid w:val="00AA1A90"/>
    <w:rsid w:val="00AA1C0E"/>
    <w:rsid w:val="00AA1E96"/>
    <w:rsid w:val="00AA204A"/>
    <w:rsid w:val="00AA22A9"/>
    <w:rsid w:val="00AA23FD"/>
    <w:rsid w:val="00AA24F4"/>
    <w:rsid w:val="00AA276A"/>
    <w:rsid w:val="00AA278C"/>
    <w:rsid w:val="00AA27EF"/>
    <w:rsid w:val="00AA29A4"/>
    <w:rsid w:val="00AA2B45"/>
    <w:rsid w:val="00AA2E21"/>
    <w:rsid w:val="00AA3071"/>
    <w:rsid w:val="00AA311E"/>
    <w:rsid w:val="00AA3293"/>
    <w:rsid w:val="00AA3322"/>
    <w:rsid w:val="00AA34EF"/>
    <w:rsid w:val="00AA3591"/>
    <w:rsid w:val="00AA3627"/>
    <w:rsid w:val="00AA387D"/>
    <w:rsid w:val="00AA3BF6"/>
    <w:rsid w:val="00AA4027"/>
    <w:rsid w:val="00AA412E"/>
    <w:rsid w:val="00AA41C2"/>
    <w:rsid w:val="00AA42AA"/>
    <w:rsid w:val="00AA4496"/>
    <w:rsid w:val="00AA4C85"/>
    <w:rsid w:val="00AA4D05"/>
    <w:rsid w:val="00AA4FA8"/>
    <w:rsid w:val="00AA4FBA"/>
    <w:rsid w:val="00AA5460"/>
    <w:rsid w:val="00AA599A"/>
    <w:rsid w:val="00AA59CE"/>
    <w:rsid w:val="00AA5AD7"/>
    <w:rsid w:val="00AA5C58"/>
    <w:rsid w:val="00AA5FBD"/>
    <w:rsid w:val="00AA60CE"/>
    <w:rsid w:val="00AA625E"/>
    <w:rsid w:val="00AA640F"/>
    <w:rsid w:val="00AA64D8"/>
    <w:rsid w:val="00AA6551"/>
    <w:rsid w:val="00AA6AE3"/>
    <w:rsid w:val="00AA6B04"/>
    <w:rsid w:val="00AA6E3E"/>
    <w:rsid w:val="00AA6E52"/>
    <w:rsid w:val="00AA722B"/>
    <w:rsid w:val="00AA7691"/>
    <w:rsid w:val="00AA7697"/>
    <w:rsid w:val="00AA76D5"/>
    <w:rsid w:val="00AA7A09"/>
    <w:rsid w:val="00AA7A27"/>
    <w:rsid w:val="00AA7B73"/>
    <w:rsid w:val="00AA7F70"/>
    <w:rsid w:val="00AB001E"/>
    <w:rsid w:val="00AB070A"/>
    <w:rsid w:val="00AB0BEF"/>
    <w:rsid w:val="00AB0E0C"/>
    <w:rsid w:val="00AB102B"/>
    <w:rsid w:val="00AB10F6"/>
    <w:rsid w:val="00AB18AB"/>
    <w:rsid w:val="00AB18E1"/>
    <w:rsid w:val="00AB19F0"/>
    <w:rsid w:val="00AB1C14"/>
    <w:rsid w:val="00AB1D8B"/>
    <w:rsid w:val="00AB1E17"/>
    <w:rsid w:val="00AB1E21"/>
    <w:rsid w:val="00AB1F2F"/>
    <w:rsid w:val="00AB1FBD"/>
    <w:rsid w:val="00AB213C"/>
    <w:rsid w:val="00AB22D2"/>
    <w:rsid w:val="00AB232A"/>
    <w:rsid w:val="00AB2343"/>
    <w:rsid w:val="00AB23E7"/>
    <w:rsid w:val="00AB2405"/>
    <w:rsid w:val="00AB25A2"/>
    <w:rsid w:val="00AB2930"/>
    <w:rsid w:val="00AB2D87"/>
    <w:rsid w:val="00AB31D4"/>
    <w:rsid w:val="00AB32D2"/>
    <w:rsid w:val="00AB35CD"/>
    <w:rsid w:val="00AB36E9"/>
    <w:rsid w:val="00AB41DF"/>
    <w:rsid w:val="00AB41F2"/>
    <w:rsid w:val="00AB42E4"/>
    <w:rsid w:val="00AB437C"/>
    <w:rsid w:val="00AB45A1"/>
    <w:rsid w:val="00AB465E"/>
    <w:rsid w:val="00AB4669"/>
    <w:rsid w:val="00AB4AD3"/>
    <w:rsid w:val="00AB4B8A"/>
    <w:rsid w:val="00AB5098"/>
    <w:rsid w:val="00AB525A"/>
    <w:rsid w:val="00AB53D9"/>
    <w:rsid w:val="00AB54D4"/>
    <w:rsid w:val="00AB5517"/>
    <w:rsid w:val="00AB560B"/>
    <w:rsid w:val="00AB58F9"/>
    <w:rsid w:val="00AB5A15"/>
    <w:rsid w:val="00AB5E51"/>
    <w:rsid w:val="00AB5EE8"/>
    <w:rsid w:val="00AB60D3"/>
    <w:rsid w:val="00AB61AD"/>
    <w:rsid w:val="00AB687C"/>
    <w:rsid w:val="00AB6894"/>
    <w:rsid w:val="00AB6998"/>
    <w:rsid w:val="00AB6A03"/>
    <w:rsid w:val="00AB6C38"/>
    <w:rsid w:val="00AB6CAC"/>
    <w:rsid w:val="00AB6D33"/>
    <w:rsid w:val="00AB6D88"/>
    <w:rsid w:val="00AB6F07"/>
    <w:rsid w:val="00AB6F9F"/>
    <w:rsid w:val="00AB731E"/>
    <w:rsid w:val="00AB7504"/>
    <w:rsid w:val="00AB78EE"/>
    <w:rsid w:val="00AB7A1A"/>
    <w:rsid w:val="00AB7A99"/>
    <w:rsid w:val="00AB7B2C"/>
    <w:rsid w:val="00AB7DFE"/>
    <w:rsid w:val="00AB7F09"/>
    <w:rsid w:val="00ABB2A3"/>
    <w:rsid w:val="00AC00D8"/>
    <w:rsid w:val="00AC0264"/>
    <w:rsid w:val="00AC0720"/>
    <w:rsid w:val="00AC07D6"/>
    <w:rsid w:val="00AC0827"/>
    <w:rsid w:val="00AC0849"/>
    <w:rsid w:val="00AC0B89"/>
    <w:rsid w:val="00AC13ED"/>
    <w:rsid w:val="00AC1AA6"/>
    <w:rsid w:val="00AC1D90"/>
    <w:rsid w:val="00AC1D99"/>
    <w:rsid w:val="00AC1E44"/>
    <w:rsid w:val="00AC1E66"/>
    <w:rsid w:val="00AC2339"/>
    <w:rsid w:val="00AC2373"/>
    <w:rsid w:val="00AC27B5"/>
    <w:rsid w:val="00AC2835"/>
    <w:rsid w:val="00AC2AF5"/>
    <w:rsid w:val="00AC2BE1"/>
    <w:rsid w:val="00AC3012"/>
    <w:rsid w:val="00AC3108"/>
    <w:rsid w:val="00AC3226"/>
    <w:rsid w:val="00AC3470"/>
    <w:rsid w:val="00AC354F"/>
    <w:rsid w:val="00AC37C9"/>
    <w:rsid w:val="00AC3885"/>
    <w:rsid w:val="00AC3CEC"/>
    <w:rsid w:val="00AC3E3D"/>
    <w:rsid w:val="00AC4030"/>
    <w:rsid w:val="00AC40D7"/>
    <w:rsid w:val="00AC4589"/>
    <w:rsid w:val="00AC47CA"/>
    <w:rsid w:val="00AC48E4"/>
    <w:rsid w:val="00AC4EE0"/>
    <w:rsid w:val="00AC53AE"/>
    <w:rsid w:val="00AC5519"/>
    <w:rsid w:val="00AC56E5"/>
    <w:rsid w:val="00AC5C84"/>
    <w:rsid w:val="00AC5E7F"/>
    <w:rsid w:val="00AC5ED5"/>
    <w:rsid w:val="00AC5F36"/>
    <w:rsid w:val="00AC62B7"/>
    <w:rsid w:val="00AC6911"/>
    <w:rsid w:val="00AC701D"/>
    <w:rsid w:val="00AC72AA"/>
    <w:rsid w:val="00AC7526"/>
    <w:rsid w:val="00AC78C8"/>
    <w:rsid w:val="00AC79F8"/>
    <w:rsid w:val="00AC7B4C"/>
    <w:rsid w:val="00AC7B9F"/>
    <w:rsid w:val="00AC7E45"/>
    <w:rsid w:val="00AD0058"/>
    <w:rsid w:val="00AD00AA"/>
    <w:rsid w:val="00AD00D1"/>
    <w:rsid w:val="00AD0138"/>
    <w:rsid w:val="00AD02FE"/>
    <w:rsid w:val="00AD035D"/>
    <w:rsid w:val="00AD08BE"/>
    <w:rsid w:val="00AD092D"/>
    <w:rsid w:val="00AD09BC"/>
    <w:rsid w:val="00AD0EB3"/>
    <w:rsid w:val="00AD0F67"/>
    <w:rsid w:val="00AD1098"/>
    <w:rsid w:val="00AD17B6"/>
    <w:rsid w:val="00AD1AA9"/>
    <w:rsid w:val="00AD1AF1"/>
    <w:rsid w:val="00AD2109"/>
    <w:rsid w:val="00AD249D"/>
    <w:rsid w:val="00AD2650"/>
    <w:rsid w:val="00AD269A"/>
    <w:rsid w:val="00AD2C21"/>
    <w:rsid w:val="00AD2F6B"/>
    <w:rsid w:val="00AD3305"/>
    <w:rsid w:val="00AD394B"/>
    <w:rsid w:val="00AD3A88"/>
    <w:rsid w:val="00AD3CCC"/>
    <w:rsid w:val="00AD3CFA"/>
    <w:rsid w:val="00AD402C"/>
    <w:rsid w:val="00AD40E9"/>
    <w:rsid w:val="00AD4170"/>
    <w:rsid w:val="00AD41D2"/>
    <w:rsid w:val="00AD4856"/>
    <w:rsid w:val="00AD48CF"/>
    <w:rsid w:val="00AD4BB0"/>
    <w:rsid w:val="00AD4D5B"/>
    <w:rsid w:val="00AD4D73"/>
    <w:rsid w:val="00AD4DCD"/>
    <w:rsid w:val="00AD4F7B"/>
    <w:rsid w:val="00AD4F9E"/>
    <w:rsid w:val="00AD50CF"/>
    <w:rsid w:val="00AD535A"/>
    <w:rsid w:val="00AD5945"/>
    <w:rsid w:val="00AD596E"/>
    <w:rsid w:val="00AD5A93"/>
    <w:rsid w:val="00AD5B02"/>
    <w:rsid w:val="00AD5B0C"/>
    <w:rsid w:val="00AD5EA8"/>
    <w:rsid w:val="00AD5F2C"/>
    <w:rsid w:val="00AD5F6B"/>
    <w:rsid w:val="00AD626D"/>
    <w:rsid w:val="00AD6368"/>
    <w:rsid w:val="00AD661E"/>
    <w:rsid w:val="00AD6675"/>
    <w:rsid w:val="00AD66F9"/>
    <w:rsid w:val="00AD719B"/>
    <w:rsid w:val="00AD7282"/>
    <w:rsid w:val="00AD73C0"/>
    <w:rsid w:val="00AD75F4"/>
    <w:rsid w:val="00AD7693"/>
    <w:rsid w:val="00AD77A0"/>
    <w:rsid w:val="00AD780F"/>
    <w:rsid w:val="00AD7971"/>
    <w:rsid w:val="00AD7B65"/>
    <w:rsid w:val="00AD7E99"/>
    <w:rsid w:val="00AE03D4"/>
    <w:rsid w:val="00AE0459"/>
    <w:rsid w:val="00AE0868"/>
    <w:rsid w:val="00AE08F5"/>
    <w:rsid w:val="00AE0B64"/>
    <w:rsid w:val="00AE0D1A"/>
    <w:rsid w:val="00AE0D54"/>
    <w:rsid w:val="00AE0DDC"/>
    <w:rsid w:val="00AE1214"/>
    <w:rsid w:val="00AE13DB"/>
    <w:rsid w:val="00AE1649"/>
    <w:rsid w:val="00AE171E"/>
    <w:rsid w:val="00AE1818"/>
    <w:rsid w:val="00AE1868"/>
    <w:rsid w:val="00AE1D07"/>
    <w:rsid w:val="00AE20FD"/>
    <w:rsid w:val="00AE25A3"/>
    <w:rsid w:val="00AE25E0"/>
    <w:rsid w:val="00AE2653"/>
    <w:rsid w:val="00AE2907"/>
    <w:rsid w:val="00AE350B"/>
    <w:rsid w:val="00AE3B00"/>
    <w:rsid w:val="00AE3C19"/>
    <w:rsid w:val="00AE3EA6"/>
    <w:rsid w:val="00AE3FA1"/>
    <w:rsid w:val="00AE3FFF"/>
    <w:rsid w:val="00AE4125"/>
    <w:rsid w:val="00AE4221"/>
    <w:rsid w:val="00AE42A5"/>
    <w:rsid w:val="00AE466F"/>
    <w:rsid w:val="00AE47E5"/>
    <w:rsid w:val="00AE4883"/>
    <w:rsid w:val="00AE4996"/>
    <w:rsid w:val="00AE4EB2"/>
    <w:rsid w:val="00AE50E5"/>
    <w:rsid w:val="00AE5288"/>
    <w:rsid w:val="00AE546D"/>
    <w:rsid w:val="00AE54EB"/>
    <w:rsid w:val="00AE5954"/>
    <w:rsid w:val="00AE5979"/>
    <w:rsid w:val="00AE5E21"/>
    <w:rsid w:val="00AE5EAF"/>
    <w:rsid w:val="00AE5F28"/>
    <w:rsid w:val="00AE5F9B"/>
    <w:rsid w:val="00AE6254"/>
    <w:rsid w:val="00AE68BB"/>
    <w:rsid w:val="00AE6B70"/>
    <w:rsid w:val="00AE6BB9"/>
    <w:rsid w:val="00AE6EBE"/>
    <w:rsid w:val="00AE6EF0"/>
    <w:rsid w:val="00AE718C"/>
    <w:rsid w:val="00AE76B3"/>
    <w:rsid w:val="00AE76DB"/>
    <w:rsid w:val="00AE7737"/>
    <w:rsid w:val="00AF017D"/>
    <w:rsid w:val="00AF01C0"/>
    <w:rsid w:val="00AF0212"/>
    <w:rsid w:val="00AF024E"/>
    <w:rsid w:val="00AF0391"/>
    <w:rsid w:val="00AF05DE"/>
    <w:rsid w:val="00AF05F6"/>
    <w:rsid w:val="00AF072E"/>
    <w:rsid w:val="00AF09F1"/>
    <w:rsid w:val="00AF0D28"/>
    <w:rsid w:val="00AF0F57"/>
    <w:rsid w:val="00AF0FCC"/>
    <w:rsid w:val="00AF1008"/>
    <w:rsid w:val="00AF13C2"/>
    <w:rsid w:val="00AF1A05"/>
    <w:rsid w:val="00AF1A42"/>
    <w:rsid w:val="00AF1BE2"/>
    <w:rsid w:val="00AF1CEF"/>
    <w:rsid w:val="00AF1E0D"/>
    <w:rsid w:val="00AF1F1E"/>
    <w:rsid w:val="00AF1FAB"/>
    <w:rsid w:val="00AF24A3"/>
    <w:rsid w:val="00AF252F"/>
    <w:rsid w:val="00AF25AE"/>
    <w:rsid w:val="00AF2953"/>
    <w:rsid w:val="00AF2A76"/>
    <w:rsid w:val="00AF2B89"/>
    <w:rsid w:val="00AF2B9A"/>
    <w:rsid w:val="00AF327F"/>
    <w:rsid w:val="00AF371D"/>
    <w:rsid w:val="00AF40C0"/>
    <w:rsid w:val="00AF4294"/>
    <w:rsid w:val="00AF42C9"/>
    <w:rsid w:val="00AF42E3"/>
    <w:rsid w:val="00AF45DB"/>
    <w:rsid w:val="00AF4626"/>
    <w:rsid w:val="00AF46BA"/>
    <w:rsid w:val="00AF4816"/>
    <w:rsid w:val="00AF494A"/>
    <w:rsid w:val="00AF4A57"/>
    <w:rsid w:val="00AF4CC1"/>
    <w:rsid w:val="00AF5108"/>
    <w:rsid w:val="00AF5FF4"/>
    <w:rsid w:val="00AF6012"/>
    <w:rsid w:val="00AF64EC"/>
    <w:rsid w:val="00AF66DD"/>
    <w:rsid w:val="00AF6800"/>
    <w:rsid w:val="00AF6879"/>
    <w:rsid w:val="00AF6A99"/>
    <w:rsid w:val="00AF6C9F"/>
    <w:rsid w:val="00AF6E21"/>
    <w:rsid w:val="00AF70D0"/>
    <w:rsid w:val="00AF79CF"/>
    <w:rsid w:val="00AF7ACE"/>
    <w:rsid w:val="00AF7B3E"/>
    <w:rsid w:val="00AF7CB1"/>
    <w:rsid w:val="00B0011A"/>
    <w:rsid w:val="00B00479"/>
    <w:rsid w:val="00B004F5"/>
    <w:rsid w:val="00B005C8"/>
    <w:rsid w:val="00B00828"/>
    <w:rsid w:val="00B00931"/>
    <w:rsid w:val="00B0098F"/>
    <w:rsid w:val="00B00F04"/>
    <w:rsid w:val="00B013FF"/>
    <w:rsid w:val="00B01B72"/>
    <w:rsid w:val="00B01BD7"/>
    <w:rsid w:val="00B01DB5"/>
    <w:rsid w:val="00B01E0B"/>
    <w:rsid w:val="00B022C5"/>
    <w:rsid w:val="00B023C0"/>
    <w:rsid w:val="00B02891"/>
    <w:rsid w:val="00B02896"/>
    <w:rsid w:val="00B02AEE"/>
    <w:rsid w:val="00B02BC2"/>
    <w:rsid w:val="00B032DE"/>
    <w:rsid w:val="00B03334"/>
    <w:rsid w:val="00B033F5"/>
    <w:rsid w:val="00B035FF"/>
    <w:rsid w:val="00B0369C"/>
    <w:rsid w:val="00B03822"/>
    <w:rsid w:val="00B03891"/>
    <w:rsid w:val="00B03D32"/>
    <w:rsid w:val="00B03D66"/>
    <w:rsid w:val="00B03EF5"/>
    <w:rsid w:val="00B03F29"/>
    <w:rsid w:val="00B0425B"/>
    <w:rsid w:val="00B04354"/>
    <w:rsid w:val="00B047A3"/>
    <w:rsid w:val="00B04A07"/>
    <w:rsid w:val="00B04A21"/>
    <w:rsid w:val="00B04FB1"/>
    <w:rsid w:val="00B0507C"/>
    <w:rsid w:val="00B0509A"/>
    <w:rsid w:val="00B051FE"/>
    <w:rsid w:val="00B053A5"/>
    <w:rsid w:val="00B054EE"/>
    <w:rsid w:val="00B05813"/>
    <w:rsid w:val="00B059B3"/>
    <w:rsid w:val="00B063DD"/>
    <w:rsid w:val="00B06566"/>
    <w:rsid w:val="00B065FA"/>
    <w:rsid w:val="00B0698E"/>
    <w:rsid w:val="00B06D2A"/>
    <w:rsid w:val="00B06DE5"/>
    <w:rsid w:val="00B074B1"/>
    <w:rsid w:val="00B07B82"/>
    <w:rsid w:val="00B10251"/>
    <w:rsid w:val="00B10285"/>
    <w:rsid w:val="00B1040A"/>
    <w:rsid w:val="00B10834"/>
    <w:rsid w:val="00B10CF2"/>
    <w:rsid w:val="00B10D62"/>
    <w:rsid w:val="00B10DAB"/>
    <w:rsid w:val="00B10E72"/>
    <w:rsid w:val="00B10F38"/>
    <w:rsid w:val="00B10F4D"/>
    <w:rsid w:val="00B1139B"/>
    <w:rsid w:val="00B11549"/>
    <w:rsid w:val="00B1155A"/>
    <w:rsid w:val="00B115C5"/>
    <w:rsid w:val="00B11BEA"/>
    <w:rsid w:val="00B11D28"/>
    <w:rsid w:val="00B11EB8"/>
    <w:rsid w:val="00B120A2"/>
    <w:rsid w:val="00B12185"/>
    <w:rsid w:val="00B12477"/>
    <w:rsid w:val="00B126F4"/>
    <w:rsid w:val="00B1275E"/>
    <w:rsid w:val="00B127C2"/>
    <w:rsid w:val="00B1288A"/>
    <w:rsid w:val="00B12E7F"/>
    <w:rsid w:val="00B12FA9"/>
    <w:rsid w:val="00B13011"/>
    <w:rsid w:val="00B13192"/>
    <w:rsid w:val="00B13485"/>
    <w:rsid w:val="00B137DE"/>
    <w:rsid w:val="00B138BC"/>
    <w:rsid w:val="00B139D7"/>
    <w:rsid w:val="00B13A09"/>
    <w:rsid w:val="00B13A4E"/>
    <w:rsid w:val="00B13CD0"/>
    <w:rsid w:val="00B13CF9"/>
    <w:rsid w:val="00B13F67"/>
    <w:rsid w:val="00B147C0"/>
    <w:rsid w:val="00B14D13"/>
    <w:rsid w:val="00B14DF3"/>
    <w:rsid w:val="00B14F31"/>
    <w:rsid w:val="00B155D2"/>
    <w:rsid w:val="00B15644"/>
    <w:rsid w:val="00B15A24"/>
    <w:rsid w:val="00B15B14"/>
    <w:rsid w:val="00B15B7C"/>
    <w:rsid w:val="00B15FF1"/>
    <w:rsid w:val="00B1675D"/>
    <w:rsid w:val="00B1682D"/>
    <w:rsid w:val="00B171F0"/>
    <w:rsid w:val="00B17256"/>
    <w:rsid w:val="00B17308"/>
    <w:rsid w:val="00B173F8"/>
    <w:rsid w:val="00B1771D"/>
    <w:rsid w:val="00B17853"/>
    <w:rsid w:val="00B17F4A"/>
    <w:rsid w:val="00B17FAB"/>
    <w:rsid w:val="00B20311"/>
    <w:rsid w:val="00B205AF"/>
    <w:rsid w:val="00B20636"/>
    <w:rsid w:val="00B20706"/>
    <w:rsid w:val="00B208C9"/>
    <w:rsid w:val="00B2091F"/>
    <w:rsid w:val="00B20E99"/>
    <w:rsid w:val="00B20F2F"/>
    <w:rsid w:val="00B20F49"/>
    <w:rsid w:val="00B2130D"/>
    <w:rsid w:val="00B21376"/>
    <w:rsid w:val="00B215A7"/>
    <w:rsid w:val="00B21717"/>
    <w:rsid w:val="00B220CE"/>
    <w:rsid w:val="00B221C0"/>
    <w:rsid w:val="00B2237B"/>
    <w:rsid w:val="00B22386"/>
    <w:rsid w:val="00B22999"/>
    <w:rsid w:val="00B22EF4"/>
    <w:rsid w:val="00B22F7C"/>
    <w:rsid w:val="00B231AF"/>
    <w:rsid w:val="00B23443"/>
    <w:rsid w:val="00B23516"/>
    <w:rsid w:val="00B23520"/>
    <w:rsid w:val="00B236B4"/>
    <w:rsid w:val="00B236F2"/>
    <w:rsid w:val="00B23766"/>
    <w:rsid w:val="00B23A50"/>
    <w:rsid w:val="00B23F92"/>
    <w:rsid w:val="00B23FAE"/>
    <w:rsid w:val="00B24053"/>
    <w:rsid w:val="00B243FA"/>
    <w:rsid w:val="00B244C4"/>
    <w:rsid w:val="00B2475C"/>
    <w:rsid w:val="00B247F3"/>
    <w:rsid w:val="00B2495A"/>
    <w:rsid w:val="00B24C15"/>
    <w:rsid w:val="00B24CDC"/>
    <w:rsid w:val="00B24D34"/>
    <w:rsid w:val="00B250FC"/>
    <w:rsid w:val="00B25454"/>
    <w:rsid w:val="00B25934"/>
    <w:rsid w:val="00B25B55"/>
    <w:rsid w:val="00B25D84"/>
    <w:rsid w:val="00B25F35"/>
    <w:rsid w:val="00B25F5A"/>
    <w:rsid w:val="00B25FFB"/>
    <w:rsid w:val="00B262FC"/>
    <w:rsid w:val="00B271A1"/>
    <w:rsid w:val="00B2734C"/>
    <w:rsid w:val="00B273E3"/>
    <w:rsid w:val="00B2740D"/>
    <w:rsid w:val="00B2758E"/>
    <w:rsid w:val="00B275A1"/>
    <w:rsid w:val="00B27E41"/>
    <w:rsid w:val="00B27F2A"/>
    <w:rsid w:val="00B27F3B"/>
    <w:rsid w:val="00B27F7F"/>
    <w:rsid w:val="00B27F95"/>
    <w:rsid w:val="00B300BE"/>
    <w:rsid w:val="00B300BF"/>
    <w:rsid w:val="00B3013C"/>
    <w:rsid w:val="00B303AF"/>
    <w:rsid w:val="00B30660"/>
    <w:rsid w:val="00B308B9"/>
    <w:rsid w:val="00B30B64"/>
    <w:rsid w:val="00B30EB1"/>
    <w:rsid w:val="00B31293"/>
    <w:rsid w:val="00B312A3"/>
    <w:rsid w:val="00B312B4"/>
    <w:rsid w:val="00B31378"/>
    <w:rsid w:val="00B31627"/>
    <w:rsid w:val="00B31A55"/>
    <w:rsid w:val="00B32392"/>
    <w:rsid w:val="00B324CC"/>
    <w:rsid w:val="00B32528"/>
    <w:rsid w:val="00B32B1F"/>
    <w:rsid w:val="00B32D6C"/>
    <w:rsid w:val="00B32F4D"/>
    <w:rsid w:val="00B330DA"/>
    <w:rsid w:val="00B331AB"/>
    <w:rsid w:val="00B335A6"/>
    <w:rsid w:val="00B33663"/>
    <w:rsid w:val="00B33899"/>
    <w:rsid w:val="00B33ED7"/>
    <w:rsid w:val="00B341BF"/>
    <w:rsid w:val="00B3422A"/>
    <w:rsid w:val="00B34350"/>
    <w:rsid w:val="00B3452C"/>
    <w:rsid w:val="00B34795"/>
    <w:rsid w:val="00B34815"/>
    <w:rsid w:val="00B34E3C"/>
    <w:rsid w:val="00B34F05"/>
    <w:rsid w:val="00B350B5"/>
    <w:rsid w:val="00B35417"/>
    <w:rsid w:val="00B35527"/>
    <w:rsid w:val="00B35548"/>
    <w:rsid w:val="00B35612"/>
    <w:rsid w:val="00B35929"/>
    <w:rsid w:val="00B35FE9"/>
    <w:rsid w:val="00B36183"/>
    <w:rsid w:val="00B36197"/>
    <w:rsid w:val="00B36441"/>
    <w:rsid w:val="00B369EB"/>
    <w:rsid w:val="00B369F3"/>
    <w:rsid w:val="00B36A1A"/>
    <w:rsid w:val="00B36BAD"/>
    <w:rsid w:val="00B36D1A"/>
    <w:rsid w:val="00B3710A"/>
    <w:rsid w:val="00B373AA"/>
    <w:rsid w:val="00B376DE"/>
    <w:rsid w:val="00B377FE"/>
    <w:rsid w:val="00B37BED"/>
    <w:rsid w:val="00B37D32"/>
    <w:rsid w:val="00B37E19"/>
    <w:rsid w:val="00B4006B"/>
    <w:rsid w:val="00B40355"/>
    <w:rsid w:val="00B405DE"/>
    <w:rsid w:val="00B40726"/>
    <w:rsid w:val="00B409DB"/>
    <w:rsid w:val="00B40D00"/>
    <w:rsid w:val="00B40E61"/>
    <w:rsid w:val="00B40F51"/>
    <w:rsid w:val="00B411C9"/>
    <w:rsid w:val="00B41537"/>
    <w:rsid w:val="00B415EF"/>
    <w:rsid w:val="00B41671"/>
    <w:rsid w:val="00B41DBB"/>
    <w:rsid w:val="00B41F0E"/>
    <w:rsid w:val="00B42190"/>
    <w:rsid w:val="00B42533"/>
    <w:rsid w:val="00B427B6"/>
    <w:rsid w:val="00B427D0"/>
    <w:rsid w:val="00B42A25"/>
    <w:rsid w:val="00B42A62"/>
    <w:rsid w:val="00B42CE8"/>
    <w:rsid w:val="00B42DC0"/>
    <w:rsid w:val="00B42EF5"/>
    <w:rsid w:val="00B43076"/>
    <w:rsid w:val="00B43870"/>
    <w:rsid w:val="00B43AA8"/>
    <w:rsid w:val="00B43BC0"/>
    <w:rsid w:val="00B43C18"/>
    <w:rsid w:val="00B43CD6"/>
    <w:rsid w:val="00B43D61"/>
    <w:rsid w:val="00B44071"/>
    <w:rsid w:val="00B44125"/>
    <w:rsid w:val="00B44195"/>
    <w:rsid w:val="00B441BE"/>
    <w:rsid w:val="00B44273"/>
    <w:rsid w:val="00B4490F"/>
    <w:rsid w:val="00B44A83"/>
    <w:rsid w:val="00B44C00"/>
    <w:rsid w:val="00B44E9C"/>
    <w:rsid w:val="00B44ED6"/>
    <w:rsid w:val="00B44F76"/>
    <w:rsid w:val="00B45205"/>
    <w:rsid w:val="00B455C3"/>
    <w:rsid w:val="00B4569B"/>
    <w:rsid w:val="00B456F8"/>
    <w:rsid w:val="00B45865"/>
    <w:rsid w:val="00B45880"/>
    <w:rsid w:val="00B45ACD"/>
    <w:rsid w:val="00B45B72"/>
    <w:rsid w:val="00B46642"/>
    <w:rsid w:val="00B467F9"/>
    <w:rsid w:val="00B46AF4"/>
    <w:rsid w:val="00B46B29"/>
    <w:rsid w:val="00B46BC2"/>
    <w:rsid w:val="00B46C80"/>
    <w:rsid w:val="00B46E3B"/>
    <w:rsid w:val="00B46F0E"/>
    <w:rsid w:val="00B472BB"/>
    <w:rsid w:val="00B475E0"/>
    <w:rsid w:val="00B4777F"/>
    <w:rsid w:val="00B47AC8"/>
    <w:rsid w:val="00B47EA3"/>
    <w:rsid w:val="00B502E4"/>
    <w:rsid w:val="00B505F6"/>
    <w:rsid w:val="00B50604"/>
    <w:rsid w:val="00B508CA"/>
    <w:rsid w:val="00B509FC"/>
    <w:rsid w:val="00B50C6F"/>
    <w:rsid w:val="00B50DAD"/>
    <w:rsid w:val="00B5169E"/>
    <w:rsid w:val="00B51CB0"/>
    <w:rsid w:val="00B51CE2"/>
    <w:rsid w:val="00B51DB8"/>
    <w:rsid w:val="00B52377"/>
    <w:rsid w:val="00B526F6"/>
    <w:rsid w:val="00B52700"/>
    <w:rsid w:val="00B5285F"/>
    <w:rsid w:val="00B529F9"/>
    <w:rsid w:val="00B52BBC"/>
    <w:rsid w:val="00B52C25"/>
    <w:rsid w:val="00B52DD5"/>
    <w:rsid w:val="00B53230"/>
    <w:rsid w:val="00B536AF"/>
    <w:rsid w:val="00B53881"/>
    <w:rsid w:val="00B53911"/>
    <w:rsid w:val="00B53A22"/>
    <w:rsid w:val="00B53D6A"/>
    <w:rsid w:val="00B54184"/>
    <w:rsid w:val="00B54226"/>
    <w:rsid w:val="00B54256"/>
    <w:rsid w:val="00B5440C"/>
    <w:rsid w:val="00B547D8"/>
    <w:rsid w:val="00B54993"/>
    <w:rsid w:val="00B54A30"/>
    <w:rsid w:val="00B54C8B"/>
    <w:rsid w:val="00B55D2E"/>
    <w:rsid w:val="00B55E35"/>
    <w:rsid w:val="00B55E88"/>
    <w:rsid w:val="00B55FB9"/>
    <w:rsid w:val="00B56337"/>
    <w:rsid w:val="00B56587"/>
    <w:rsid w:val="00B5672B"/>
    <w:rsid w:val="00B569DD"/>
    <w:rsid w:val="00B56A40"/>
    <w:rsid w:val="00B57002"/>
    <w:rsid w:val="00B57210"/>
    <w:rsid w:val="00B57882"/>
    <w:rsid w:val="00B579ED"/>
    <w:rsid w:val="00B57BD7"/>
    <w:rsid w:val="00B600F1"/>
    <w:rsid w:val="00B603D4"/>
    <w:rsid w:val="00B60AC0"/>
    <w:rsid w:val="00B60AF6"/>
    <w:rsid w:val="00B60C5F"/>
    <w:rsid w:val="00B60F32"/>
    <w:rsid w:val="00B60F89"/>
    <w:rsid w:val="00B610B5"/>
    <w:rsid w:val="00B61189"/>
    <w:rsid w:val="00B6154C"/>
    <w:rsid w:val="00B61854"/>
    <w:rsid w:val="00B6185E"/>
    <w:rsid w:val="00B6230C"/>
    <w:rsid w:val="00B6243C"/>
    <w:rsid w:val="00B6288F"/>
    <w:rsid w:val="00B628F3"/>
    <w:rsid w:val="00B62A93"/>
    <w:rsid w:val="00B62D0E"/>
    <w:rsid w:val="00B62EE4"/>
    <w:rsid w:val="00B634DD"/>
    <w:rsid w:val="00B6356E"/>
    <w:rsid w:val="00B63A29"/>
    <w:rsid w:val="00B64148"/>
    <w:rsid w:val="00B64198"/>
    <w:rsid w:val="00B643F9"/>
    <w:rsid w:val="00B644F8"/>
    <w:rsid w:val="00B648C6"/>
    <w:rsid w:val="00B64D34"/>
    <w:rsid w:val="00B65171"/>
    <w:rsid w:val="00B651DC"/>
    <w:rsid w:val="00B651FE"/>
    <w:rsid w:val="00B6532F"/>
    <w:rsid w:val="00B6559F"/>
    <w:rsid w:val="00B655A0"/>
    <w:rsid w:val="00B65927"/>
    <w:rsid w:val="00B65DA6"/>
    <w:rsid w:val="00B660B4"/>
    <w:rsid w:val="00B6610D"/>
    <w:rsid w:val="00B661B5"/>
    <w:rsid w:val="00B66524"/>
    <w:rsid w:val="00B66618"/>
    <w:rsid w:val="00B66644"/>
    <w:rsid w:val="00B666EA"/>
    <w:rsid w:val="00B668A4"/>
    <w:rsid w:val="00B669F2"/>
    <w:rsid w:val="00B66B8C"/>
    <w:rsid w:val="00B66C3E"/>
    <w:rsid w:val="00B66D79"/>
    <w:rsid w:val="00B67121"/>
    <w:rsid w:val="00B671EF"/>
    <w:rsid w:val="00B674C7"/>
    <w:rsid w:val="00B677FD"/>
    <w:rsid w:val="00B67A5F"/>
    <w:rsid w:val="00B701C7"/>
    <w:rsid w:val="00B70476"/>
    <w:rsid w:val="00B70A13"/>
    <w:rsid w:val="00B70DD7"/>
    <w:rsid w:val="00B70F81"/>
    <w:rsid w:val="00B712E4"/>
    <w:rsid w:val="00B7173B"/>
    <w:rsid w:val="00B71936"/>
    <w:rsid w:val="00B71C0D"/>
    <w:rsid w:val="00B71F94"/>
    <w:rsid w:val="00B71F9D"/>
    <w:rsid w:val="00B722CE"/>
    <w:rsid w:val="00B72958"/>
    <w:rsid w:val="00B72CAB"/>
    <w:rsid w:val="00B72D58"/>
    <w:rsid w:val="00B72D6F"/>
    <w:rsid w:val="00B7302B"/>
    <w:rsid w:val="00B7311A"/>
    <w:rsid w:val="00B73232"/>
    <w:rsid w:val="00B73246"/>
    <w:rsid w:val="00B7328E"/>
    <w:rsid w:val="00B73318"/>
    <w:rsid w:val="00B73364"/>
    <w:rsid w:val="00B7351A"/>
    <w:rsid w:val="00B73607"/>
    <w:rsid w:val="00B73704"/>
    <w:rsid w:val="00B737D0"/>
    <w:rsid w:val="00B738AB"/>
    <w:rsid w:val="00B73BB1"/>
    <w:rsid w:val="00B73F87"/>
    <w:rsid w:val="00B74040"/>
    <w:rsid w:val="00B74735"/>
    <w:rsid w:val="00B74B8F"/>
    <w:rsid w:val="00B74F2A"/>
    <w:rsid w:val="00B74F3A"/>
    <w:rsid w:val="00B74F55"/>
    <w:rsid w:val="00B752FD"/>
    <w:rsid w:val="00B7531F"/>
    <w:rsid w:val="00B75356"/>
    <w:rsid w:val="00B7538B"/>
    <w:rsid w:val="00B754E4"/>
    <w:rsid w:val="00B7563D"/>
    <w:rsid w:val="00B75737"/>
    <w:rsid w:val="00B759EA"/>
    <w:rsid w:val="00B75B48"/>
    <w:rsid w:val="00B75DCF"/>
    <w:rsid w:val="00B75FA4"/>
    <w:rsid w:val="00B7611D"/>
    <w:rsid w:val="00B76202"/>
    <w:rsid w:val="00B7629D"/>
    <w:rsid w:val="00B762CC"/>
    <w:rsid w:val="00B76361"/>
    <w:rsid w:val="00B763D5"/>
    <w:rsid w:val="00B764F4"/>
    <w:rsid w:val="00B76918"/>
    <w:rsid w:val="00B76992"/>
    <w:rsid w:val="00B76C02"/>
    <w:rsid w:val="00B76C07"/>
    <w:rsid w:val="00B76C4A"/>
    <w:rsid w:val="00B76CDA"/>
    <w:rsid w:val="00B76D02"/>
    <w:rsid w:val="00B76D25"/>
    <w:rsid w:val="00B76E6B"/>
    <w:rsid w:val="00B76F4D"/>
    <w:rsid w:val="00B76F69"/>
    <w:rsid w:val="00B77048"/>
    <w:rsid w:val="00B7728A"/>
    <w:rsid w:val="00B772BA"/>
    <w:rsid w:val="00B774F5"/>
    <w:rsid w:val="00B77695"/>
    <w:rsid w:val="00B77761"/>
    <w:rsid w:val="00B777E9"/>
    <w:rsid w:val="00B77864"/>
    <w:rsid w:val="00B779B7"/>
    <w:rsid w:val="00B77B93"/>
    <w:rsid w:val="00B77FDF"/>
    <w:rsid w:val="00B8035E"/>
    <w:rsid w:val="00B804C2"/>
    <w:rsid w:val="00B80876"/>
    <w:rsid w:val="00B80CDD"/>
    <w:rsid w:val="00B80EBB"/>
    <w:rsid w:val="00B81130"/>
    <w:rsid w:val="00B8120F"/>
    <w:rsid w:val="00B81519"/>
    <w:rsid w:val="00B81867"/>
    <w:rsid w:val="00B8187C"/>
    <w:rsid w:val="00B81A62"/>
    <w:rsid w:val="00B81D93"/>
    <w:rsid w:val="00B820A2"/>
    <w:rsid w:val="00B82114"/>
    <w:rsid w:val="00B82374"/>
    <w:rsid w:val="00B823B9"/>
    <w:rsid w:val="00B82482"/>
    <w:rsid w:val="00B82617"/>
    <w:rsid w:val="00B82734"/>
    <w:rsid w:val="00B82944"/>
    <w:rsid w:val="00B82C77"/>
    <w:rsid w:val="00B82CEF"/>
    <w:rsid w:val="00B82D13"/>
    <w:rsid w:val="00B82E53"/>
    <w:rsid w:val="00B82F17"/>
    <w:rsid w:val="00B82F4D"/>
    <w:rsid w:val="00B8307A"/>
    <w:rsid w:val="00B8318F"/>
    <w:rsid w:val="00B831D2"/>
    <w:rsid w:val="00B83524"/>
    <w:rsid w:val="00B83566"/>
    <w:rsid w:val="00B83A43"/>
    <w:rsid w:val="00B83BBC"/>
    <w:rsid w:val="00B83ECB"/>
    <w:rsid w:val="00B83FB4"/>
    <w:rsid w:val="00B840BE"/>
    <w:rsid w:val="00B84173"/>
    <w:rsid w:val="00B8422E"/>
    <w:rsid w:val="00B84562"/>
    <w:rsid w:val="00B8492A"/>
    <w:rsid w:val="00B84CE3"/>
    <w:rsid w:val="00B84E16"/>
    <w:rsid w:val="00B84E9C"/>
    <w:rsid w:val="00B85520"/>
    <w:rsid w:val="00B856CB"/>
    <w:rsid w:val="00B85987"/>
    <w:rsid w:val="00B85A08"/>
    <w:rsid w:val="00B85C1F"/>
    <w:rsid w:val="00B85EA8"/>
    <w:rsid w:val="00B85FB3"/>
    <w:rsid w:val="00B86496"/>
    <w:rsid w:val="00B86676"/>
    <w:rsid w:val="00B866E0"/>
    <w:rsid w:val="00B867EA"/>
    <w:rsid w:val="00B86892"/>
    <w:rsid w:val="00B86B5E"/>
    <w:rsid w:val="00B86B6B"/>
    <w:rsid w:val="00B86BEC"/>
    <w:rsid w:val="00B86BFB"/>
    <w:rsid w:val="00B86DD1"/>
    <w:rsid w:val="00B870D5"/>
    <w:rsid w:val="00B87199"/>
    <w:rsid w:val="00B8789B"/>
    <w:rsid w:val="00B879DD"/>
    <w:rsid w:val="00B87AF0"/>
    <w:rsid w:val="00B87F6A"/>
    <w:rsid w:val="00B87F89"/>
    <w:rsid w:val="00B90228"/>
    <w:rsid w:val="00B90298"/>
    <w:rsid w:val="00B9049D"/>
    <w:rsid w:val="00B90AEC"/>
    <w:rsid w:val="00B90BBD"/>
    <w:rsid w:val="00B90C33"/>
    <w:rsid w:val="00B90C92"/>
    <w:rsid w:val="00B90D6F"/>
    <w:rsid w:val="00B90E27"/>
    <w:rsid w:val="00B90E2D"/>
    <w:rsid w:val="00B9119F"/>
    <w:rsid w:val="00B911E2"/>
    <w:rsid w:val="00B914D1"/>
    <w:rsid w:val="00B916C9"/>
    <w:rsid w:val="00B9170E"/>
    <w:rsid w:val="00B91DD6"/>
    <w:rsid w:val="00B91E3F"/>
    <w:rsid w:val="00B92188"/>
    <w:rsid w:val="00B92323"/>
    <w:rsid w:val="00B9237F"/>
    <w:rsid w:val="00B92386"/>
    <w:rsid w:val="00B925FA"/>
    <w:rsid w:val="00B9268A"/>
    <w:rsid w:val="00B92846"/>
    <w:rsid w:val="00B9296C"/>
    <w:rsid w:val="00B92BBB"/>
    <w:rsid w:val="00B92CCB"/>
    <w:rsid w:val="00B92F0D"/>
    <w:rsid w:val="00B92F81"/>
    <w:rsid w:val="00B93026"/>
    <w:rsid w:val="00B9324A"/>
    <w:rsid w:val="00B9338B"/>
    <w:rsid w:val="00B934E4"/>
    <w:rsid w:val="00B93681"/>
    <w:rsid w:val="00B93686"/>
    <w:rsid w:val="00B9377C"/>
    <w:rsid w:val="00B937BA"/>
    <w:rsid w:val="00B93C97"/>
    <w:rsid w:val="00B93E2E"/>
    <w:rsid w:val="00B93E56"/>
    <w:rsid w:val="00B93F45"/>
    <w:rsid w:val="00B940A4"/>
    <w:rsid w:val="00B94375"/>
    <w:rsid w:val="00B943A3"/>
    <w:rsid w:val="00B943F8"/>
    <w:rsid w:val="00B945A7"/>
    <w:rsid w:val="00B9460A"/>
    <w:rsid w:val="00B948C9"/>
    <w:rsid w:val="00B94ABF"/>
    <w:rsid w:val="00B94B76"/>
    <w:rsid w:val="00B94EAA"/>
    <w:rsid w:val="00B95001"/>
    <w:rsid w:val="00B95298"/>
    <w:rsid w:val="00B954B4"/>
    <w:rsid w:val="00B95561"/>
    <w:rsid w:val="00B9592B"/>
    <w:rsid w:val="00B95C49"/>
    <w:rsid w:val="00B95C92"/>
    <w:rsid w:val="00B96199"/>
    <w:rsid w:val="00B9624F"/>
    <w:rsid w:val="00B9633A"/>
    <w:rsid w:val="00B96401"/>
    <w:rsid w:val="00B964D9"/>
    <w:rsid w:val="00B9651A"/>
    <w:rsid w:val="00B9681A"/>
    <w:rsid w:val="00B96D0C"/>
    <w:rsid w:val="00B96D59"/>
    <w:rsid w:val="00B96E61"/>
    <w:rsid w:val="00B970F3"/>
    <w:rsid w:val="00B97355"/>
    <w:rsid w:val="00B9749C"/>
    <w:rsid w:val="00B97787"/>
    <w:rsid w:val="00B97911"/>
    <w:rsid w:val="00B979CA"/>
    <w:rsid w:val="00B97ADD"/>
    <w:rsid w:val="00B97C44"/>
    <w:rsid w:val="00B97C85"/>
    <w:rsid w:val="00B97E5C"/>
    <w:rsid w:val="00BA002C"/>
    <w:rsid w:val="00BA0033"/>
    <w:rsid w:val="00BA07D6"/>
    <w:rsid w:val="00BA0812"/>
    <w:rsid w:val="00BA097B"/>
    <w:rsid w:val="00BA0A44"/>
    <w:rsid w:val="00BA0AA1"/>
    <w:rsid w:val="00BA0C12"/>
    <w:rsid w:val="00BA10CD"/>
    <w:rsid w:val="00BA10D0"/>
    <w:rsid w:val="00BA12DB"/>
    <w:rsid w:val="00BA134B"/>
    <w:rsid w:val="00BA1623"/>
    <w:rsid w:val="00BA1E9B"/>
    <w:rsid w:val="00BA1FD8"/>
    <w:rsid w:val="00BA227C"/>
    <w:rsid w:val="00BA24B1"/>
    <w:rsid w:val="00BA25DD"/>
    <w:rsid w:val="00BA2848"/>
    <w:rsid w:val="00BA2BD2"/>
    <w:rsid w:val="00BA2C11"/>
    <w:rsid w:val="00BA2C6A"/>
    <w:rsid w:val="00BA2CDB"/>
    <w:rsid w:val="00BA2E07"/>
    <w:rsid w:val="00BA30B0"/>
    <w:rsid w:val="00BA3261"/>
    <w:rsid w:val="00BA33B4"/>
    <w:rsid w:val="00BA3544"/>
    <w:rsid w:val="00BA3584"/>
    <w:rsid w:val="00BA3A52"/>
    <w:rsid w:val="00BA3AA7"/>
    <w:rsid w:val="00BA3DB1"/>
    <w:rsid w:val="00BA3DB8"/>
    <w:rsid w:val="00BA43AD"/>
    <w:rsid w:val="00BA4428"/>
    <w:rsid w:val="00BA45FA"/>
    <w:rsid w:val="00BA4952"/>
    <w:rsid w:val="00BA4EB9"/>
    <w:rsid w:val="00BA51AD"/>
    <w:rsid w:val="00BA51E5"/>
    <w:rsid w:val="00BA5342"/>
    <w:rsid w:val="00BA5534"/>
    <w:rsid w:val="00BA5773"/>
    <w:rsid w:val="00BA59B6"/>
    <w:rsid w:val="00BA5A2A"/>
    <w:rsid w:val="00BA5CD5"/>
    <w:rsid w:val="00BA5FAE"/>
    <w:rsid w:val="00BA6523"/>
    <w:rsid w:val="00BA65CF"/>
    <w:rsid w:val="00BA6650"/>
    <w:rsid w:val="00BA67DB"/>
    <w:rsid w:val="00BA6B36"/>
    <w:rsid w:val="00BA6B4E"/>
    <w:rsid w:val="00BA6BBE"/>
    <w:rsid w:val="00BA6D53"/>
    <w:rsid w:val="00BA6E41"/>
    <w:rsid w:val="00BA6EE7"/>
    <w:rsid w:val="00BA70F9"/>
    <w:rsid w:val="00BA76DC"/>
    <w:rsid w:val="00BA7CAE"/>
    <w:rsid w:val="00BA7F34"/>
    <w:rsid w:val="00BA7FCD"/>
    <w:rsid w:val="00BB0065"/>
    <w:rsid w:val="00BB021D"/>
    <w:rsid w:val="00BB03E2"/>
    <w:rsid w:val="00BB04B5"/>
    <w:rsid w:val="00BB069A"/>
    <w:rsid w:val="00BB0AB1"/>
    <w:rsid w:val="00BB0F4F"/>
    <w:rsid w:val="00BB15E0"/>
    <w:rsid w:val="00BB1DF2"/>
    <w:rsid w:val="00BB2056"/>
    <w:rsid w:val="00BB242B"/>
    <w:rsid w:val="00BB26DD"/>
    <w:rsid w:val="00BB2BAE"/>
    <w:rsid w:val="00BB2CD3"/>
    <w:rsid w:val="00BB30D3"/>
    <w:rsid w:val="00BB3261"/>
    <w:rsid w:val="00BB339E"/>
    <w:rsid w:val="00BB3836"/>
    <w:rsid w:val="00BB3912"/>
    <w:rsid w:val="00BB3E0E"/>
    <w:rsid w:val="00BB3ED3"/>
    <w:rsid w:val="00BB3FB8"/>
    <w:rsid w:val="00BB4353"/>
    <w:rsid w:val="00BB4444"/>
    <w:rsid w:val="00BB445A"/>
    <w:rsid w:val="00BB4AF6"/>
    <w:rsid w:val="00BB4CFE"/>
    <w:rsid w:val="00BB4E1E"/>
    <w:rsid w:val="00BB4FC2"/>
    <w:rsid w:val="00BB5011"/>
    <w:rsid w:val="00BB506C"/>
    <w:rsid w:val="00BB5207"/>
    <w:rsid w:val="00BB590B"/>
    <w:rsid w:val="00BB5DA1"/>
    <w:rsid w:val="00BB5EB9"/>
    <w:rsid w:val="00BB5F30"/>
    <w:rsid w:val="00BB609B"/>
    <w:rsid w:val="00BB61CC"/>
    <w:rsid w:val="00BB62D8"/>
    <w:rsid w:val="00BB63AD"/>
    <w:rsid w:val="00BB6670"/>
    <w:rsid w:val="00BB6942"/>
    <w:rsid w:val="00BB6BC1"/>
    <w:rsid w:val="00BB6CC3"/>
    <w:rsid w:val="00BB7CBB"/>
    <w:rsid w:val="00BB7CEC"/>
    <w:rsid w:val="00BB7DB0"/>
    <w:rsid w:val="00BC0014"/>
    <w:rsid w:val="00BC00F7"/>
    <w:rsid w:val="00BC03B2"/>
    <w:rsid w:val="00BC05BC"/>
    <w:rsid w:val="00BC06E2"/>
    <w:rsid w:val="00BC0D74"/>
    <w:rsid w:val="00BC0F9A"/>
    <w:rsid w:val="00BC0FA7"/>
    <w:rsid w:val="00BC0FA9"/>
    <w:rsid w:val="00BC1050"/>
    <w:rsid w:val="00BC11E3"/>
    <w:rsid w:val="00BC1288"/>
    <w:rsid w:val="00BC1342"/>
    <w:rsid w:val="00BC13C9"/>
    <w:rsid w:val="00BC1779"/>
    <w:rsid w:val="00BC185A"/>
    <w:rsid w:val="00BC1DD4"/>
    <w:rsid w:val="00BC21BF"/>
    <w:rsid w:val="00BC2514"/>
    <w:rsid w:val="00BC2649"/>
    <w:rsid w:val="00BC2D2B"/>
    <w:rsid w:val="00BC2E24"/>
    <w:rsid w:val="00BC324D"/>
    <w:rsid w:val="00BC3257"/>
    <w:rsid w:val="00BC3648"/>
    <w:rsid w:val="00BC3B18"/>
    <w:rsid w:val="00BC3C33"/>
    <w:rsid w:val="00BC3E47"/>
    <w:rsid w:val="00BC3F81"/>
    <w:rsid w:val="00BC41B0"/>
    <w:rsid w:val="00BC42DB"/>
    <w:rsid w:val="00BC43CA"/>
    <w:rsid w:val="00BC444D"/>
    <w:rsid w:val="00BC4F83"/>
    <w:rsid w:val="00BC5023"/>
    <w:rsid w:val="00BC5095"/>
    <w:rsid w:val="00BC50E4"/>
    <w:rsid w:val="00BC514B"/>
    <w:rsid w:val="00BC5223"/>
    <w:rsid w:val="00BC5573"/>
    <w:rsid w:val="00BC5E72"/>
    <w:rsid w:val="00BC5F56"/>
    <w:rsid w:val="00BC6120"/>
    <w:rsid w:val="00BC6335"/>
    <w:rsid w:val="00BC65F8"/>
    <w:rsid w:val="00BC6B19"/>
    <w:rsid w:val="00BC6C16"/>
    <w:rsid w:val="00BC7301"/>
    <w:rsid w:val="00BC7303"/>
    <w:rsid w:val="00BC771D"/>
    <w:rsid w:val="00BC77C8"/>
    <w:rsid w:val="00BC791C"/>
    <w:rsid w:val="00BC7946"/>
    <w:rsid w:val="00BC7A12"/>
    <w:rsid w:val="00BC7C70"/>
    <w:rsid w:val="00BC7F1B"/>
    <w:rsid w:val="00BD011B"/>
    <w:rsid w:val="00BD0669"/>
    <w:rsid w:val="00BD0AD9"/>
    <w:rsid w:val="00BD0E06"/>
    <w:rsid w:val="00BD0EA6"/>
    <w:rsid w:val="00BD1180"/>
    <w:rsid w:val="00BD17F1"/>
    <w:rsid w:val="00BD1CFF"/>
    <w:rsid w:val="00BD234A"/>
    <w:rsid w:val="00BD23D2"/>
    <w:rsid w:val="00BD2584"/>
    <w:rsid w:val="00BD2711"/>
    <w:rsid w:val="00BD27F9"/>
    <w:rsid w:val="00BD28CE"/>
    <w:rsid w:val="00BD2B13"/>
    <w:rsid w:val="00BD332E"/>
    <w:rsid w:val="00BD3487"/>
    <w:rsid w:val="00BD3E2D"/>
    <w:rsid w:val="00BD3F57"/>
    <w:rsid w:val="00BD3FDB"/>
    <w:rsid w:val="00BD404F"/>
    <w:rsid w:val="00BD42D6"/>
    <w:rsid w:val="00BD44A3"/>
    <w:rsid w:val="00BD4503"/>
    <w:rsid w:val="00BD4533"/>
    <w:rsid w:val="00BD4595"/>
    <w:rsid w:val="00BD48AE"/>
    <w:rsid w:val="00BD48EB"/>
    <w:rsid w:val="00BD49DA"/>
    <w:rsid w:val="00BD4A25"/>
    <w:rsid w:val="00BD4A94"/>
    <w:rsid w:val="00BD4ADD"/>
    <w:rsid w:val="00BD51C2"/>
    <w:rsid w:val="00BD51E3"/>
    <w:rsid w:val="00BD5407"/>
    <w:rsid w:val="00BD55AD"/>
    <w:rsid w:val="00BD5601"/>
    <w:rsid w:val="00BD5AB0"/>
    <w:rsid w:val="00BD5ACA"/>
    <w:rsid w:val="00BD5F33"/>
    <w:rsid w:val="00BD6C8E"/>
    <w:rsid w:val="00BD6E12"/>
    <w:rsid w:val="00BD6E33"/>
    <w:rsid w:val="00BD6E7C"/>
    <w:rsid w:val="00BD74B7"/>
    <w:rsid w:val="00BD755A"/>
    <w:rsid w:val="00BD7A32"/>
    <w:rsid w:val="00BD7DF1"/>
    <w:rsid w:val="00BD7E60"/>
    <w:rsid w:val="00BE0003"/>
    <w:rsid w:val="00BE009C"/>
    <w:rsid w:val="00BE0247"/>
    <w:rsid w:val="00BE0324"/>
    <w:rsid w:val="00BE0619"/>
    <w:rsid w:val="00BE094B"/>
    <w:rsid w:val="00BE0C1B"/>
    <w:rsid w:val="00BE0C4A"/>
    <w:rsid w:val="00BE0C5A"/>
    <w:rsid w:val="00BE0E62"/>
    <w:rsid w:val="00BE0F5A"/>
    <w:rsid w:val="00BE10AD"/>
    <w:rsid w:val="00BE11F1"/>
    <w:rsid w:val="00BE13ED"/>
    <w:rsid w:val="00BE1798"/>
    <w:rsid w:val="00BE1C1F"/>
    <w:rsid w:val="00BE1D37"/>
    <w:rsid w:val="00BE206A"/>
    <w:rsid w:val="00BE2140"/>
    <w:rsid w:val="00BE2227"/>
    <w:rsid w:val="00BE23D8"/>
    <w:rsid w:val="00BE28E7"/>
    <w:rsid w:val="00BE2902"/>
    <w:rsid w:val="00BE2B25"/>
    <w:rsid w:val="00BE2D62"/>
    <w:rsid w:val="00BE30B7"/>
    <w:rsid w:val="00BE311A"/>
    <w:rsid w:val="00BE33AE"/>
    <w:rsid w:val="00BE33C3"/>
    <w:rsid w:val="00BE3995"/>
    <w:rsid w:val="00BE3C9A"/>
    <w:rsid w:val="00BE40AE"/>
    <w:rsid w:val="00BE48E5"/>
    <w:rsid w:val="00BE4DA0"/>
    <w:rsid w:val="00BE5006"/>
    <w:rsid w:val="00BE5505"/>
    <w:rsid w:val="00BE565B"/>
    <w:rsid w:val="00BE595D"/>
    <w:rsid w:val="00BE5BD0"/>
    <w:rsid w:val="00BE5CB7"/>
    <w:rsid w:val="00BE5F4C"/>
    <w:rsid w:val="00BE6062"/>
    <w:rsid w:val="00BE60D6"/>
    <w:rsid w:val="00BE61D3"/>
    <w:rsid w:val="00BE63F4"/>
    <w:rsid w:val="00BE6507"/>
    <w:rsid w:val="00BE65C7"/>
    <w:rsid w:val="00BE6746"/>
    <w:rsid w:val="00BE763E"/>
    <w:rsid w:val="00BE7776"/>
    <w:rsid w:val="00BE790D"/>
    <w:rsid w:val="00BE79D2"/>
    <w:rsid w:val="00BE79E0"/>
    <w:rsid w:val="00BE7B2A"/>
    <w:rsid w:val="00BE7B63"/>
    <w:rsid w:val="00BE7D57"/>
    <w:rsid w:val="00BE7F61"/>
    <w:rsid w:val="00BE7F9E"/>
    <w:rsid w:val="00BF03BE"/>
    <w:rsid w:val="00BF06E8"/>
    <w:rsid w:val="00BF0A58"/>
    <w:rsid w:val="00BF0E1B"/>
    <w:rsid w:val="00BF124D"/>
    <w:rsid w:val="00BF13D1"/>
    <w:rsid w:val="00BF147F"/>
    <w:rsid w:val="00BF164C"/>
    <w:rsid w:val="00BF1BEA"/>
    <w:rsid w:val="00BF1BF9"/>
    <w:rsid w:val="00BF1F4D"/>
    <w:rsid w:val="00BF246A"/>
    <w:rsid w:val="00BF24E5"/>
    <w:rsid w:val="00BF254B"/>
    <w:rsid w:val="00BF27A2"/>
    <w:rsid w:val="00BF28AE"/>
    <w:rsid w:val="00BF2D5E"/>
    <w:rsid w:val="00BF3327"/>
    <w:rsid w:val="00BF348B"/>
    <w:rsid w:val="00BF3996"/>
    <w:rsid w:val="00BF3C70"/>
    <w:rsid w:val="00BF3E32"/>
    <w:rsid w:val="00BF4245"/>
    <w:rsid w:val="00BF4323"/>
    <w:rsid w:val="00BF4571"/>
    <w:rsid w:val="00BF469F"/>
    <w:rsid w:val="00BF47A7"/>
    <w:rsid w:val="00BF47E9"/>
    <w:rsid w:val="00BF48C3"/>
    <w:rsid w:val="00BF4C49"/>
    <w:rsid w:val="00BF5177"/>
    <w:rsid w:val="00BF538C"/>
    <w:rsid w:val="00BF53A8"/>
    <w:rsid w:val="00BF543C"/>
    <w:rsid w:val="00BF55B4"/>
    <w:rsid w:val="00BF5B36"/>
    <w:rsid w:val="00BF5C74"/>
    <w:rsid w:val="00BF5CEE"/>
    <w:rsid w:val="00BF5DEF"/>
    <w:rsid w:val="00BF5E91"/>
    <w:rsid w:val="00BF6127"/>
    <w:rsid w:val="00BF6196"/>
    <w:rsid w:val="00BF643F"/>
    <w:rsid w:val="00BF690E"/>
    <w:rsid w:val="00BF69B0"/>
    <w:rsid w:val="00BF6CEF"/>
    <w:rsid w:val="00BF6D52"/>
    <w:rsid w:val="00BF6F7F"/>
    <w:rsid w:val="00BF74C4"/>
    <w:rsid w:val="00BF7689"/>
    <w:rsid w:val="00BF7701"/>
    <w:rsid w:val="00BF780E"/>
    <w:rsid w:val="00BF7CA2"/>
    <w:rsid w:val="00BF7E57"/>
    <w:rsid w:val="00BF7FB5"/>
    <w:rsid w:val="00C003C6"/>
    <w:rsid w:val="00C00492"/>
    <w:rsid w:val="00C00DA5"/>
    <w:rsid w:val="00C00E63"/>
    <w:rsid w:val="00C00FC5"/>
    <w:rsid w:val="00C00FDB"/>
    <w:rsid w:val="00C013B2"/>
    <w:rsid w:val="00C01990"/>
    <w:rsid w:val="00C01B5C"/>
    <w:rsid w:val="00C01BC0"/>
    <w:rsid w:val="00C01C2C"/>
    <w:rsid w:val="00C01D81"/>
    <w:rsid w:val="00C01F09"/>
    <w:rsid w:val="00C01FA8"/>
    <w:rsid w:val="00C01FC0"/>
    <w:rsid w:val="00C0205C"/>
    <w:rsid w:val="00C020BE"/>
    <w:rsid w:val="00C02341"/>
    <w:rsid w:val="00C02470"/>
    <w:rsid w:val="00C0249E"/>
    <w:rsid w:val="00C024D6"/>
    <w:rsid w:val="00C02932"/>
    <w:rsid w:val="00C02A3D"/>
    <w:rsid w:val="00C02BE8"/>
    <w:rsid w:val="00C02BFC"/>
    <w:rsid w:val="00C02C21"/>
    <w:rsid w:val="00C02C2F"/>
    <w:rsid w:val="00C02CDC"/>
    <w:rsid w:val="00C02DAC"/>
    <w:rsid w:val="00C02F8C"/>
    <w:rsid w:val="00C036BA"/>
    <w:rsid w:val="00C037F5"/>
    <w:rsid w:val="00C0394E"/>
    <w:rsid w:val="00C041D8"/>
    <w:rsid w:val="00C04323"/>
    <w:rsid w:val="00C0443C"/>
    <w:rsid w:val="00C044D5"/>
    <w:rsid w:val="00C047D6"/>
    <w:rsid w:val="00C04B38"/>
    <w:rsid w:val="00C04C75"/>
    <w:rsid w:val="00C04EB7"/>
    <w:rsid w:val="00C0503A"/>
    <w:rsid w:val="00C055D8"/>
    <w:rsid w:val="00C056AC"/>
    <w:rsid w:val="00C05E4F"/>
    <w:rsid w:val="00C0617D"/>
    <w:rsid w:val="00C06276"/>
    <w:rsid w:val="00C06327"/>
    <w:rsid w:val="00C06680"/>
    <w:rsid w:val="00C06D29"/>
    <w:rsid w:val="00C06E05"/>
    <w:rsid w:val="00C06EA9"/>
    <w:rsid w:val="00C06EBB"/>
    <w:rsid w:val="00C06F0F"/>
    <w:rsid w:val="00C071A7"/>
    <w:rsid w:val="00C0740C"/>
    <w:rsid w:val="00C0759E"/>
    <w:rsid w:val="00C0770D"/>
    <w:rsid w:val="00C100F0"/>
    <w:rsid w:val="00C1047B"/>
    <w:rsid w:val="00C10709"/>
    <w:rsid w:val="00C10B3F"/>
    <w:rsid w:val="00C10BE9"/>
    <w:rsid w:val="00C10DA9"/>
    <w:rsid w:val="00C10E18"/>
    <w:rsid w:val="00C1102D"/>
    <w:rsid w:val="00C11326"/>
    <w:rsid w:val="00C11454"/>
    <w:rsid w:val="00C114A6"/>
    <w:rsid w:val="00C115FA"/>
    <w:rsid w:val="00C11AC4"/>
    <w:rsid w:val="00C11EC5"/>
    <w:rsid w:val="00C12594"/>
    <w:rsid w:val="00C125A4"/>
    <w:rsid w:val="00C12621"/>
    <w:rsid w:val="00C128AA"/>
    <w:rsid w:val="00C12B40"/>
    <w:rsid w:val="00C12D7A"/>
    <w:rsid w:val="00C12D98"/>
    <w:rsid w:val="00C1377D"/>
    <w:rsid w:val="00C13A26"/>
    <w:rsid w:val="00C13D69"/>
    <w:rsid w:val="00C14096"/>
    <w:rsid w:val="00C1445F"/>
    <w:rsid w:val="00C146DB"/>
    <w:rsid w:val="00C1497B"/>
    <w:rsid w:val="00C14A3B"/>
    <w:rsid w:val="00C150A5"/>
    <w:rsid w:val="00C15117"/>
    <w:rsid w:val="00C15159"/>
    <w:rsid w:val="00C153DE"/>
    <w:rsid w:val="00C15559"/>
    <w:rsid w:val="00C1574C"/>
    <w:rsid w:val="00C15A2D"/>
    <w:rsid w:val="00C15A3D"/>
    <w:rsid w:val="00C15B4E"/>
    <w:rsid w:val="00C15BAE"/>
    <w:rsid w:val="00C15CD9"/>
    <w:rsid w:val="00C15D17"/>
    <w:rsid w:val="00C15EA8"/>
    <w:rsid w:val="00C15F2A"/>
    <w:rsid w:val="00C16309"/>
    <w:rsid w:val="00C163FA"/>
    <w:rsid w:val="00C16418"/>
    <w:rsid w:val="00C1654C"/>
    <w:rsid w:val="00C16565"/>
    <w:rsid w:val="00C1697A"/>
    <w:rsid w:val="00C16A07"/>
    <w:rsid w:val="00C17395"/>
    <w:rsid w:val="00C174A6"/>
    <w:rsid w:val="00C17EBE"/>
    <w:rsid w:val="00C17F4B"/>
    <w:rsid w:val="00C205DF"/>
    <w:rsid w:val="00C209B8"/>
    <w:rsid w:val="00C20A57"/>
    <w:rsid w:val="00C20E42"/>
    <w:rsid w:val="00C20E70"/>
    <w:rsid w:val="00C21024"/>
    <w:rsid w:val="00C2114F"/>
    <w:rsid w:val="00C2135B"/>
    <w:rsid w:val="00C214D8"/>
    <w:rsid w:val="00C214E0"/>
    <w:rsid w:val="00C217EF"/>
    <w:rsid w:val="00C2197A"/>
    <w:rsid w:val="00C219DF"/>
    <w:rsid w:val="00C21FB1"/>
    <w:rsid w:val="00C2208A"/>
    <w:rsid w:val="00C225CE"/>
    <w:rsid w:val="00C23326"/>
    <w:rsid w:val="00C237E7"/>
    <w:rsid w:val="00C23A56"/>
    <w:rsid w:val="00C23F3C"/>
    <w:rsid w:val="00C242C9"/>
    <w:rsid w:val="00C24625"/>
    <w:rsid w:val="00C246C3"/>
    <w:rsid w:val="00C247BC"/>
    <w:rsid w:val="00C247DE"/>
    <w:rsid w:val="00C24A35"/>
    <w:rsid w:val="00C24AB5"/>
    <w:rsid w:val="00C24C8C"/>
    <w:rsid w:val="00C250D9"/>
    <w:rsid w:val="00C251DC"/>
    <w:rsid w:val="00C25257"/>
    <w:rsid w:val="00C2538A"/>
    <w:rsid w:val="00C254A9"/>
    <w:rsid w:val="00C256BC"/>
    <w:rsid w:val="00C25B7D"/>
    <w:rsid w:val="00C25C71"/>
    <w:rsid w:val="00C25F8C"/>
    <w:rsid w:val="00C260F0"/>
    <w:rsid w:val="00C26288"/>
    <w:rsid w:val="00C262E0"/>
    <w:rsid w:val="00C265D2"/>
    <w:rsid w:val="00C265DC"/>
    <w:rsid w:val="00C265F8"/>
    <w:rsid w:val="00C26734"/>
    <w:rsid w:val="00C26C05"/>
    <w:rsid w:val="00C26D83"/>
    <w:rsid w:val="00C26ED8"/>
    <w:rsid w:val="00C26F8C"/>
    <w:rsid w:val="00C26F94"/>
    <w:rsid w:val="00C273DC"/>
    <w:rsid w:val="00C27454"/>
    <w:rsid w:val="00C27503"/>
    <w:rsid w:val="00C275C6"/>
    <w:rsid w:val="00C2791B"/>
    <w:rsid w:val="00C27BC6"/>
    <w:rsid w:val="00C30444"/>
    <w:rsid w:val="00C30CEC"/>
    <w:rsid w:val="00C30F22"/>
    <w:rsid w:val="00C30F3A"/>
    <w:rsid w:val="00C31004"/>
    <w:rsid w:val="00C31037"/>
    <w:rsid w:val="00C310F6"/>
    <w:rsid w:val="00C3116E"/>
    <w:rsid w:val="00C3138A"/>
    <w:rsid w:val="00C314DB"/>
    <w:rsid w:val="00C31BC3"/>
    <w:rsid w:val="00C3205F"/>
    <w:rsid w:val="00C3215D"/>
    <w:rsid w:val="00C32466"/>
    <w:rsid w:val="00C32476"/>
    <w:rsid w:val="00C32985"/>
    <w:rsid w:val="00C32D0D"/>
    <w:rsid w:val="00C32D2E"/>
    <w:rsid w:val="00C32FE0"/>
    <w:rsid w:val="00C33625"/>
    <w:rsid w:val="00C338BE"/>
    <w:rsid w:val="00C33AA8"/>
    <w:rsid w:val="00C340A4"/>
    <w:rsid w:val="00C3416D"/>
    <w:rsid w:val="00C341A3"/>
    <w:rsid w:val="00C342CD"/>
    <w:rsid w:val="00C34361"/>
    <w:rsid w:val="00C349FD"/>
    <w:rsid w:val="00C34AF0"/>
    <w:rsid w:val="00C34CA8"/>
    <w:rsid w:val="00C34DE7"/>
    <w:rsid w:val="00C35155"/>
    <w:rsid w:val="00C351C2"/>
    <w:rsid w:val="00C354BA"/>
    <w:rsid w:val="00C3559C"/>
    <w:rsid w:val="00C35786"/>
    <w:rsid w:val="00C358B0"/>
    <w:rsid w:val="00C359DE"/>
    <w:rsid w:val="00C35F2C"/>
    <w:rsid w:val="00C35FCD"/>
    <w:rsid w:val="00C3617B"/>
    <w:rsid w:val="00C364B6"/>
    <w:rsid w:val="00C366EB"/>
    <w:rsid w:val="00C36735"/>
    <w:rsid w:val="00C36ED1"/>
    <w:rsid w:val="00C36FA9"/>
    <w:rsid w:val="00C3726D"/>
    <w:rsid w:val="00C372F5"/>
    <w:rsid w:val="00C3771D"/>
    <w:rsid w:val="00C378C9"/>
    <w:rsid w:val="00C379E9"/>
    <w:rsid w:val="00C37A76"/>
    <w:rsid w:val="00C37B47"/>
    <w:rsid w:val="00C37CF0"/>
    <w:rsid w:val="00C37F42"/>
    <w:rsid w:val="00C40085"/>
    <w:rsid w:val="00C40171"/>
    <w:rsid w:val="00C40260"/>
    <w:rsid w:val="00C40381"/>
    <w:rsid w:val="00C40C82"/>
    <w:rsid w:val="00C40CF8"/>
    <w:rsid w:val="00C40E74"/>
    <w:rsid w:val="00C40F44"/>
    <w:rsid w:val="00C40F58"/>
    <w:rsid w:val="00C41911"/>
    <w:rsid w:val="00C41BE9"/>
    <w:rsid w:val="00C41D13"/>
    <w:rsid w:val="00C41D76"/>
    <w:rsid w:val="00C41ECB"/>
    <w:rsid w:val="00C42201"/>
    <w:rsid w:val="00C42289"/>
    <w:rsid w:val="00C42487"/>
    <w:rsid w:val="00C4262B"/>
    <w:rsid w:val="00C42931"/>
    <w:rsid w:val="00C42CCC"/>
    <w:rsid w:val="00C42F36"/>
    <w:rsid w:val="00C43333"/>
    <w:rsid w:val="00C43370"/>
    <w:rsid w:val="00C43392"/>
    <w:rsid w:val="00C435F1"/>
    <w:rsid w:val="00C4379B"/>
    <w:rsid w:val="00C43913"/>
    <w:rsid w:val="00C43968"/>
    <w:rsid w:val="00C43970"/>
    <w:rsid w:val="00C43C91"/>
    <w:rsid w:val="00C43D35"/>
    <w:rsid w:val="00C43D78"/>
    <w:rsid w:val="00C43FF2"/>
    <w:rsid w:val="00C44B9D"/>
    <w:rsid w:val="00C4502E"/>
    <w:rsid w:val="00C453FF"/>
    <w:rsid w:val="00C4552E"/>
    <w:rsid w:val="00C45839"/>
    <w:rsid w:val="00C45FBA"/>
    <w:rsid w:val="00C460E7"/>
    <w:rsid w:val="00C46481"/>
    <w:rsid w:val="00C4668B"/>
    <w:rsid w:val="00C466DC"/>
    <w:rsid w:val="00C4682A"/>
    <w:rsid w:val="00C471BB"/>
    <w:rsid w:val="00C471FA"/>
    <w:rsid w:val="00C47232"/>
    <w:rsid w:val="00C47638"/>
    <w:rsid w:val="00C47717"/>
    <w:rsid w:val="00C47A1A"/>
    <w:rsid w:val="00C47BC3"/>
    <w:rsid w:val="00C47D2E"/>
    <w:rsid w:val="00C50708"/>
    <w:rsid w:val="00C50878"/>
    <w:rsid w:val="00C509F7"/>
    <w:rsid w:val="00C50F71"/>
    <w:rsid w:val="00C51042"/>
    <w:rsid w:val="00C510D6"/>
    <w:rsid w:val="00C51ADA"/>
    <w:rsid w:val="00C51AFE"/>
    <w:rsid w:val="00C51CE7"/>
    <w:rsid w:val="00C51F1D"/>
    <w:rsid w:val="00C520EB"/>
    <w:rsid w:val="00C52112"/>
    <w:rsid w:val="00C52386"/>
    <w:rsid w:val="00C52537"/>
    <w:rsid w:val="00C52896"/>
    <w:rsid w:val="00C528C7"/>
    <w:rsid w:val="00C52A2B"/>
    <w:rsid w:val="00C52B11"/>
    <w:rsid w:val="00C52B68"/>
    <w:rsid w:val="00C52CE5"/>
    <w:rsid w:val="00C52F36"/>
    <w:rsid w:val="00C53117"/>
    <w:rsid w:val="00C53342"/>
    <w:rsid w:val="00C538AB"/>
    <w:rsid w:val="00C53DC9"/>
    <w:rsid w:val="00C53F94"/>
    <w:rsid w:val="00C5400D"/>
    <w:rsid w:val="00C54230"/>
    <w:rsid w:val="00C544C5"/>
    <w:rsid w:val="00C545C4"/>
    <w:rsid w:val="00C54947"/>
    <w:rsid w:val="00C54BE9"/>
    <w:rsid w:val="00C54F02"/>
    <w:rsid w:val="00C5506A"/>
    <w:rsid w:val="00C55078"/>
    <w:rsid w:val="00C552B4"/>
    <w:rsid w:val="00C5535A"/>
    <w:rsid w:val="00C554C2"/>
    <w:rsid w:val="00C55689"/>
    <w:rsid w:val="00C55E80"/>
    <w:rsid w:val="00C55F7F"/>
    <w:rsid w:val="00C55FC2"/>
    <w:rsid w:val="00C5650C"/>
    <w:rsid w:val="00C56563"/>
    <w:rsid w:val="00C5664E"/>
    <w:rsid w:val="00C56830"/>
    <w:rsid w:val="00C568B6"/>
    <w:rsid w:val="00C56A7F"/>
    <w:rsid w:val="00C56E9A"/>
    <w:rsid w:val="00C5710B"/>
    <w:rsid w:val="00C571ED"/>
    <w:rsid w:val="00C57261"/>
    <w:rsid w:val="00C57618"/>
    <w:rsid w:val="00C57997"/>
    <w:rsid w:val="00C57C11"/>
    <w:rsid w:val="00C57D11"/>
    <w:rsid w:val="00C57D8F"/>
    <w:rsid w:val="00C57DD5"/>
    <w:rsid w:val="00C57FF2"/>
    <w:rsid w:val="00C6045D"/>
    <w:rsid w:val="00C605AB"/>
    <w:rsid w:val="00C60903"/>
    <w:rsid w:val="00C609F4"/>
    <w:rsid w:val="00C60AE1"/>
    <w:rsid w:val="00C61088"/>
    <w:rsid w:val="00C6121A"/>
    <w:rsid w:val="00C612C5"/>
    <w:rsid w:val="00C618C1"/>
    <w:rsid w:val="00C61D2B"/>
    <w:rsid w:val="00C61F19"/>
    <w:rsid w:val="00C62126"/>
    <w:rsid w:val="00C62166"/>
    <w:rsid w:val="00C62179"/>
    <w:rsid w:val="00C6225E"/>
    <w:rsid w:val="00C62369"/>
    <w:rsid w:val="00C624EE"/>
    <w:rsid w:val="00C6252C"/>
    <w:rsid w:val="00C62739"/>
    <w:rsid w:val="00C62BB5"/>
    <w:rsid w:val="00C630E2"/>
    <w:rsid w:val="00C632EE"/>
    <w:rsid w:val="00C636EE"/>
    <w:rsid w:val="00C6399C"/>
    <w:rsid w:val="00C63A87"/>
    <w:rsid w:val="00C63AA7"/>
    <w:rsid w:val="00C64158"/>
    <w:rsid w:val="00C6427F"/>
    <w:rsid w:val="00C64522"/>
    <w:rsid w:val="00C651C8"/>
    <w:rsid w:val="00C65333"/>
    <w:rsid w:val="00C65500"/>
    <w:rsid w:val="00C65941"/>
    <w:rsid w:val="00C65B9D"/>
    <w:rsid w:val="00C65E16"/>
    <w:rsid w:val="00C66265"/>
    <w:rsid w:val="00C663C5"/>
    <w:rsid w:val="00C66825"/>
    <w:rsid w:val="00C66878"/>
    <w:rsid w:val="00C66B43"/>
    <w:rsid w:val="00C67049"/>
    <w:rsid w:val="00C67253"/>
    <w:rsid w:val="00C672CB"/>
    <w:rsid w:val="00C673A5"/>
    <w:rsid w:val="00C67489"/>
    <w:rsid w:val="00C67982"/>
    <w:rsid w:val="00C67A8A"/>
    <w:rsid w:val="00C67AAD"/>
    <w:rsid w:val="00C67B0C"/>
    <w:rsid w:val="00C67DB5"/>
    <w:rsid w:val="00C7069D"/>
    <w:rsid w:val="00C709CD"/>
    <w:rsid w:val="00C70D2F"/>
    <w:rsid w:val="00C7102E"/>
    <w:rsid w:val="00C711FA"/>
    <w:rsid w:val="00C71210"/>
    <w:rsid w:val="00C714C7"/>
    <w:rsid w:val="00C717D4"/>
    <w:rsid w:val="00C7184A"/>
    <w:rsid w:val="00C7185D"/>
    <w:rsid w:val="00C71A74"/>
    <w:rsid w:val="00C71EC7"/>
    <w:rsid w:val="00C71F26"/>
    <w:rsid w:val="00C71F5C"/>
    <w:rsid w:val="00C728F8"/>
    <w:rsid w:val="00C72988"/>
    <w:rsid w:val="00C72BF8"/>
    <w:rsid w:val="00C72C50"/>
    <w:rsid w:val="00C72EFF"/>
    <w:rsid w:val="00C736D9"/>
    <w:rsid w:val="00C737BA"/>
    <w:rsid w:val="00C73831"/>
    <w:rsid w:val="00C73875"/>
    <w:rsid w:val="00C74537"/>
    <w:rsid w:val="00C74899"/>
    <w:rsid w:val="00C748A7"/>
    <w:rsid w:val="00C74A11"/>
    <w:rsid w:val="00C74BF3"/>
    <w:rsid w:val="00C74CC2"/>
    <w:rsid w:val="00C74E74"/>
    <w:rsid w:val="00C74F5F"/>
    <w:rsid w:val="00C755FD"/>
    <w:rsid w:val="00C75649"/>
    <w:rsid w:val="00C7589F"/>
    <w:rsid w:val="00C75B85"/>
    <w:rsid w:val="00C75FFF"/>
    <w:rsid w:val="00C762CF"/>
    <w:rsid w:val="00C76330"/>
    <w:rsid w:val="00C76B8B"/>
    <w:rsid w:val="00C76F76"/>
    <w:rsid w:val="00C771B9"/>
    <w:rsid w:val="00C77BD3"/>
    <w:rsid w:val="00C77C02"/>
    <w:rsid w:val="00C77DD5"/>
    <w:rsid w:val="00C803E9"/>
    <w:rsid w:val="00C8073E"/>
    <w:rsid w:val="00C80A32"/>
    <w:rsid w:val="00C80C18"/>
    <w:rsid w:val="00C80CB6"/>
    <w:rsid w:val="00C80F27"/>
    <w:rsid w:val="00C81071"/>
    <w:rsid w:val="00C810EE"/>
    <w:rsid w:val="00C8119A"/>
    <w:rsid w:val="00C812FC"/>
    <w:rsid w:val="00C81581"/>
    <w:rsid w:val="00C818CE"/>
    <w:rsid w:val="00C81E2E"/>
    <w:rsid w:val="00C81EFC"/>
    <w:rsid w:val="00C81F77"/>
    <w:rsid w:val="00C82164"/>
    <w:rsid w:val="00C824C6"/>
    <w:rsid w:val="00C826AB"/>
    <w:rsid w:val="00C830D0"/>
    <w:rsid w:val="00C83214"/>
    <w:rsid w:val="00C833E4"/>
    <w:rsid w:val="00C83421"/>
    <w:rsid w:val="00C83560"/>
    <w:rsid w:val="00C837D0"/>
    <w:rsid w:val="00C8394B"/>
    <w:rsid w:val="00C83A38"/>
    <w:rsid w:val="00C83DCE"/>
    <w:rsid w:val="00C83FDE"/>
    <w:rsid w:val="00C8402A"/>
    <w:rsid w:val="00C840D7"/>
    <w:rsid w:val="00C841AF"/>
    <w:rsid w:val="00C843F0"/>
    <w:rsid w:val="00C845FE"/>
    <w:rsid w:val="00C84841"/>
    <w:rsid w:val="00C84A30"/>
    <w:rsid w:val="00C84A45"/>
    <w:rsid w:val="00C84BDB"/>
    <w:rsid w:val="00C84ECE"/>
    <w:rsid w:val="00C851A7"/>
    <w:rsid w:val="00C851E8"/>
    <w:rsid w:val="00C853B4"/>
    <w:rsid w:val="00C8567F"/>
    <w:rsid w:val="00C85B44"/>
    <w:rsid w:val="00C85CA4"/>
    <w:rsid w:val="00C86150"/>
    <w:rsid w:val="00C8624A"/>
    <w:rsid w:val="00C86306"/>
    <w:rsid w:val="00C86375"/>
    <w:rsid w:val="00C863B9"/>
    <w:rsid w:val="00C86CCF"/>
    <w:rsid w:val="00C86DA9"/>
    <w:rsid w:val="00C86E75"/>
    <w:rsid w:val="00C87005"/>
    <w:rsid w:val="00C87515"/>
    <w:rsid w:val="00C875D7"/>
    <w:rsid w:val="00C8771A"/>
    <w:rsid w:val="00C878C5"/>
    <w:rsid w:val="00C87997"/>
    <w:rsid w:val="00C87D3C"/>
    <w:rsid w:val="00C87F62"/>
    <w:rsid w:val="00C90079"/>
    <w:rsid w:val="00C900EA"/>
    <w:rsid w:val="00C90350"/>
    <w:rsid w:val="00C9089F"/>
    <w:rsid w:val="00C90962"/>
    <w:rsid w:val="00C90B0C"/>
    <w:rsid w:val="00C90B4A"/>
    <w:rsid w:val="00C90CA4"/>
    <w:rsid w:val="00C90F20"/>
    <w:rsid w:val="00C91026"/>
    <w:rsid w:val="00C911BA"/>
    <w:rsid w:val="00C9131B"/>
    <w:rsid w:val="00C9163C"/>
    <w:rsid w:val="00C91AA6"/>
    <w:rsid w:val="00C91AF9"/>
    <w:rsid w:val="00C91F53"/>
    <w:rsid w:val="00C924AF"/>
    <w:rsid w:val="00C924D8"/>
    <w:rsid w:val="00C9256B"/>
    <w:rsid w:val="00C92613"/>
    <w:rsid w:val="00C92629"/>
    <w:rsid w:val="00C92669"/>
    <w:rsid w:val="00C92E4E"/>
    <w:rsid w:val="00C92F72"/>
    <w:rsid w:val="00C94138"/>
    <w:rsid w:val="00C94186"/>
    <w:rsid w:val="00C9450C"/>
    <w:rsid w:val="00C9458A"/>
    <w:rsid w:val="00C94737"/>
    <w:rsid w:val="00C9485A"/>
    <w:rsid w:val="00C94B47"/>
    <w:rsid w:val="00C94CED"/>
    <w:rsid w:val="00C94D45"/>
    <w:rsid w:val="00C94E62"/>
    <w:rsid w:val="00C94E72"/>
    <w:rsid w:val="00C94FF0"/>
    <w:rsid w:val="00C9510E"/>
    <w:rsid w:val="00C95151"/>
    <w:rsid w:val="00C95152"/>
    <w:rsid w:val="00C953E9"/>
    <w:rsid w:val="00C9542A"/>
    <w:rsid w:val="00C95808"/>
    <w:rsid w:val="00C95AE2"/>
    <w:rsid w:val="00C95B96"/>
    <w:rsid w:val="00C95BAF"/>
    <w:rsid w:val="00C95CC9"/>
    <w:rsid w:val="00C95CCC"/>
    <w:rsid w:val="00C95D21"/>
    <w:rsid w:val="00C95DBB"/>
    <w:rsid w:val="00C95FB3"/>
    <w:rsid w:val="00C961C0"/>
    <w:rsid w:val="00C9628D"/>
    <w:rsid w:val="00C9655D"/>
    <w:rsid w:val="00C9658C"/>
    <w:rsid w:val="00C96B45"/>
    <w:rsid w:val="00C96DAE"/>
    <w:rsid w:val="00C9704B"/>
    <w:rsid w:val="00C9705A"/>
    <w:rsid w:val="00C972E5"/>
    <w:rsid w:val="00C97342"/>
    <w:rsid w:val="00C9737A"/>
    <w:rsid w:val="00C974F0"/>
    <w:rsid w:val="00C97676"/>
    <w:rsid w:val="00C977B3"/>
    <w:rsid w:val="00C97ADE"/>
    <w:rsid w:val="00C97BEC"/>
    <w:rsid w:val="00C97DBA"/>
    <w:rsid w:val="00CA04D8"/>
    <w:rsid w:val="00CA05A3"/>
    <w:rsid w:val="00CA05E7"/>
    <w:rsid w:val="00CA06DB"/>
    <w:rsid w:val="00CA0A22"/>
    <w:rsid w:val="00CA12E3"/>
    <w:rsid w:val="00CA17A8"/>
    <w:rsid w:val="00CA1C24"/>
    <w:rsid w:val="00CA1E75"/>
    <w:rsid w:val="00CA21CC"/>
    <w:rsid w:val="00CA2270"/>
    <w:rsid w:val="00CA2387"/>
    <w:rsid w:val="00CA2D9E"/>
    <w:rsid w:val="00CA2EF1"/>
    <w:rsid w:val="00CA2EF5"/>
    <w:rsid w:val="00CA3180"/>
    <w:rsid w:val="00CA3467"/>
    <w:rsid w:val="00CA359C"/>
    <w:rsid w:val="00CA35D8"/>
    <w:rsid w:val="00CA3A3A"/>
    <w:rsid w:val="00CA3CDF"/>
    <w:rsid w:val="00CA3CEB"/>
    <w:rsid w:val="00CA3F10"/>
    <w:rsid w:val="00CA4220"/>
    <w:rsid w:val="00CA42DC"/>
    <w:rsid w:val="00CA45CB"/>
    <w:rsid w:val="00CA49EF"/>
    <w:rsid w:val="00CA4A2B"/>
    <w:rsid w:val="00CA4AF5"/>
    <w:rsid w:val="00CA4C34"/>
    <w:rsid w:val="00CA4D19"/>
    <w:rsid w:val="00CA4D88"/>
    <w:rsid w:val="00CA4E1C"/>
    <w:rsid w:val="00CA4F38"/>
    <w:rsid w:val="00CA509E"/>
    <w:rsid w:val="00CA518C"/>
    <w:rsid w:val="00CA5367"/>
    <w:rsid w:val="00CA53B4"/>
    <w:rsid w:val="00CA5702"/>
    <w:rsid w:val="00CA593A"/>
    <w:rsid w:val="00CA5DCA"/>
    <w:rsid w:val="00CA6216"/>
    <w:rsid w:val="00CA63EF"/>
    <w:rsid w:val="00CA6475"/>
    <w:rsid w:val="00CA64F1"/>
    <w:rsid w:val="00CA67CD"/>
    <w:rsid w:val="00CA689F"/>
    <w:rsid w:val="00CA6BA5"/>
    <w:rsid w:val="00CA6BBF"/>
    <w:rsid w:val="00CA6C65"/>
    <w:rsid w:val="00CA6E7A"/>
    <w:rsid w:val="00CA6FAA"/>
    <w:rsid w:val="00CA70D0"/>
    <w:rsid w:val="00CA7146"/>
    <w:rsid w:val="00CA72FB"/>
    <w:rsid w:val="00CA7386"/>
    <w:rsid w:val="00CA75B5"/>
    <w:rsid w:val="00CA774D"/>
    <w:rsid w:val="00CA7780"/>
    <w:rsid w:val="00CA7826"/>
    <w:rsid w:val="00CA78BA"/>
    <w:rsid w:val="00CA7E12"/>
    <w:rsid w:val="00CA7F5E"/>
    <w:rsid w:val="00CB0022"/>
    <w:rsid w:val="00CB0198"/>
    <w:rsid w:val="00CB07B8"/>
    <w:rsid w:val="00CB08E6"/>
    <w:rsid w:val="00CB0ABA"/>
    <w:rsid w:val="00CB146F"/>
    <w:rsid w:val="00CB14B7"/>
    <w:rsid w:val="00CB16A7"/>
    <w:rsid w:val="00CB16CA"/>
    <w:rsid w:val="00CB175A"/>
    <w:rsid w:val="00CB1C4F"/>
    <w:rsid w:val="00CB1EB6"/>
    <w:rsid w:val="00CB2009"/>
    <w:rsid w:val="00CB21A5"/>
    <w:rsid w:val="00CB22D9"/>
    <w:rsid w:val="00CB2309"/>
    <w:rsid w:val="00CB23CC"/>
    <w:rsid w:val="00CB2696"/>
    <w:rsid w:val="00CB27EF"/>
    <w:rsid w:val="00CB2819"/>
    <w:rsid w:val="00CB2E62"/>
    <w:rsid w:val="00CB3076"/>
    <w:rsid w:val="00CB3147"/>
    <w:rsid w:val="00CB3284"/>
    <w:rsid w:val="00CB32E6"/>
    <w:rsid w:val="00CB33D4"/>
    <w:rsid w:val="00CB37F9"/>
    <w:rsid w:val="00CB385D"/>
    <w:rsid w:val="00CB38DC"/>
    <w:rsid w:val="00CB3984"/>
    <w:rsid w:val="00CB3988"/>
    <w:rsid w:val="00CB3CBC"/>
    <w:rsid w:val="00CB411B"/>
    <w:rsid w:val="00CB41D7"/>
    <w:rsid w:val="00CB41E3"/>
    <w:rsid w:val="00CB4388"/>
    <w:rsid w:val="00CB4450"/>
    <w:rsid w:val="00CB446E"/>
    <w:rsid w:val="00CB47AC"/>
    <w:rsid w:val="00CB47DF"/>
    <w:rsid w:val="00CB4A60"/>
    <w:rsid w:val="00CB4B50"/>
    <w:rsid w:val="00CB4DC0"/>
    <w:rsid w:val="00CB4EAC"/>
    <w:rsid w:val="00CB52C4"/>
    <w:rsid w:val="00CB5717"/>
    <w:rsid w:val="00CB59C4"/>
    <w:rsid w:val="00CB5B43"/>
    <w:rsid w:val="00CB5D0D"/>
    <w:rsid w:val="00CB5FFA"/>
    <w:rsid w:val="00CB6034"/>
    <w:rsid w:val="00CB61A9"/>
    <w:rsid w:val="00CB628E"/>
    <w:rsid w:val="00CB6606"/>
    <w:rsid w:val="00CB6725"/>
    <w:rsid w:val="00CB686B"/>
    <w:rsid w:val="00CB6919"/>
    <w:rsid w:val="00CB6B2A"/>
    <w:rsid w:val="00CB6B95"/>
    <w:rsid w:val="00CB6BA0"/>
    <w:rsid w:val="00CB6BE1"/>
    <w:rsid w:val="00CB6BE8"/>
    <w:rsid w:val="00CB6C46"/>
    <w:rsid w:val="00CB6E52"/>
    <w:rsid w:val="00CB6F80"/>
    <w:rsid w:val="00CB6FDA"/>
    <w:rsid w:val="00CB7090"/>
    <w:rsid w:val="00CB7199"/>
    <w:rsid w:val="00CB71FE"/>
    <w:rsid w:val="00CB7503"/>
    <w:rsid w:val="00CB75F7"/>
    <w:rsid w:val="00CB7FF4"/>
    <w:rsid w:val="00CC01BB"/>
    <w:rsid w:val="00CC051C"/>
    <w:rsid w:val="00CC059C"/>
    <w:rsid w:val="00CC08BB"/>
    <w:rsid w:val="00CC0E91"/>
    <w:rsid w:val="00CC0EEA"/>
    <w:rsid w:val="00CC100B"/>
    <w:rsid w:val="00CC10BF"/>
    <w:rsid w:val="00CC1466"/>
    <w:rsid w:val="00CC15FD"/>
    <w:rsid w:val="00CC1A0B"/>
    <w:rsid w:val="00CC1C76"/>
    <w:rsid w:val="00CC1FBA"/>
    <w:rsid w:val="00CC2282"/>
    <w:rsid w:val="00CC2348"/>
    <w:rsid w:val="00CC2846"/>
    <w:rsid w:val="00CC2875"/>
    <w:rsid w:val="00CC2961"/>
    <w:rsid w:val="00CC297D"/>
    <w:rsid w:val="00CC2E6D"/>
    <w:rsid w:val="00CC3048"/>
    <w:rsid w:val="00CC3272"/>
    <w:rsid w:val="00CC328E"/>
    <w:rsid w:val="00CC3351"/>
    <w:rsid w:val="00CC348F"/>
    <w:rsid w:val="00CC3A32"/>
    <w:rsid w:val="00CC3B96"/>
    <w:rsid w:val="00CC4293"/>
    <w:rsid w:val="00CC42C3"/>
    <w:rsid w:val="00CC4813"/>
    <w:rsid w:val="00CC483F"/>
    <w:rsid w:val="00CC484B"/>
    <w:rsid w:val="00CC48A5"/>
    <w:rsid w:val="00CC4972"/>
    <w:rsid w:val="00CC4CC7"/>
    <w:rsid w:val="00CC4E13"/>
    <w:rsid w:val="00CC4F38"/>
    <w:rsid w:val="00CC512C"/>
    <w:rsid w:val="00CC58A6"/>
    <w:rsid w:val="00CC5A54"/>
    <w:rsid w:val="00CC5BC4"/>
    <w:rsid w:val="00CC5CE1"/>
    <w:rsid w:val="00CC5EDF"/>
    <w:rsid w:val="00CC60D5"/>
    <w:rsid w:val="00CC61F5"/>
    <w:rsid w:val="00CC63FE"/>
    <w:rsid w:val="00CC6789"/>
    <w:rsid w:val="00CC67F4"/>
    <w:rsid w:val="00CC6B36"/>
    <w:rsid w:val="00CC6C1A"/>
    <w:rsid w:val="00CC707D"/>
    <w:rsid w:val="00CC7B63"/>
    <w:rsid w:val="00CC7BB3"/>
    <w:rsid w:val="00CC7C08"/>
    <w:rsid w:val="00CC7E4D"/>
    <w:rsid w:val="00CD033D"/>
    <w:rsid w:val="00CD0673"/>
    <w:rsid w:val="00CD0EDD"/>
    <w:rsid w:val="00CD0FD0"/>
    <w:rsid w:val="00CD1016"/>
    <w:rsid w:val="00CD1629"/>
    <w:rsid w:val="00CD1A5F"/>
    <w:rsid w:val="00CD1B53"/>
    <w:rsid w:val="00CD1FC1"/>
    <w:rsid w:val="00CD2023"/>
    <w:rsid w:val="00CD20D0"/>
    <w:rsid w:val="00CD2417"/>
    <w:rsid w:val="00CD256C"/>
    <w:rsid w:val="00CD26C3"/>
    <w:rsid w:val="00CD2774"/>
    <w:rsid w:val="00CD29EE"/>
    <w:rsid w:val="00CD2A99"/>
    <w:rsid w:val="00CD2AF7"/>
    <w:rsid w:val="00CD2F21"/>
    <w:rsid w:val="00CD32C3"/>
    <w:rsid w:val="00CD39EF"/>
    <w:rsid w:val="00CD3A47"/>
    <w:rsid w:val="00CD3D4B"/>
    <w:rsid w:val="00CD3D71"/>
    <w:rsid w:val="00CD3F5C"/>
    <w:rsid w:val="00CD4316"/>
    <w:rsid w:val="00CD43C5"/>
    <w:rsid w:val="00CD449F"/>
    <w:rsid w:val="00CD4919"/>
    <w:rsid w:val="00CD4D6D"/>
    <w:rsid w:val="00CD4E62"/>
    <w:rsid w:val="00CD4FE7"/>
    <w:rsid w:val="00CD523A"/>
    <w:rsid w:val="00CD5653"/>
    <w:rsid w:val="00CD5ADE"/>
    <w:rsid w:val="00CD5BBB"/>
    <w:rsid w:val="00CD5D70"/>
    <w:rsid w:val="00CD5F70"/>
    <w:rsid w:val="00CD60E1"/>
    <w:rsid w:val="00CD66E9"/>
    <w:rsid w:val="00CD6ABE"/>
    <w:rsid w:val="00CD6C44"/>
    <w:rsid w:val="00CD6C83"/>
    <w:rsid w:val="00CD6CC0"/>
    <w:rsid w:val="00CD6D88"/>
    <w:rsid w:val="00CD7229"/>
    <w:rsid w:val="00CD72C0"/>
    <w:rsid w:val="00CD768E"/>
    <w:rsid w:val="00CD77BE"/>
    <w:rsid w:val="00CD7B7E"/>
    <w:rsid w:val="00CD7C15"/>
    <w:rsid w:val="00CD7CFB"/>
    <w:rsid w:val="00CD7E1D"/>
    <w:rsid w:val="00CE014E"/>
    <w:rsid w:val="00CE03EF"/>
    <w:rsid w:val="00CE045D"/>
    <w:rsid w:val="00CE04CB"/>
    <w:rsid w:val="00CE0A7F"/>
    <w:rsid w:val="00CE0B1A"/>
    <w:rsid w:val="00CE0C19"/>
    <w:rsid w:val="00CE0C75"/>
    <w:rsid w:val="00CE0CDE"/>
    <w:rsid w:val="00CE0E05"/>
    <w:rsid w:val="00CE0F09"/>
    <w:rsid w:val="00CE0FA9"/>
    <w:rsid w:val="00CE11BC"/>
    <w:rsid w:val="00CE1543"/>
    <w:rsid w:val="00CE1550"/>
    <w:rsid w:val="00CE17E2"/>
    <w:rsid w:val="00CE1800"/>
    <w:rsid w:val="00CE18BB"/>
    <w:rsid w:val="00CE1A5D"/>
    <w:rsid w:val="00CE1CD7"/>
    <w:rsid w:val="00CE2041"/>
    <w:rsid w:val="00CE2188"/>
    <w:rsid w:val="00CE21AE"/>
    <w:rsid w:val="00CE228C"/>
    <w:rsid w:val="00CE24E3"/>
    <w:rsid w:val="00CE2617"/>
    <w:rsid w:val="00CE2C42"/>
    <w:rsid w:val="00CE2F9C"/>
    <w:rsid w:val="00CE316F"/>
    <w:rsid w:val="00CE3358"/>
    <w:rsid w:val="00CE36B1"/>
    <w:rsid w:val="00CE3D0C"/>
    <w:rsid w:val="00CE3D13"/>
    <w:rsid w:val="00CE3DE7"/>
    <w:rsid w:val="00CE4489"/>
    <w:rsid w:val="00CE4591"/>
    <w:rsid w:val="00CE497C"/>
    <w:rsid w:val="00CE4A72"/>
    <w:rsid w:val="00CE4EA6"/>
    <w:rsid w:val="00CE4F1F"/>
    <w:rsid w:val="00CE52AF"/>
    <w:rsid w:val="00CE56CE"/>
    <w:rsid w:val="00CE56F3"/>
    <w:rsid w:val="00CE58BC"/>
    <w:rsid w:val="00CE5BDE"/>
    <w:rsid w:val="00CE5C22"/>
    <w:rsid w:val="00CE5C78"/>
    <w:rsid w:val="00CE5EB2"/>
    <w:rsid w:val="00CE5FF3"/>
    <w:rsid w:val="00CE5FF7"/>
    <w:rsid w:val="00CE6339"/>
    <w:rsid w:val="00CE6696"/>
    <w:rsid w:val="00CE6886"/>
    <w:rsid w:val="00CE6B2E"/>
    <w:rsid w:val="00CE6BAA"/>
    <w:rsid w:val="00CE6BDB"/>
    <w:rsid w:val="00CE6C55"/>
    <w:rsid w:val="00CE6DD3"/>
    <w:rsid w:val="00CE6EA3"/>
    <w:rsid w:val="00CE6F6B"/>
    <w:rsid w:val="00CE7132"/>
    <w:rsid w:val="00CE747A"/>
    <w:rsid w:val="00CE75ED"/>
    <w:rsid w:val="00CE7723"/>
    <w:rsid w:val="00CE79D8"/>
    <w:rsid w:val="00CE7A33"/>
    <w:rsid w:val="00CE7B2F"/>
    <w:rsid w:val="00CE7D85"/>
    <w:rsid w:val="00CE7DBB"/>
    <w:rsid w:val="00CE7FB9"/>
    <w:rsid w:val="00CF0740"/>
    <w:rsid w:val="00CF0872"/>
    <w:rsid w:val="00CF0AA4"/>
    <w:rsid w:val="00CF0C34"/>
    <w:rsid w:val="00CF0D55"/>
    <w:rsid w:val="00CF0E1A"/>
    <w:rsid w:val="00CF1042"/>
    <w:rsid w:val="00CF118B"/>
    <w:rsid w:val="00CF11C6"/>
    <w:rsid w:val="00CF12B7"/>
    <w:rsid w:val="00CF14D5"/>
    <w:rsid w:val="00CF14F8"/>
    <w:rsid w:val="00CF15D6"/>
    <w:rsid w:val="00CF1602"/>
    <w:rsid w:val="00CF1703"/>
    <w:rsid w:val="00CF17AC"/>
    <w:rsid w:val="00CF1A78"/>
    <w:rsid w:val="00CF1B6D"/>
    <w:rsid w:val="00CF21FB"/>
    <w:rsid w:val="00CF221B"/>
    <w:rsid w:val="00CF228D"/>
    <w:rsid w:val="00CF2436"/>
    <w:rsid w:val="00CF24AE"/>
    <w:rsid w:val="00CF25E3"/>
    <w:rsid w:val="00CF28F8"/>
    <w:rsid w:val="00CF2937"/>
    <w:rsid w:val="00CF2A4D"/>
    <w:rsid w:val="00CF2C33"/>
    <w:rsid w:val="00CF31DF"/>
    <w:rsid w:val="00CF337E"/>
    <w:rsid w:val="00CF337F"/>
    <w:rsid w:val="00CF3850"/>
    <w:rsid w:val="00CF3FF8"/>
    <w:rsid w:val="00CF403F"/>
    <w:rsid w:val="00CF4067"/>
    <w:rsid w:val="00CF41E2"/>
    <w:rsid w:val="00CF49C5"/>
    <w:rsid w:val="00CF4B4C"/>
    <w:rsid w:val="00CF4FFC"/>
    <w:rsid w:val="00CF5330"/>
    <w:rsid w:val="00CF537F"/>
    <w:rsid w:val="00CF5399"/>
    <w:rsid w:val="00CF56C0"/>
    <w:rsid w:val="00CF5832"/>
    <w:rsid w:val="00CF5860"/>
    <w:rsid w:val="00CF587C"/>
    <w:rsid w:val="00CF5965"/>
    <w:rsid w:val="00CF59BD"/>
    <w:rsid w:val="00CF59F1"/>
    <w:rsid w:val="00CF5C0F"/>
    <w:rsid w:val="00CF5EE7"/>
    <w:rsid w:val="00CF61B7"/>
    <w:rsid w:val="00CF62CA"/>
    <w:rsid w:val="00CF6331"/>
    <w:rsid w:val="00CF643E"/>
    <w:rsid w:val="00CF64E3"/>
    <w:rsid w:val="00CF6B9E"/>
    <w:rsid w:val="00CF73EA"/>
    <w:rsid w:val="00CF73FB"/>
    <w:rsid w:val="00CF7493"/>
    <w:rsid w:val="00CF756E"/>
    <w:rsid w:val="00CF7A0F"/>
    <w:rsid w:val="00CF7C8E"/>
    <w:rsid w:val="00CF7D1B"/>
    <w:rsid w:val="00CF7DF1"/>
    <w:rsid w:val="00D00062"/>
    <w:rsid w:val="00D000DE"/>
    <w:rsid w:val="00D00256"/>
    <w:rsid w:val="00D00281"/>
    <w:rsid w:val="00D00344"/>
    <w:rsid w:val="00D0051E"/>
    <w:rsid w:val="00D00577"/>
    <w:rsid w:val="00D006FC"/>
    <w:rsid w:val="00D0074D"/>
    <w:rsid w:val="00D008A1"/>
    <w:rsid w:val="00D00AA8"/>
    <w:rsid w:val="00D01EE3"/>
    <w:rsid w:val="00D021FD"/>
    <w:rsid w:val="00D02261"/>
    <w:rsid w:val="00D026D6"/>
    <w:rsid w:val="00D0286B"/>
    <w:rsid w:val="00D02A46"/>
    <w:rsid w:val="00D02D16"/>
    <w:rsid w:val="00D0303E"/>
    <w:rsid w:val="00D03072"/>
    <w:rsid w:val="00D031CD"/>
    <w:rsid w:val="00D036C4"/>
    <w:rsid w:val="00D037B7"/>
    <w:rsid w:val="00D03D90"/>
    <w:rsid w:val="00D03EDB"/>
    <w:rsid w:val="00D03F35"/>
    <w:rsid w:val="00D03FDC"/>
    <w:rsid w:val="00D03FF1"/>
    <w:rsid w:val="00D047BA"/>
    <w:rsid w:val="00D04E28"/>
    <w:rsid w:val="00D04FE1"/>
    <w:rsid w:val="00D05119"/>
    <w:rsid w:val="00D05438"/>
    <w:rsid w:val="00D0594D"/>
    <w:rsid w:val="00D05A0B"/>
    <w:rsid w:val="00D05D74"/>
    <w:rsid w:val="00D05F13"/>
    <w:rsid w:val="00D0641E"/>
    <w:rsid w:val="00D06544"/>
    <w:rsid w:val="00D0654D"/>
    <w:rsid w:val="00D067AF"/>
    <w:rsid w:val="00D06BA0"/>
    <w:rsid w:val="00D06CD9"/>
    <w:rsid w:val="00D06D35"/>
    <w:rsid w:val="00D06DB4"/>
    <w:rsid w:val="00D06E7F"/>
    <w:rsid w:val="00D06F08"/>
    <w:rsid w:val="00D06F7D"/>
    <w:rsid w:val="00D06F8F"/>
    <w:rsid w:val="00D07458"/>
    <w:rsid w:val="00D0753C"/>
    <w:rsid w:val="00D07817"/>
    <w:rsid w:val="00D078CE"/>
    <w:rsid w:val="00D07A62"/>
    <w:rsid w:val="00D07C5C"/>
    <w:rsid w:val="00D10043"/>
    <w:rsid w:val="00D101F7"/>
    <w:rsid w:val="00D1037E"/>
    <w:rsid w:val="00D104D8"/>
    <w:rsid w:val="00D1073F"/>
    <w:rsid w:val="00D108BB"/>
    <w:rsid w:val="00D10C5C"/>
    <w:rsid w:val="00D10D7A"/>
    <w:rsid w:val="00D11429"/>
    <w:rsid w:val="00D114F1"/>
    <w:rsid w:val="00D115EF"/>
    <w:rsid w:val="00D117C6"/>
    <w:rsid w:val="00D117D4"/>
    <w:rsid w:val="00D11918"/>
    <w:rsid w:val="00D11CD1"/>
    <w:rsid w:val="00D11F82"/>
    <w:rsid w:val="00D11FB8"/>
    <w:rsid w:val="00D12049"/>
    <w:rsid w:val="00D121B0"/>
    <w:rsid w:val="00D1227D"/>
    <w:rsid w:val="00D122B0"/>
    <w:rsid w:val="00D1267A"/>
    <w:rsid w:val="00D12A70"/>
    <w:rsid w:val="00D12AF2"/>
    <w:rsid w:val="00D12B62"/>
    <w:rsid w:val="00D12B94"/>
    <w:rsid w:val="00D12BF8"/>
    <w:rsid w:val="00D12C24"/>
    <w:rsid w:val="00D12D00"/>
    <w:rsid w:val="00D12DEF"/>
    <w:rsid w:val="00D1344B"/>
    <w:rsid w:val="00D1344E"/>
    <w:rsid w:val="00D1365A"/>
    <w:rsid w:val="00D13757"/>
    <w:rsid w:val="00D13BD5"/>
    <w:rsid w:val="00D13BF1"/>
    <w:rsid w:val="00D13CF0"/>
    <w:rsid w:val="00D13D89"/>
    <w:rsid w:val="00D141EA"/>
    <w:rsid w:val="00D14361"/>
    <w:rsid w:val="00D1441B"/>
    <w:rsid w:val="00D14463"/>
    <w:rsid w:val="00D146C4"/>
    <w:rsid w:val="00D14ADC"/>
    <w:rsid w:val="00D151A7"/>
    <w:rsid w:val="00D152B4"/>
    <w:rsid w:val="00D15345"/>
    <w:rsid w:val="00D153DF"/>
    <w:rsid w:val="00D159A4"/>
    <w:rsid w:val="00D15BB6"/>
    <w:rsid w:val="00D15C36"/>
    <w:rsid w:val="00D15F14"/>
    <w:rsid w:val="00D161BB"/>
    <w:rsid w:val="00D1627C"/>
    <w:rsid w:val="00D1647C"/>
    <w:rsid w:val="00D16574"/>
    <w:rsid w:val="00D1696B"/>
    <w:rsid w:val="00D16B40"/>
    <w:rsid w:val="00D16FCA"/>
    <w:rsid w:val="00D17041"/>
    <w:rsid w:val="00D1718E"/>
    <w:rsid w:val="00D17492"/>
    <w:rsid w:val="00D179C0"/>
    <w:rsid w:val="00D17FF9"/>
    <w:rsid w:val="00D20102"/>
    <w:rsid w:val="00D2028C"/>
    <w:rsid w:val="00D203B9"/>
    <w:rsid w:val="00D20668"/>
    <w:rsid w:val="00D209CB"/>
    <w:rsid w:val="00D20D0B"/>
    <w:rsid w:val="00D21331"/>
    <w:rsid w:val="00D216D0"/>
    <w:rsid w:val="00D21953"/>
    <w:rsid w:val="00D21BAF"/>
    <w:rsid w:val="00D21D20"/>
    <w:rsid w:val="00D22056"/>
    <w:rsid w:val="00D22278"/>
    <w:rsid w:val="00D226A8"/>
    <w:rsid w:val="00D226C3"/>
    <w:rsid w:val="00D22783"/>
    <w:rsid w:val="00D22797"/>
    <w:rsid w:val="00D227C0"/>
    <w:rsid w:val="00D2293F"/>
    <w:rsid w:val="00D22A79"/>
    <w:rsid w:val="00D2306D"/>
    <w:rsid w:val="00D2356C"/>
    <w:rsid w:val="00D23683"/>
    <w:rsid w:val="00D237A3"/>
    <w:rsid w:val="00D240D5"/>
    <w:rsid w:val="00D2418E"/>
    <w:rsid w:val="00D242D2"/>
    <w:rsid w:val="00D24441"/>
    <w:rsid w:val="00D24534"/>
    <w:rsid w:val="00D24552"/>
    <w:rsid w:val="00D245AA"/>
    <w:rsid w:val="00D2462D"/>
    <w:rsid w:val="00D2485B"/>
    <w:rsid w:val="00D249E1"/>
    <w:rsid w:val="00D24B3A"/>
    <w:rsid w:val="00D24E54"/>
    <w:rsid w:val="00D24EB6"/>
    <w:rsid w:val="00D24FE9"/>
    <w:rsid w:val="00D25578"/>
    <w:rsid w:val="00D25954"/>
    <w:rsid w:val="00D2599F"/>
    <w:rsid w:val="00D25EF7"/>
    <w:rsid w:val="00D26023"/>
    <w:rsid w:val="00D26031"/>
    <w:rsid w:val="00D260CA"/>
    <w:rsid w:val="00D260E6"/>
    <w:rsid w:val="00D2649B"/>
    <w:rsid w:val="00D265A3"/>
    <w:rsid w:val="00D2664E"/>
    <w:rsid w:val="00D267BB"/>
    <w:rsid w:val="00D26A52"/>
    <w:rsid w:val="00D26AC5"/>
    <w:rsid w:val="00D26D63"/>
    <w:rsid w:val="00D27193"/>
    <w:rsid w:val="00D27506"/>
    <w:rsid w:val="00D27509"/>
    <w:rsid w:val="00D277BA"/>
    <w:rsid w:val="00D278E1"/>
    <w:rsid w:val="00D27C97"/>
    <w:rsid w:val="00D27E74"/>
    <w:rsid w:val="00D3006B"/>
    <w:rsid w:val="00D30204"/>
    <w:rsid w:val="00D30408"/>
    <w:rsid w:val="00D3063F"/>
    <w:rsid w:val="00D30682"/>
    <w:rsid w:val="00D3087C"/>
    <w:rsid w:val="00D308C6"/>
    <w:rsid w:val="00D30A4E"/>
    <w:rsid w:val="00D30E43"/>
    <w:rsid w:val="00D30FFD"/>
    <w:rsid w:val="00D311A0"/>
    <w:rsid w:val="00D314ED"/>
    <w:rsid w:val="00D31647"/>
    <w:rsid w:val="00D317F1"/>
    <w:rsid w:val="00D31914"/>
    <w:rsid w:val="00D3198F"/>
    <w:rsid w:val="00D31AB8"/>
    <w:rsid w:val="00D31FF9"/>
    <w:rsid w:val="00D31FFB"/>
    <w:rsid w:val="00D32305"/>
    <w:rsid w:val="00D32327"/>
    <w:rsid w:val="00D32342"/>
    <w:rsid w:val="00D3275A"/>
    <w:rsid w:val="00D32B71"/>
    <w:rsid w:val="00D32FD2"/>
    <w:rsid w:val="00D33028"/>
    <w:rsid w:val="00D33145"/>
    <w:rsid w:val="00D33187"/>
    <w:rsid w:val="00D331F1"/>
    <w:rsid w:val="00D332B9"/>
    <w:rsid w:val="00D339ED"/>
    <w:rsid w:val="00D33B19"/>
    <w:rsid w:val="00D33B7C"/>
    <w:rsid w:val="00D33E5E"/>
    <w:rsid w:val="00D33EC9"/>
    <w:rsid w:val="00D33F34"/>
    <w:rsid w:val="00D33F7C"/>
    <w:rsid w:val="00D343FC"/>
    <w:rsid w:val="00D34650"/>
    <w:rsid w:val="00D34687"/>
    <w:rsid w:val="00D349AD"/>
    <w:rsid w:val="00D34AA7"/>
    <w:rsid w:val="00D34B38"/>
    <w:rsid w:val="00D34BA4"/>
    <w:rsid w:val="00D34E9F"/>
    <w:rsid w:val="00D34FD0"/>
    <w:rsid w:val="00D35160"/>
    <w:rsid w:val="00D35336"/>
    <w:rsid w:val="00D35389"/>
    <w:rsid w:val="00D35404"/>
    <w:rsid w:val="00D35487"/>
    <w:rsid w:val="00D35728"/>
    <w:rsid w:val="00D35B0B"/>
    <w:rsid w:val="00D35C14"/>
    <w:rsid w:val="00D35D7B"/>
    <w:rsid w:val="00D36013"/>
    <w:rsid w:val="00D36149"/>
    <w:rsid w:val="00D36524"/>
    <w:rsid w:val="00D36711"/>
    <w:rsid w:val="00D3692C"/>
    <w:rsid w:val="00D369CA"/>
    <w:rsid w:val="00D36EA5"/>
    <w:rsid w:val="00D37057"/>
    <w:rsid w:val="00D370FF"/>
    <w:rsid w:val="00D37222"/>
    <w:rsid w:val="00D37285"/>
    <w:rsid w:val="00D3732B"/>
    <w:rsid w:val="00D3773A"/>
    <w:rsid w:val="00D37840"/>
    <w:rsid w:val="00D3794E"/>
    <w:rsid w:val="00D37DAF"/>
    <w:rsid w:val="00D37F59"/>
    <w:rsid w:val="00D4031B"/>
    <w:rsid w:val="00D40595"/>
    <w:rsid w:val="00D40C61"/>
    <w:rsid w:val="00D40F00"/>
    <w:rsid w:val="00D40F51"/>
    <w:rsid w:val="00D41029"/>
    <w:rsid w:val="00D41059"/>
    <w:rsid w:val="00D412B5"/>
    <w:rsid w:val="00D413AC"/>
    <w:rsid w:val="00D414D9"/>
    <w:rsid w:val="00D4193A"/>
    <w:rsid w:val="00D41A2C"/>
    <w:rsid w:val="00D41A79"/>
    <w:rsid w:val="00D41D46"/>
    <w:rsid w:val="00D41EB0"/>
    <w:rsid w:val="00D41FEF"/>
    <w:rsid w:val="00D42016"/>
    <w:rsid w:val="00D420F6"/>
    <w:rsid w:val="00D4214F"/>
    <w:rsid w:val="00D42171"/>
    <w:rsid w:val="00D42425"/>
    <w:rsid w:val="00D42699"/>
    <w:rsid w:val="00D4278A"/>
    <w:rsid w:val="00D42B68"/>
    <w:rsid w:val="00D42BBF"/>
    <w:rsid w:val="00D42C2D"/>
    <w:rsid w:val="00D4322B"/>
    <w:rsid w:val="00D433C0"/>
    <w:rsid w:val="00D43480"/>
    <w:rsid w:val="00D4381E"/>
    <w:rsid w:val="00D4393B"/>
    <w:rsid w:val="00D439C2"/>
    <w:rsid w:val="00D43A60"/>
    <w:rsid w:val="00D43DCF"/>
    <w:rsid w:val="00D443BD"/>
    <w:rsid w:val="00D446B9"/>
    <w:rsid w:val="00D447A0"/>
    <w:rsid w:val="00D448ED"/>
    <w:rsid w:val="00D44ACE"/>
    <w:rsid w:val="00D44B6F"/>
    <w:rsid w:val="00D44D4D"/>
    <w:rsid w:val="00D44EF9"/>
    <w:rsid w:val="00D45034"/>
    <w:rsid w:val="00D450D1"/>
    <w:rsid w:val="00D451EB"/>
    <w:rsid w:val="00D45222"/>
    <w:rsid w:val="00D4531E"/>
    <w:rsid w:val="00D459A8"/>
    <w:rsid w:val="00D45C1D"/>
    <w:rsid w:val="00D45F1B"/>
    <w:rsid w:val="00D46061"/>
    <w:rsid w:val="00D46116"/>
    <w:rsid w:val="00D4617A"/>
    <w:rsid w:val="00D4653B"/>
    <w:rsid w:val="00D4658E"/>
    <w:rsid w:val="00D468C4"/>
    <w:rsid w:val="00D46931"/>
    <w:rsid w:val="00D46AAB"/>
    <w:rsid w:val="00D4722E"/>
    <w:rsid w:val="00D47482"/>
    <w:rsid w:val="00D47508"/>
    <w:rsid w:val="00D47615"/>
    <w:rsid w:val="00D47652"/>
    <w:rsid w:val="00D47E18"/>
    <w:rsid w:val="00D500C1"/>
    <w:rsid w:val="00D5010A"/>
    <w:rsid w:val="00D502E9"/>
    <w:rsid w:val="00D50387"/>
    <w:rsid w:val="00D50486"/>
    <w:rsid w:val="00D5060B"/>
    <w:rsid w:val="00D5077D"/>
    <w:rsid w:val="00D50857"/>
    <w:rsid w:val="00D50BDF"/>
    <w:rsid w:val="00D50CBD"/>
    <w:rsid w:val="00D50EA8"/>
    <w:rsid w:val="00D513A0"/>
    <w:rsid w:val="00D513D7"/>
    <w:rsid w:val="00D51799"/>
    <w:rsid w:val="00D51826"/>
    <w:rsid w:val="00D51903"/>
    <w:rsid w:val="00D51CC4"/>
    <w:rsid w:val="00D51D8C"/>
    <w:rsid w:val="00D52006"/>
    <w:rsid w:val="00D521B5"/>
    <w:rsid w:val="00D521F4"/>
    <w:rsid w:val="00D524E4"/>
    <w:rsid w:val="00D52863"/>
    <w:rsid w:val="00D528CA"/>
    <w:rsid w:val="00D52AA3"/>
    <w:rsid w:val="00D52CB2"/>
    <w:rsid w:val="00D52F79"/>
    <w:rsid w:val="00D52FB7"/>
    <w:rsid w:val="00D53064"/>
    <w:rsid w:val="00D53213"/>
    <w:rsid w:val="00D534E7"/>
    <w:rsid w:val="00D535DA"/>
    <w:rsid w:val="00D5386C"/>
    <w:rsid w:val="00D5392A"/>
    <w:rsid w:val="00D53DB5"/>
    <w:rsid w:val="00D54622"/>
    <w:rsid w:val="00D5467D"/>
    <w:rsid w:val="00D54C97"/>
    <w:rsid w:val="00D54D59"/>
    <w:rsid w:val="00D54F1F"/>
    <w:rsid w:val="00D551B0"/>
    <w:rsid w:val="00D55251"/>
    <w:rsid w:val="00D55276"/>
    <w:rsid w:val="00D557E4"/>
    <w:rsid w:val="00D55BCC"/>
    <w:rsid w:val="00D5616B"/>
    <w:rsid w:val="00D5635A"/>
    <w:rsid w:val="00D56689"/>
    <w:rsid w:val="00D566C6"/>
    <w:rsid w:val="00D5682A"/>
    <w:rsid w:val="00D56C07"/>
    <w:rsid w:val="00D56F52"/>
    <w:rsid w:val="00D5715E"/>
    <w:rsid w:val="00D57357"/>
    <w:rsid w:val="00D573A0"/>
    <w:rsid w:val="00D574D6"/>
    <w:rsid w:val="00D576E2"/>
    <w:rsid w:val="00D5773D"/>
    <w:rsid w:val="00D578C9"/>
    <w:rsid w:val="00D57973"/>
    <w:rsid w:val="00D57A6D"/>
    <w:rsid w:val="00D57AED"/>
    <w:rsid w:val="00D57C4C"/>
    <w:rsid w:val="00D57D27"/>
    <w:rsid w:val="00D57D7C"/>
    <w:rsid w:val="00D6012D"/>
    <w:rsid w:val="00D60136"/>
    <w:rsid w:val="00D60558"/>
    <w:rsid w:val="00D60614"/>
    <w:rsid w:val="00D60B3D"/>
    <w:rsid w:val="00D60DF5"/>
    <w:rsid w:val="00D6111C"/>
    <w:rsid w:val="00D619B5"/>
    <w:rsid w:val="00D61AA4"/>
    <w:rsid w:val="00D61E6E"/>
    <w:rsid w:val="00D6218B"/>
    <w:rsid w:val="00D6289F"/>
    <w:rsid w:val="00D629C4"/>
    <w:rsid w:val="00D63473"/>
    <w:rsid w:val="00D634E6"/>
    <w:rsid w:val="00D63650"/>
    <w:rsid w:val="00D6370E"/>
    <w:rsid w:val="00D63799"/>
    <w:rsid w:val="00D63C97"/>
    <w:rsid w:val="00D640F2"/>
    <w:rsid w:val="00D64195"/>
    <w:rsid w:val="00D6496F"/>
    <w:rsid w:val="00D64CA5"/>
    <w:rsid w:val="00D64E65"/>
    <w:rsid w:val="00D64FBA"/>
    <w:rsid w:val="00D650B9"/>
    <w:rsid w:val="00D653CC"/>
    <w:rsid w:val="00D657FD"/>
    <w:rsid w:val="00D65B53"/>
    <w:rsid w:val="00D65CD2"/>
    <w:rsid w:val="00D66161"/>
    <w:rsid w:val="00D664E4"/>
    <w:rsid w:val="00D66526"/>
    <w:rsid w:val="00D6678A"/>
    <w:rsid w:val="00D67113"/>
    <w:rsid w:val="00D67179"/>
    <w:rsid w:val="00D671B0"/>
    <w:rsid w:val="00D672C5"/>
    <w:rsid w:val="00D672E9"/>
    <w:rsid w:val="00D673FA"/>
    <w:rsid w:val="00D675FE"/>
    <w:rsid w:val="00D677A5"/>
    <w:rsid w:val="00D6793A"/>
    <w:rsid w:val="00D67DAB"/>
    <w:rsid w:val="00D67F0A"/>
    <w:rsid w:val="00D70078"/>
    <w:rsid w:val="00D70096"/>
    <w:rsid w:val="00D70184"/>
    <w:rsid w:val="00D70242"/>
    <w:rsid w:val="00D70281"/>
    <w:rsid w:val="00D70432"/>
    <w:rsid w:val="00D70589"/>
    <w:rsid w:val="00D70674"/>
    <w:rsid w:val="00D70EC4"/>
    <w:rsid w:val="00D711E8"/>
    <w:rsid w:val="00D71318"/>
    <w:rsid w:val="00D713FF"/>
    <w:rsid w:val="00D715AB"/>
    <w:rsid w:val="00D71674"/>
    <w:rsid w:val="00D71B04"/>
    <w:rsid w:val="00D71CAC"/>
    <w:rsid w:val="00D71F15"/>
    <w:rsid w:val="00D72717"/>
    <w:rsid w:val="00D72799"/>
    <w:rsid w:val="00D7290B"/>
    <w:rsid w:val="00D72A21"/>
    <w:rsid w:val="00D72A43"/>
    <w:rsid w:val="00D72F83"/>
    <w:rsid w:val="00D734B3"/>
    <w:rsid w:val="00D736D0"/>
    <w:rsid w:val="00D73AFF"/>
    <w:rsid w:val="00D73F68"/>
    <w:rsid w:val="00D74122"/>
    <w:rsid w:val="00D7430F"/>
    <w:rsid w:val="00D748E9"/>
    <w:rsid w:val="00D74C3C"/>
    <w:rsid w:val="00D74C7D"/>
    <w:rsid w:val="00D74D7B"/>
    <w:rsid w:val="00D74ECB"/>
    <w:rsid w:val="00D74ED7"/>
    <w:rsid w:val="00D74F63"/>
    <w:rsid w:val="00D75044"/>
    <w:rsid w:val="00D7505F"/>
    <w:rsid w:val="00D7507B"/>
    <w:rsid w:val="00D755DE"/>
    <w:rsid w:val="00D75C71"/>
    <w:rsid w:val="00D76388"/>
    <w:rsid w:val="00D7641B"/>
    <w:rsid w:val="00D76753"/>
    <w:rsid w:val="00D76DC1"/>
    <w:rsid w:val="00D76F7A"/>
    <w:rsid w:val="00D76FB5"/>
    <w:rsid w:val="00D77176"/>
    <w:rsid w:val="00D771B0"/>
    <w:rsid w:val="00D77386"/>
    <w:rsid w:val="00D775E3"/>
    <w:rsid w:val="00D776E1"/>
    <w:rsid w:val="00D77720"/>
    <w:rsid w:val="00D778D8"/>
    <w:rsid w:val="00D77A9D"/>
    <w:rsid w:val="00D77E2D"/>
    <w:rsid w:val="00D80133"/>
    <w:rsid w:val="00D80292"/>
    <w:rsid w:val="00D804FB"/>
    <w:rsid w:val="00D80539"/>
    <w:rsid w:val="00D805C5"/>
    <w:rsid w:val="00D805FE"/>
    <w:rsid w:val="00D80736"/>
    <w:rsid w:val="00D80841"/>
    <w:rsid w:val="00D80C99"/>
    <w:rsid w:val="00D80EE9"/>
    <w:rsid w:val="00D81C05"/>
    <w:rsid w:val="00D81C39"/>
    <w:rsid w:val="00D81D79"/>
    <w:rsid w:val="00D820CF"/>
    <w:rsid w:val="00D821A3"/>
    <w:rsid w:val="00D824CB"/>
    <w:rsid w:val="00D82530"/>
    <w:rsid w:val="00D82757"/>
    <w:rsid w:val="00D829E7"/>
    <w:rsid w:val="00D82AE5"/>
    <w:rsid w:val="00D82B5B"/>
    <w:rsid w:val="00D82CA4"/>
    <w:rsid w:val="00D82F3A"/>
    <w:rsid w:val="00D83494"/>
    <w:rsid w:val="00D83543"/>
    <w:rsid w:val="00D8399F"/>
    <w:rsid w:val="00D83C82"/>
    <w:rsid w:val="00D83D41"/>
    <w:rsid w:val="00D83D6D"/>
    <w:rsid w:val="00D83E6A"/>
    <w:rsid w:val="00D841F5"/>
    <w:rsid w:val="00D8437D"/>
    <w:rsid w:val="00D847E8"/>
    <w:rsid w:val="00D84948"/>
    <w:rsid w:val="00D84B1F"/>
    <w:rsid w:val="00D84B7A"/>
    <w:rsid w:val="00D84CBE"/>
    <w:rsid w:val="00D85100"/>
    <w:rsid w:val="00D85118"/>
    <w:rsid w:val="00D852FB"/>
    <w:rsid w:val="00D8538E"/>
    <w:rsid w:val="00D85436"/>
    <w:rsid w:val="00D8543F"/>
    <w:rsid w:val="00D85535"/>
    <w:rsid w:val="00D85600"/>
    <w:rsid w:val="00D85605"/>
    <w:rsid w:val="00D85920"/>
    <w:rsid w:val="00D85DB8"/>
    <w:rsid w:val="00D85EB7"/>
    <w:rsid w:val="00D85F0C"/>
    <w:rsid w:val="00D86379"/>
    <w:rsid w:val="00D86710"/>
    <w:rsid w:val="00D8678F"/>
    <w:rsid w:val="00D86981"/>
    <w:rsid w:val="00D86ABF"/>
    <w:rsid w:val="00D86CB1"/>
    <w:rsid w:val="00D870FC"/>
    <w:rsid w:val="00D873DD"/>
    <w:rsid w:val="00D876F6"/>
    <w:rsid w:val="00D87758"/>
    <w:rsid w:val="00D87767"/>
    <w:rsid w:val="00D877B8"/>
    <w:rsid w:val="00D87998"/>
    <w:rsid w:val="00D87BCC"/>
    <w:rsid w:val="00D87D8D"/>
    <w:rsid w:val="00D87EDA"/>
    <w:rsid w:val="00D90006"/>
    <w:rsid w:val="00D9014F"/>
    <w:rsid w:val="00D901DF"/>
    <w:rsid w:val="00D90763"/>
    <w:rsid w:val="00D9088C"/>
    <w:rsid w:val="00D90AAE"/>
    <w:rsid w:val="00D90B4E"/>
    <w:rsid w:val="00D90BE5"/>
    <w:rsid w:val="00D90E44"/>
    <w:rsid w:val="00D9123D"/>
    <w:rsid w:val="00D912F3"/>
    <w:rsid w:val="00D9142F"/>
    <w:rsid w:val="00D9175F"/>
    <w:rsid w:val="00D91A88"/>
    <w:rsid w:val="00D91D6A"/>
    <w:rsid w:val="00D91DB4"/>
    <w:rsid w:val="00D91E94"/>
    <w:rsid w:val="00D91F4B"/>
    <w:rsid w:val="00D92000"/>
    <w:rsid w:val="00D9211F"/>
    <w:rsid w:val="00D9225B"/>
    <w:rsid w:val="00D922C0"/>
    <w:rsid w:val="00D9262A"/>
    <w:rsid w:val="00D9265B"/>
    <w:rsid w:val="00D926AE"/>
    <w:rsid w:val="00D92711"/>
    <w:rsid w:val="00D92A35"/>
    <w:rsid w:val="00D92BC0"/>
    <w:rsid w:val="00D9305C"/>
    <w:rsid w:val="00D930EC"/>
    <w:rsid w:val="00D9327F"/>
    <w:rsid w:val="00D9374C"/>
    <w:rsid w:val="00D93E49"/>
    <w:rsid w:val="00D93ECC"/>
    <w:rsid w:val="00D93F30"/>
    <w:rsid w:val="00D93F51"/>
    <w:rsid w:val="00D9403F"/>
    <w:rsid w:val="00D941DF"/>
    <w:rsid w:val="00D94261"/>
    <w:rsid w:val="00D9430A"/>
    <w:rsid w:val="00D9458C"/>
    <w:rsid w:val="00D94740"/>
    <w:rsid w:val="00D94AC5"/>
    <w:rsid w:val="00D94BBC"/>
    <w:rsid w:val="00D9511F"/>
    <w:rsid w:val="00D95136"/>
    <w:rsid w:val="00D9584E"/>
    <w:rsid w:val="00D958D8"/>
    <w:rsid w:val="00D959B0"/>
    <w:rsid w:val="00D95EDB"/>
    <w:rsid w:val="00D96235"/>
    <w:rsid w:val="00D96310"/>
    <w:rsid w:val="00D966B8"/>
    <w:rsid w:val="00D966BF"/>
    <w:rsid w:val="00D972E0"/>
    <w:rsid w:val="00D973C5"/>
    <w:rsid w:val="00D975AB"/>
    <w:rsid w:val="00D97B24"/>
    <w:rsid w:val="00D97C9F"/>
    <w:rsid w:val="00D97CDC"/>
    <w:rsid w:val="00DA000B"/>
    <w:rsid w:val="00DA0232"/>
    <w:rsid w:val="00DA03D5"/>
    <w:rsid w:val="00DA0B8C"/>
    <w:rsid w:val="00DA0C1D"/>
    <w:rsid w:val="00DA10B9"/>
    <w:rsid w:val="00DA1103"/>
    <w:rsid w:val="00DA120F"/>
    <w:rsid w:val="00DA1226"/>
    <w:rsid w:val="00DA13B5"/>
    <w:rsid w:val="00DA14B3"/>
    <w:rsid w:val="00DA162F"/>
    <w:rsid w:val="00DA16FC"/>
    <w:rsid w:val="00DA1A94"/>
    <w:rsid w:val="00DA1AB0"/>
    <w:rsid w:val="00DA1ADD"/>
    <w:rsid w:val="00DA1C80"/>
    <w:rsid w:val="00DA244C"/>
    <w:rsid w:val="00DA273F"/>
    <w:rsid w:val="00DA27E5"/>
    <w:rsid w:val="00DA2DB1"/>
    <w:rsid w:val="00DA2DCF"/>
    <w:rsid w:val="00DA3229"/>
    <w:rsid w:val="00DA326D"/>
    <w:rsid w:val="00DA32CA"/>
    <w:rsid w:val="00DA358B"/>
    <w:rsid w:val="00DA3601"/>
    <w:rsid w:val="00DA39B3"/>
    <w:rsid w:val="00DA3ACD"/>
    <w:rsid w:val="00DA3C0F"/>
    <w:rsid w:val="00DA41A8"/>
    <w:rsid w:val="00DA453E"/>
    <w:rsid w:val="00DA4906"/>
    <w:rsid w:val="00DA4C2D"/>
    <w:rsid w:val="00DA4E16"/>
    <w:rsid w:val="00DA4E1D"/>
    <w:rsid w:val="00DA54A0"/>
    <w:rsid w:val="00DA54F6"/>
    <w:rsid w:val="00DA568A"/>
    <w:rsid w:val="00DA57DD"/>
    <w:rsid w:val="00DA5934"/>
    <w:rsid w:val="00DA599C"/>
    <w:rsid w:val="00DA6002"/>
    <w:rsid w:val="00DA6079"/>
    <w:rsid w:val="00DA6208"/>
    <w:rsid w:val="00DA68FB"/>
    <w:rsid w:val="00DA6C43"/>
    <w:rsid w:val="00DA6DE6"/>
    <w:rsid w:val="00DA6E3B"/>
    <w:rsid w:val="00DA6EA8"/>
    <w:rsid w:val="00DA71A9"/>
    <w:rsid w:val="00DA749E"/>
    <w:rsid w:val="00DA763B"/>
    <w:rsid w:val="00DA7729"/>
    <w:rsid w:val="00DA7982"/>
    <w:rsid w:val="00DA7AA7"/>
    <w:rsid w:val="00DA7B1C"/>
    <w:rsid w:val="00DB00E1"/>
    <w:rsid w:val="00DB064D"/>
    <w:rsid w:val="00DB07F2"/>
    <w:rsid w:val="00DB0A0D"/>
    <w:rsid w:val="00DB0A76"/>
    <w:rsid w:val="00DB0CB8"/>
    <w:rsid w:val="00DB0EC4"/>
    <w:rsid w:val="00DB0EEE"/>
    <w:rsid w:val="00DB174D"/>
    <w:rsid w:val="00DB1844"/>
    <w:rsid w:val="00DB2934"/>
    <w:rsid w:val="00DB2A5E"/>
    <w:rsid w:val="00DB2CF0"/>
    <w:rsid w:val="00DB2DC6"/>
    <w:rsid w:val="00DB326F"/>
    <w:rsid w:val="00DB32A6"/>
    <w:rsid w:val="00DB35EE"/>
    <w:rsid w:val="00DB3757"/>
    <w:rsid w:val="00DB3A1F"/>
    <w:rsid w:val="00DB3B71"/>
    <w:rsid w:val="00DB3D4B"/>
    <w:rsid w:val="00DB404B"/>
    <w:rsid w:val="00DB40DB"/>
    <w:rsid w:val="00DB43C3"/>
    <w:rsid w:val="00DB473A"/>
    <w:rsid w:val="00DB49B0"/>
    <w:rsid w:val="00DB49C1"/>
    <w:rsid w:val="00DB4A21"/>
    <w:rsid w:val="00DB4C88"/>
    <w:rsid w:val="00DB4CC2"/>
    <w:rsid w:val="00DB4CEC"/>
    <w:rsid w:val="00DB51FB"/>
    <w:rsid w:val="00DB5405"/>
    <w:rsid w:val="00DB5479"/>
    <w:rsid w:val="00DB566B"/>
    <w:rsid w:val="00DB570C"/>
    <w:rsid w:val="00DB58BB"/>
    <w:rsid w:val="00DB594F"/>
    <w:rsid w:val="00DB59D7"/>
    <w:rsid w:val="00DB5BA8"/>
    <w:rsid w:val="00DB5D7A"/>
    <w:rsid w:val="00DB6007"/>
    <w:rsid w:val="00DB62F6"/>
    <w:rsid w:val="00DB691A"/>
    <w:rsid w:val="00DB6A9E"/>
    <w:rsid w:val="00DB6BD7"/>
    <w:rsid w:val="00DB6CDE"/>
    <w:rsid w:val="00DB74DD"/>
    <w:rsid w:val="00DB766A"/>
    <w:rsid w:val="00DB76BF"/>
    <w:rsid w:val="00DB7BD7"/>
    <w:rsid w:val="00DB7C8C"/>
    <w:rsid w:val="00DB7D0D"/>
    <w:rsid w:val="00DB7ED9"/>
    <w:rsid w:val="00DC016A"/>
    <w:rsid w:val="00DC0258"/>
    <w:rsid w:val="00DC04A3"/>
    <w:rsid w:val="00DC0938"/>
    <w:rsid w:val="00DC0C26"/>
    <w:rsid w:val="00DC0C8A"/>
    <w:rsid w:val="00DC0DCD"/>
    <w:rsid w:val="00DC1118"/>
    <w:rsid w:val="00DC1288"/>
    <w:rsid w:val="00DC19B1"/>
    <w:rsid w:val="00DC1D1B"/>
    <w:rsid w:val="00DC1D39"/>
    <w:rsid w:val="00DC1DB1"/>
    <w:rsid w:val="00DC1DD5"/>
    <w:rsid w:val="00DC1F3E"/>
    <w:rsid w:val="00DC2100"/>
    <w:rsid w:val="00DC2523"/>
    <w:rsid w:val="00DC2586"/>
    <w:rsid w:val="00DC2980"/>
    <w:rsid w:val="00DC3081"/>
    <w:rsid w:val="00DC30F7"/>
    <w:rsid w:val="00DC3AFF"/>
    <w:rsid w:val="00DC3D06"/>
    <w:rsid w:val="00DC3F12"/>
    <w:rsid w:val="00DC40B1"/>
    <w:rsid w:val="00DC413C"/>
    <w:rsid w:val="00DC47AC"/>
    <w:rsid w:val="00DC4825"/>
    <w:rsid w:val="00DC4955"/>
    <w:rsid w:val="00DC4A18"/>
    <w:rsid w:val="00DC4A64"/>
    <w:rsid w:val="00DC4C2A"/>
    <w:rsid w:val="00DC4C3A"/>
    <w:rsid w:val="00DC4FE5"/>
    <w:rsid w:val="00DC508E"/>
    <w:rsid w:val="00DC546F"/>
    <w:rsid w:val="00DC55A9"/>
    <w:rsid w:val="00DC57BD"/>
    <w:rsid w:val="00DC5803"/>
    <w:rsid w:val="00DC59F5"/>
    <w:rsid w:val="00DC5DE0"/>
    <w:rsid w:val="00DC5E7F"/>
    <w:rsid w:val="00DC5F32"/>
    <w:rsid w:val="00DC5F43"/>
    <w:rsid w:val="00DC6032"/>
    <w:rsid w:val="00DC6580"/>
    <w:rsid w:val="00DC6718"/>
    <w:rsid w:val="00DC6766"/>
    <w:rsid w:val="00DC68D3"/>
    <w:rsid w:val="00DC6A91"/>
    <w:rsid w:val="00DC7053"/>
    <w:rsid w:val="00DC714C"/>
    <w:rsid w:val="00DC721A"/>
    <w:rsid w:val="00DC73F1"/>
    <w:rsid w:val="00DC7430"/>
    <w:rsid w:val="00DC79A8"/>
    <w:rsid w:val="00DD034A"/>
    <w:rsid w:val="00DD0509"/>
    <w:rsid w:val="00DD05A2"/>
    <w:rsid w:val="00DD07D0"/>
    <w:rsid w:val="00DD0892"/>
    <w:rsid w:val="00DD09C8"/>
    <w:rsid w:val="00DD0AA2"/>
    <w:rsid w:val="00DD1136"/>
    <w:rsid w:val="00DD13E4"/>
    <w:rsid w:val="00DD15C7"/>
    <w:rsid w:val="00DD1645"/>
    <w:rsid w:val="00DD1A69"/>
    <w:rsid w:val="00DD1C04"/>
    <w:rsid w:val="00DD1FBB"/>
    <w:rsid w:val="00DD2159"/>
    <w:rsid w:val="00DD21DC"/>
    <w:rsid w:val="00DD2786"/>
    <w:rsid w:val="00DD27E8"/>
    <w:rsid w:val="00DD2AD9"/>
    <w:rsid w:val="00DD2DD5"/>
    <w:rsid w:val="00DD2E0A"/>
    <w:rsid w:val="00DD3024"/>
    <w:rsid w:val="00DD3657"/>
    <w:rsid w:val="00DD3794"/>
    <w:rsid w:val="00DD39FC"/>
    <w:rsid w:val="00DD3AD2"/>
    <w:rsid w:val="00DD3AF7"/>
    <w:rsid w:val="00DD3E4F"/>
    <w:rsid w:val="00DD3F56"/>
    <w:rsid w:val="00DD42EC"/>
    <w:rsid w:val="00DD4495"/>
    <w:rsid w:val="00DD4A4C"/>
    <w:rsid w:val="00DD4AF3"/>
    <w:rsid w:val="00DD4B92"/>
    <w:rsid w:val="00DD4C48"/>
    <w:rsid w:val="00DD4C51"/>
    <w:rsid w:val="00DD4C84"/>
    <w:rsid w:val="00DD4CAC"/>
    <w:rsid w:val="00DD4EA9"/>
    <w:rsid w:val="00DD4FEF"/>
    <w:rsid w:val="00DD5211"/>
    <w:rsid w:val="00DD526A"/>
    <w:rsid w:val="00DD533D"/>
    <w:rsid w:val="00DD59C0"/>
    <w:rsid w:val="00DD5A6F"/>
    <w:rsid w:val="00DD5C55"/>
    <w:rsid w:val="00DD5E7A"/>
    <w:rsid w:val="00DD615E"/>
    <w:rsid w:val="00DD61E6"/>
    <w:rsid w:val="00DD62E1"/>
    <w:rsid w:val="00DD6598"/>
    <w:rsid w:val="00DD66EC"/>
    <w:rsid w:val="00DD6973"/>
    <w:rsid w:val="00DD6B5F"/>
    <w:rsid w:val="00DD6BCC"/>
    <w:rsid w:val="00DD6FED"/>
    <w:rsid w:val="00DD7004"/>
    <w:rsid w:val="00DD7627"/>
    <w:rsid w:val="00DD7F20"/>
    <w:rsid w:val="00DD7F37"/>
    <w:rsid w:val="00DE03B9"/>
    <w:rsid w:val="00DE050F"/>
    <w:rsid w:val="00DE0516"/>
    <w:rsid w:val="00DE0592"/>
    <w:rsid w:val="00DE0980"/>
    <w:rsid w:val="00DE0D2C"/>
    <w:rsid w:val="00DE0D3C"/>
    <w:rsid w:val="00DE1011"/>
    <w:rsid w:val="00DE10CB"/>
    <w:rsid w:val="00DE137F"/>
    <w:rsid w:val="00DE1404"/>
    <w:rsid w:val="00DE1B72"/>
    <w:rsid w:val="00DE1BC8"/>
    <w:rsid w:val="00DE1C61"/>
    <w:rsid w:val="00DE2528"/>
    <w:rsid w:val="00DE25FC"/>
    <w:rsid w:val="00DE2C98"/>
    <w:rsid w:val="00DE2D2C"/>
    <w:rsid w:val="00DE3087"/>
    <w:rsid w:val="00DE3B44"/>
    <w:rsid w:val="00DE3F3D"/>
    <w:rsid w:val="00DE41CB"/>
    <w:rsid w:val="00DE429D"/>
    <w:rsid w:val="00DE45C9"/>
    <w:rsid w:val="00DE46F6"/>
    <w:rsid w:val="00DE487F"/>
    <w:rsid w:val="00DE4979"/>
    <w:rsid w:val="00DE49EE"/>
    <w:rsid w:val="00DE4AB9"/>
    <w:rsid w:val="00DE4D11"/>
    <w:rsid w:val="00DE4DBC"/>
    <w:rsid w:val="00DE4E00"/>
    <w:rsid w:val="00DE504F"/>
    <w:rsid w:val="00DE5052"/>
    <w:rsid w:val="00DE5290"/>
    <w:rsid w:val="00DE563C"/>
    <w:rsid w:val="00DE5745"/>
    <w:rsid w:val="00DE5822"/>
    <w:rsid w:val="00DE5A2E"/>
    <w:rsid w:val="00DE601A"/>
    <w:rsid w:val="00DE64DA"/>
    <w:rsid w:val="00DE68AB"/>
    <w:rsid w:val="00DE6ED3"/>
    <w:rsid w:val="00DE6FA1"/>
    <w:rsid w:val="00DE73D2"/>
    <w:rsid w:val="00DE7468"/>
    <w:rsid w:val="00DE7478"/>
    <w:rsid w:val="00DE76FB"/>
    <w:rsid w:val="00DE7776"/>
    <w:rsid w:val="00DE7844"/>
    <w:rsid w:val="00DE78D0"/>
    <w:rsid w:val="00DE7C63"/>
    <w:rsid w:val="00DE7CEB"/>
    <w:rsid w:val="00DE7DC0"/>
    <w:rsid w:val="00DE7F3F"/>
    <w:rsid w:val="00DF01D1"/>
    <w:rsid w:val="00DF034A"/>
    <w:rsid w:val="00DF035A"/>
    <w:rsid w:val="00DF046C"/>
    <w:rsid w:val="00DF0AE5"/>
    <w:rsid w:val="00DF0B37"/>
    <w:rsid w:val="00DF0BDD"/>
    <w:rsid w:val="00DF0D14"/>
    <w:rsid w:val="00DF0FB1"/>
    <w:rsid w:val="00DF1037"/>
    <w:rsid w:val="00DF1260"/>
    <w:rsid w:val="00DF1325"/>
    <w:rsid w:val="00DF16D2"/>
    <w:rsid w:val="00DF232B"/>
    <w:rsid w:val="00DF254F"/>
    <w:rsid w:val="00DF2804"/>
    <w:rsid w:val="00DF29E5"/>
    <w:rsid w:val="00DF2C2D"/>
    <w:rsid w:val="00DF2D21"/>
    <w:rsid w:val="00DF2F88"/>
    <w:rsid w:val="00DF34EC"/>
    <w:rsid w:val="00DF3548"/>
    <w:rsid w:val="00DF3563"/>
    <w:rsid w:val="00DF38B7"/>
    <w:rsid w:val="00DF39B8"/>
    <w:rsid w:val="00DF3A93"/>
    <w:rsid w:val="00DF3B98"/>
    <w:rsid w:val="00DF3EAB"/>
    <w:rsid w:val="00DF3F7B"/>
    <w:rsid w:val="00DF3F8F"/>
    <w:rsid w:val="00DF405F"/>
    <w:rsid w:val="00DF43A2"/>
    <w:rsid w:val="00DF4738"/>
    <w:rsid w:val="00DF493B"/>
    <w:rsid w:val="00DF49CE"/>
    <w:rsid w:val="00DF4B9F"/>
    <w:rsid w:val="00DF4CF7"/>
    <w:rsid w:val="00DF4DCA"/>
    <w:rsid w:val="00DF4E9A"/>
    <w:rsid w:val="00DF56AF"/>
    <w:rsid w:val="00DF5735"/>
    <w:rsid w:val="00DF5D7D"/>
    <w:rsid w:val="00DF5EE2"/>
    <w:rsid w:val="00DF605B"/>
    <w:rsid w:val="00DF631F"/>
    <w:rsid w:val="00DF6365"/>
    <w:rsid w:val="00DF6C50"/>
    <w:rsid w:val="00DF6CB6"/>
    <w:rsid w:val="00DF6D02"/>
    <w:rsid w:val="00DF6D81"/>
    <w:rsid w:val="00DF6E50"/>
    <w:rsid w:val="00DF760E"/>
    <w:rsid w:val="00DF77AC"/>
    <w:rsid w:val="00DF7C49"/>
    <w:rsid w:val="00E00244"/>
    <w:rsid w:val="00E002F2"/>
    <w:rsid w:val="00E00330"/>
    <w:rsid w:val="00E00388"/>
    <w:rsid w:val="00E00571"/>
    <w:rsid w:val="00E006CD"/>
    <w:rsid w:val="00E007B3"/>
    <w:rsid w:val="00E007D8"/>
    <w:rsid w:val="00E00986"/>
    <w:rsid w:val="00E010F5"/>
    <w:rsid w:val="00E01115"/>
    <w:rsid w:val="00E011CA"/>
    <w:rsid w:val="00E01218"/>
    <w:rsid w:val="00E012AE"/>
    <w:rsid w:val="00E014D5"/>
    <w:rsid w:val="00E016E4"/>
    <w:rsid w:val="00E01A76"/>
    <w:rsid w:val="00E01A7B"/>
    <w:rsid w:val="00E01B7D"/>
    <w:rsid w:val="00E01DD3"/>
    <w:rsid w:val="00E01EA0"/>
    <w:rsid w:val="00E0245F"/>
    <w:rsid w:val="00E02502"/>
    <w:rsid w:val="00E0259C"/>
    <w:rsid w:val="00E026A3"/>
    <w:rsid w:val="00E02704"/>
    <w:rsid w:val="00E02F23"/>
    <w:rsid w:val="00E03371"/>
    <w:rsid w:val="00E036AE"/>
    <w:rsid w:val="00E03949"/>
    <w:rsid w:val="00E03E21"/>
    <w:rsid w:val="00E0410F"/>
    <w:rsid w:val="00E041A2"/>
    <w:rsid w:val="00E043C8"/>
    <w:rsid w:val="00E045D8"/>
    <w:rsid w:val="00E04685"/>
    <w:rsid w:val="00E04852"/>
    <w:rsid w:val="00E04C6D"/>
    <w:rsid w:val="00E04CBF"/>
    <w:rsid w:val="00E04F55"/>
    <w:rsid w:val="00E04F91"/>
    <w:rsid w:val="00E0552E"/>
    <w:rsid w:val="00E0562A"/>
    <w:rsid w:val="00E056CA"/>
    <w:rsid w:val="00E05AE1"/>
    <w:rsid w:val="00E05DE4"/>
    <w:rsid w:val="00E05FA8"/>
    <w:rsid w:val="00E06501"/>
    <w:rsid w:val="00E06531"/>
    <w:rsid w:val="00E06601"/>
    <w:rsid w:val="00E0660E"/>
    <w:rsid w:val="00E06659"/>
    <w:rsid w:val="00E06A42"/>
    <w:rsid w:val="00E06E9F"/>
    <w:rsid w:val="00E06FDE"/>
    <w:rsid w:val="00E07017"/>
    <w:rsid w:val="00E07029"/>
    <w:rsid w:val="00E07073"/>
    <w:rsid w:val="00E070A5"/>
    <w:rsid w:val="00E073EC"/>
    <w:rsid w:val="00E076B5"/>
    <w:rsid w:val="00E076B8"/>
    <w:rsid w:val="00E076C0"/>
    <w:rsid w:val="00E0776D"/>
    <w:rsid w:val="00E079C9"/>
    <w:rsid w:val="00E07B6E"/>
    <w:rsid w:val="00E07DD8"/>
    <w:rsid w:val="00E07ED8"/>
    <w:rsid w:val="00E10380"/>
    <w:rsid w:val="00E10A29"/>
    <w:rsid w:val="00E10AB3"/>
    <w:rsid w:val="00E10ABA"/>
    <w:rsid w:val="00E10C92"/>
    <w:rsid w:val="00E11AED"/>
    <w:rsid w:val="00E11BDB"/>
    <w:rsid w:val="00E11CAB"/>
    <w:rsid w:val="00E11DB3"/>
    <w:rsid w:val="00E11E46"/>
    <w:rsid w:val="00E11EBB"/>
    <w:rsid w:val="00E120C0"/>
    <w:rsid w:val="00E12106"/>
    <w:rsid w:val="00E12616"/>
    <w:rsid w:val="00E12855"/>
    <w:rsid w:val="00E128CD"/>
    <w:rsid w:val="00E12903"/>
    <w:rsid w:val="00E13043"/>
    <w:rsid w:val="00E131A3"/>
    <w:rsid w:val="00E132E0"/>
    <w:rsid w:val="00E13317"/>
    <w:rsid w:val="00E13355"/>
    <w:rsid w:val="00E133CD"/>
    <w:rsid w:val="00E13483"/>
    <w:rsid w:val="00E13F52"/>
    <w:rsid w:val="00E1424A"/>
    <w:rsid w:val="00E144B8"/>
    <w:rsid w:val="00E146DF"/>
    <w:rsid w:val="00E147BF"/>
    <w:rsid w:val="00E14B45"/>
    <w:rsid w:val="00E14B4B"/>
    <w:rsid w:val="00E14F5D"/>
    <w:rsid w:val="00E14F95"/>
    <w:rsid w:val="00E15260"/>
    <w:rsid w:val="00E153AA"/>
    <w:rsid w:val="00E1557F"/>
    <w:rsid w:val="00E159A6"/>
    <w:rsid w:val="00E15BFC"/>
    <w:rsid w:val="00E15CF8"/>
    <w:rsid w:val="00E15D11"/>
    <w:rsid w:val="00E162A6"/>
    <w:rsid w:val="00E166E3"/>
    <w:rsid w:val="00E16987"/>
    <w:rsid w:val="00E169A2"/>
    <w:rsid w:val="00E16CE8"/>
    <w:rsid w:val="00E16D55"/>
    <w:rsid w:val="00E16FD8"/>
    <w:rsid w:val="00E172E4"/>
    <w:rsid w:val="00E174B8"/>
    <w:rsid w:val="00E174FE"/>
    <w:rsid w:val="00E17804"/>
    <w:rsid w:val="00E1793D"/>
    <w:rsid w:val="00E179CF"/>
    <w:rsid w:val="00E17C3A"/>
    <w:rsid w:val="00E17FF6"/>
    <w:rsid w:val="00E20382"/>
    <w:rsid w:val="00E203CB"/>
    <w:rsid w:val="00E20647"/>
    <w:rsid w:val="00E206F5"/>
    <w:rsid w:val="00E20715"/>
    <w:rsid w:val="00E208E5"/>
    <w:rsid w:val="00E20A07"/>
    <w:rsid w:val="00E20A2A"/>
    <w:rsid w:val="00E20D4E"/>
    <w:rsid w:val="00E20FD0"/>
    <w:rsid w:val="00E20FF1"/>
    <w:rsid w:val="00E2125E"/>
    <w:rsid w:val="00E213A8"/>
    <w:rsid w:val="00E216D9"/>
    <w:rsid w:val="00E21705"/>
    <w:rsid w:val="00E21718"/>
    <w:rsid w:val="00E21C94"/>
    <w:rsid w:val="00E2202E"/>
    <w:rsid w:val="00E2210C"/>
    <w:rsid w:val="00E221F1"/>
    <w:rsid w:val="00E223A2"/>
    <w:rsid w:val="00E226FD"/>
    <w:rsid w:val="00E228C9"/>
    <w:rsid w:val="00E22DC5"/>
    <w:rsid w:val="00E23004"/>
    <w:rsid w:val="00E23223"/>
    <w:rsid w:val="00E23241"/>
    <w:rsid w:val="00E2373A"/>
    <w:rsid w:val="00E23982"/>
    <w:rsid w:val="00E23D02"/>
    <w:rsid w:val="00E24299"/>
    <w:rsid w:val="00E242B4"/>
    <w:rsid w:val="00E2430F"/>
    <w:rsid w:val="00E24496"/>
    <w:rsid w:val="00E24669"/>
    <w:rsid w:val="00E2486D"/>
    <w:rsid w:val="00E248C0"/>
    <w:rsid w:val="00E24BE9"/>
    <w:rsid w:val="00E24D96"/>
    <w:rsid w:val="00E252BB"/>
    <w:rsid w:val="00E252CB"/>
    <w:rsid w:val="00E258A9"/>
    <w:rsid w:val="00E25AC6"/>
    <w:rsid w:val="00E25B7B"/>
    <w:rsid w:val="00E25FEE"/>
    <w:rsid w:val="00E26323"/>
    <w:rsid w:val="00E26358"/>
    <w:rsid w:val="00E267B3"/>
    <w:rsid w:val="00E269DB"/>
    <w:rsid w:val="00E26B61"/>
    <w:rsid w:val="00E26BBD"/>
    <w:rsid w:val="00E27138"/>
    <w:rsid w:val="00E274E0"/>
    <w:rsid w:val="00E2779A"/>
    <w:rsid w:val="00E2779C"/>
    <w:rsid w:val="00E278D8"/>
    <w:rsid w:val="00E27A6E"/>
    <w:rsid w:val="00E27B63"/>
    <w:rsid w:val="00E27D27"/>
    <w:rsid w:val="00E3020F"/>
    <w:rsid w:val="00E30432"/>
    <w:rsid w:val="00E30460"/>
    <w:rsid w:val="00E305EC"/>
    <w:rsid w:val="00E306FB"/>
    <w:rsid w:val="00E30B78"/>
    <w:rsid w:val="00E30CB4"/>
    <w:rsid w:val="00E30EB4"/>
    <w:rsid w:val="00E30ED4"/>
    <w:rsid w:val="00E311BF"/>
    <w:rsid w:val="00E311F0"/>
    <w:rsid w:val="00E3143F"/>
    <w:rsid w:val="00E31481"/>
    <w:rsid w:val="00E3153B"/>
    <w:rsid w:val="00E316D4"/>
    <w:rsid w:val="00E31AE1"/>
    <w:rsid w:val="00E31CAC"/>
    <w:rsid w:val="00E31DA4"/>
    <w:rsid w:val="00E31E32"/>
    <w:rsid w:val="00E31E55"/>
    <w:rsid w:val="00E32258"/>
    <w:rsid w:val="00E32F73"/>
    <w:rsid w:val="00E331D1"/>
    <w:rsid w:val="00E33399"/>
    <w:rsid w:val="00E334C4"/>
    <w:rsid w:val="00E3390A"/>
    <w:rsid w:val="00E33AE7"/>
    <w:rsid w:val="00E341CB"/>
    <w:rsid w:val="00E345C5"/>
    <w:rsid w:val="00E347BE"/>
    <w:rsid w:val="00E34AF5"/>
    <w:rsid w:val="00E3506B"/>
    <w:rsid w:val="00E350AB"/>
    <w:rsid w:val="00E350CD"/>
    <w:rsid w:val="00E3557A"/>
    <w:rsid w:val="00E35851"/>
    <w:rsid w:val="00E35C0C"/>
    <w:rsid w:val="00E35D65"/>
    <w:rsid w:val="00E35EB1"/>
    <w:rsid w:val="00E35F92"/>
    <w:rsid w:val="00E36003"/>
    <w:rsid w:val="00E360A9"/>
    <w:rsid w:val="00E364D3"/>
    <w:rsid w:val="00E364D9"/>
    <w:rsid w:val="00E366BE"/>
    <w:rsid w:val="00E36807"/>
    <w:rsid w:val="00E368E7"/>
    <w:rsid w:val="00E36AA3"/>
    <w:rsid w:val="00E36E1D"/>
    <w:rsid w:val="00E36E32"/>
    <w:rsid w:val="00E36E7D"/>
    <w:rsid w:val="00E36E84"/>
    <w:rsid w:val="00E36F1C"/>
    <w:rsid w:val="00E372BF"/>
    <w:rsid w:val="00E37343"/>
    <w:rsid w:val="00E373F1"/>
    <w:rsid w:val="00E376F5"/>
    <w:rsid w:val="00E37A12"/>
    <w:rsid w:val="00E37FE1"/>
    <w:rsid w:val="00E40269"/>
    <w:rsid w:val="00E40323"/>
    <w:rsid w:val="00E4052E"/>
    <w:rsid w:val="00E40659"/>
    <w:rsid w:val="00E40871"/>
    <w:rsid w:val="00E40FF6"/>
    <w:rsid w:val="00E410BE"/>
    <w:rsid w:val="00E414A8"/>
    <w:rsid w:val="00E416B9"/>
    <w:rsid w:val="00E41730"/>
    <w:rsid w:val="00E4178C"/>
    <w:rsid w:val="00E41793"/>
    <w:rsid w:val="00E418DA"/>
    <w:rsid w:val="00E41D6E"/>
    <w:rsid w:val="00E42128"/>
    <w:rsid w:val="00E422BB"/>
    <w:rsid w:val="00E4260A"/>
    <w:rsid w:val="00E42727"/>
    <w:rsid w:val="00E42C0B"/>
    <w:rsid w:val="00E42D13"/>
    <w:rsid w:val="00E42FD6"/>
    <w:rsid w:val="00E4305C"/>
    <w:rsid w:val="00E43647"/>
    <w:rsid w:val="00E43651"/>
    <w:rsid w:val="00E436FC"/>
    <w:rsid w:val="00E4374D"/>
    <w:rsid w:val="00E43893"/>
    <w:rsid w:val="00E43C89"/>
    <w:rsid w:val="00E43D77"/>
    <w:rsid w:val="00E43F48"/>
    <w:rsid w:val="00E4408D"/>
    <w:rsid w:val="00E4414E"/>
    <w:rsid w:val="00E446AA"/>
    <w:rsid w:val="00E44901"/>
    <w:rsid w:val="00E44DC4"/>
    <w:rsid w:val="00E44DD1"/>
    <w:rsid w:val="00E44E10"/>
    <w:rsid w:val="00E4510B"/>
    <w:rsid w:val="00E4555C"/>
    <w:rsid w:val="00E455F5"/>
    <w:rsid w:val="00E4562D"/>
    <w:rsid w:val="00E456FE"/>
    <w:rsid w:val="00E45DC7"/>
    <w:rsid w:val="00E460A2"/>
    <w:rsid w:val="00E4636B"/>
    <w:rsid w:val="00E46631"/>
    <w:rsid w:val="00E46749"/>
    <w:rsid w:val="00E469DA"/>
    <w:rsid w:val="00E46B2D"/>
    <w:rsid w:val="00E46B41"/>
    <w:rsid w:val="00E4700A"/>
    <w:rsid w:val="00E478B3"/>
    <w:rsid w:val="00E47A18"/>
    <w:rsid w:val="00E47B4B"/>
    <w:rsid w:val="00E47B83"/>
    <w:rsid w:val="00E47F0E"/>
    <w:rsid w:val="00E50035"/>
    <w:rsid w:val="00E50196"/>
    <w:rsid w:val="00E5040C"/>
    <w:rsid w:val="00E5058C"/>
    <w:rsid w:val="00E50688"/>
    <w:rsid w:val="00E507A0"/>
    <w:rsid w:val="00E507C3"/>
    <w:rsid w:val="00E50A7B"/>
    <w:rsid w:val="00E50B00"/>
    <w:rsid w:val="00E50C1C"/>
    <w:rsid w:val="00E50C2B"/>
    <w:rsid w:val="00E50C44"/>
    <w:rsid w:val="00E50CD5"/>
    <w:rsid w:val="00E50E61"/>
    <w:rsid w:val="00E50EA6"/>
    <w:rsid w:val="00E50F54"/>
    <w:rsid w:val="00E50F9C"/>
    <w:rsid w:val="00E510E4"/>
    <w:rsid w:val="00E51145"/>
    <w:rsid w:val="00E512F9"/>
    <w:rsid w:val="00E51356"/>
    <w:rsid w:val="00E514C3"/>
    <w:rsid w:val="00E517A1"/>
    <w:rsid w:val="00E517FB"/>
    <w:rsid w:val="00E51A52"/>
    <w:rsid w:val="00E51D81"/>
    <w:rsid w:val="00E5246C"/>
    <w:rsid w:val="00E5255A"/>
    <w:rsid w:val="00E52613"/>
    <w:rsid w:val="00E52734"/>
    <w:rsid w:val="00E52955"/>
    <w:rsid w:val="00E52AFD"/>
    <w:rsid w:val="00E52D1E"/>
    <w:rsid w:val="00E52D48"/>
    <w:rsid w:val="00E53209"/>
    <w:rsid w:val="00E5336F"/>
    <w:rsid w:val="00E5343E"/>
    <w:rsid w:val="00E534EF"/>
    <w:rsid w:val="00E53763"/>
    <w:rsid w:val="00E53809"/>
    <w:rsid w:val="00E53931"/>
    <w:rsid w:val="00E53B4E"/>
    <w:rsid w:val="00E53DC5"/>
    <w:rsid w:val="00E53E28"/>
    <w:rsid w:val="00E53F54"/>
    <w:rsid w:val="00E54182"/>
    <w:rsid w:val="00E5464C"/>
    <w:rsid w:val="00E5467A"/>
    <w:rsid w:val="00E5476F"/>
    <w:rsid w:val="00E548E3"/>
    <w:rsid w:val="00E54931"/>
    <w:rsid w:val="00E549DC"/>
    <w:rsid w:val="00E54A14"/>
    <w:rsid w:val="00E54A9F"/>
    <w:rsid w:val="00E54CFB"/>
    <w:rsid w:val="00E54D89"/>
    <w:rsid w:val="00E54DA7"/>
    <w:rsid w:val="00E5502E"/>
    <w:rsid w:val="00E554C1"/>
    <w:rsid w:val="00E556C4"/>
    <w:rsid w:val="00E5596F"/>
    <w:rsid w:val="00E55BA4"/>
    <w:rsid w:val="00E55BFF"/>
    <w:rsid w:val="00E55D82"/>
    <w:rsid w:val="00E55DD0"/>
    <w:rsid w:val="00E56166"/>
    <w:rsid w:val="00E5624E"/>
    <w:rsid w:val="00E56396"/>
    <w:rsid w:val="00E563C8"/>
    <w:rsid w:val="00E56459"/>
    <w:rsid w:val="00E566AA"/>
    <w:rsid w:val="00E56A2E"/>
    <w:rsid w:val="00E56B16"/>
    <w:rsid w:val="00E56CDB"/>
    <w:rsid w:val="00E56F34"/>
    <w:rsid w:val="00E5753B"/>
    <w:rsid w:val="00E57956"/>
    <w:rsid w:val="00E57E22"/>
    <w:rsid w:val="00E57FA8"/>
    <w:rsid w:val="00E600E7"/>
    <w:rsid w:val="00E60881"/>
    <w:rsid w:val="00E608F7"/>
    <w:rsid w:val="00E60CAB"/>
    <w:rsid w:val="00E60EBC"/>
    <w:rsid w:val="00E61137"/>
    <w:rsid w:val="00E6145E"/>
    <w:rsid w:val="00E6147C"/>
    <w:rsid w:val="00E615EC"/>
    <w:rsid w:val="00E61800"/>
    <w:rsid w:val="00E61AC5"/>
    <w:rsid w:val="00E61C54"/>
    <w:rsid w:val="00E61CF8"/>
    <w:rsid w:val="00E622DB"/>
    <w:rsid w:val="00E623ED"/>
    <w:rsid w:val="00E626FA"/>
    <w:rsid w:val="00E62A5E"/>
    <w:rsid w:val="00E62CBD"/>
    <w:rsid w:val="00E6327F"/>
    <w:rsid w:val="00E6356D"/>
    <w:rsid w:val="00E638C7"/>
    <w:rsid w:val="00E63A8E"/>
    <w:rsid w:val="00E63EC0"/>
    <w:rsid w:val="00E64239"/>
    <w:rsid w:val="00E64322"/>
    <w:rsid w:val="00E6446F"/>
    <w:rsid w:val="00E648A5"/>
    <w:rsid w:val="00E648B4"/>
    <w:rsid w:val="00E64960"/>
    <w:rsid w:val="00E64ABD"/>
    <w:rsid w:val="00E64C43"/>
    <w:rsid w:val="00E64E64"/>
    <w:rsid w:val="00E64E8F"/>
    <w:rsid w:val="00E64FD8"/>
    <w:rsid w:val="00E650F9"/>
    <w:rsid w:val="00E65515"/>
    <w:rsid w:val="00E65A99"/>
    <w:rsid w:val="00E66006"/>
    <w:rsid w:val="00E6623E"/>
    <w:rsid w:val="00E6628A"/>
    <w:rsid w:val="00E665F8"/>
    <w:rsid w:val="00E667DC"/>
    <w:rsid w:val="00E66B22"/>
    <w:rsid w:val="00E66E48"/>
    <w:rsid w:val="00E66FCD"/>
    <w:rsid w:val="00E672C2"/>
    <w:rsid w:val="00E673AE"/>
    <w:rsid w:val="00E6774A"/>
    <w:rsid w:val="00E678EC"/>
    <w:rsid w:val="00E67B23"/>
    <w:rsid w:val="00E67BC7"/>
    <w:rsid w:val="00E67CBB"/>
    <w:rsid w:val="00E67D41"/>
    <w:rsid w:val="00E7016E"/>
    <w:rsid w:val="00E703AF"/>
    <w:rsid w:val="00E70BBB"/>
    <w:rsid w:val="00E70C67"/>
    <w:rsid w:val="00E70EEB"/>
    <w:rsid w:val="00E71185"/>
    <w:rsid w:val="00E711DA"/>
    <w:rsid w:val="00E7158C"/>
    <w:rsid w:val="00E71BBB"/>
    <w:rsid w:val="00E71BC6"/>
    <w:rsid w:val="00E71CE2"/>
    <w:rsid w:val="00E71EA0"/>
    <w:rsid w:val="00E72346"/>
    <w:rsid w:val="00E725C9"/>
    <w:rsid w:val="00E726FA"/>
    <w:rsid w:val="00E72859"/>
    <w:rsid w:val="00E72B61"/>
    <w:rsid w:val="00E72F54"/>
    <w:rsid w:val="00E73032"/>
    <w:rsid w:val="00E731C9"/>
    <w:rsid w:val="00E731CF"/>
    <w:rsid w:val="00E73393"/>
    <w:rsid w:val="00E733E8"/>
    <w:rsid w:val="00E73422"/>
    <w:rsid w:val="00E734E9"/>
    <w:rsid w:val="00E735B4"/>
    <w:rsid w:val="00E73A7B"/>
    <w:rsid w:val="00E73B0B"/>
    <w:rsid w:val="00E741EC"/>
    <w:rsid w:val="00E74260"/>
    <w:rsid w:val="00E745C0"/>
    <w:rsid w:val="00E74C08"/>
    <w:rsid w:val="00E74C7E"/>
    <w:rsid w:val="00E74DA6"/>
    <w:rsid w:val="00E750B9"/>
    <w:rsid w:val="00E75178"/>
    <w:rsid w:val="00E7550F"/>
    <w:rsid w:val="00E7588B"/>
    <w:rsid w:val="00E75901"/>
    <w:rsid w:val="00E75B57"/>
    <w:rsid w:val="00E76293"/>
    <w:rsid w:val="00E766D1"/>
    <w:rsid w:val="00E768F1"/>
    <w:rsid w:val="00E769E2"/>
    <w:rsid w:val="00E76AF0"/>
    <w:rsid w:val="00E76C5E"/>
    <w:rsid w:val="00E76D01"/>
    <w:rsid w:val="00E76F56"/>
    <w:rsid w:val="00E77267"/>
    <w:rsid w:val="00E77603"/>
    <w:rsid w:val="00E77860"/>
    <w:rsid w:val="00E77AA8"/>
    <w:rsid w:val="00E77B23"/>
    <w:rsid w:val="00E77C6F"/>
    <w:rsid w:val="00E77CCA"/>
    <w:rsid w:val="00E77CEA"/>
    <w:rsid w:val="00E77D23"/>
    <w:rsid w:val="00E8005D"/>
    <w:rsid w:val="00E80209"/>
    <w:rsid w:val="00E80257"/>
    <w:rsid w:val="00E807B2"/>
    <w:rsid w:val="00E80910"/>
    <w:rsid w:val="00E80CE8"/>
    <w:rsid w:val="00E80ED0"/>
    <w:rsid w:val="00E80EEA"/>
    <w:rsid w:val="00E81272"/>
    <w:rsid w:val="00E812FA"/>
    <w:rsid w:val="00E817BC"/>
    <w:rsid w:val="00E8197D"/>
    <w:rsid w:val="00E81B57"/>
    <w:rsid w:val="00E81B98"/>
    <w:rsid w:val="00E81C02"/>
    <w:rsid w:val="00E81CDA"/>
    <w:rsid w:val="00E82087"/>
    <w:rsid w:val="00E821C2"/>
    <w:rsid w:val="00E823DA"/>
    <w:rsid w:val="00E8255B"/>
    <w:rsid w:val="00E82613"/>
    <w:rsid w:val="00E828D8"/>
    <w:rsid w:val="00E82D6F"/>
    <w:rsid w:val="00E82EB1"/>
    <w:rsid w:val="00E833AF"/>
    <w:rsid w:val="00E83804"/>
    <w:rsid w:val="00E83A6D"/>
    <w:rsid w:val="00E83AD0"/>
    <w:rsid w:val="00E83E28"/>
    <w:rsid w:val="00E83E48"/>
    <w:rsid w:val="00E83EEC"/>
    <w:rsid w:val="00E846C6"/>
    <w:rsid w:val="00E84803"/>
    <w:rsid w:val="00E84B2C"/>
    <w:rsid w:val="00E84D29"/>
    <w:rsid w:val="00E85447"/>
    <w:rsid w:val="00E854E0"/>
    <w:rsid w:val="00E856A3"/>
    <w:rsid w:val="00E8577F"/>
    <w:rsid w:val="00E85900"/>
    <w:rsid w:val="00E85909"/>
    <w:rsid w:val="00E85997"/>
    <w:rsid w:val="00E85DA5"/>
    <w:rsid w:val="00E85FCB"/>
    <w:rsid w:val="00E862B4"/>
    <w:rsid w:val="00E867F9"/>
    <w:rsid w:val="00E86970"/>
    <w:rsid w:val="00E86979"/>
    <w:rsid w:val="00E87143"/>
    <w:rsid w:val="00E873FA"/>
    <w:rsid w:val="00E874FF"/>
    <w:rsid w:val="00E875D6"/>
    <w:rsid w:val="00E87776"/>
    <w:rsid w:val="00E87940"/>
    <w:rsid w:val="00E87A4A"/>
    <w:rsid w:val="00E87E04"/>
    <w:rsid w:val="00E900F7"/>
    <w:rsid w:val="00E9011F"/>
    <w:rsid w:val="00E90530"/>
    <w:rsid w:val="00E90C9F"/>
    <w:rsid w:val="00E90DA3"/>
    <w:rsid w:val="00E90E47"/>
    <w:rsid w:val="00E90E4B"/>
    <w:rsid w:val="00E90EF2"/>
    <w:rsid w:val="00E914E1"/>
    <w:rsid w:val="00E91781"/>
    <w:rsid w:val="00E91A10"/>
    <w:rsid w:val="00E91B04"/>
    <w:rsid w:val="00E91B5A"/>
    <w:rsid w:val="00E91CF3"/>
    <w:rsid w:val="00E92089"/>
    <w:rsid w:val="00E9239D"/>
    <w:rsid w:val="00E925D1"/>
    <w:rsid w:val="00E926F6"/>
    <w:rsid w:val="00E92818"/>
    <w:rsid w:val="00E928F1"/>
    <w:rsid w:val="00E92C46"/>
    <w:rsid w:val="00E934D0"/>
    <w:rsid w:val="00E9361A"/>
    <w:rsid w:val="00E93ACA"/>
    <w:rsid w:val="00E93BD9"/>
    <w:rsid w:val="00E93C74"/>
    <w:rsid w:val="00E940A3"/>
    <w:rsid w:val="00E94143"/>
    <w:rsid w:val="00E94732"/>
    <w:rsid w:val="00E94A68"/>
    <w:rsid w:val="00E94D00"/>
    <w:rsid w:val="00E94DB8"/>
    <w:rsid w:val="00E95248"/>
    <w:rsid w:val="00E952DB"/>
    <w:rsid w:val="00E9536D"/>
    <w:rsid w:val="00E9565D"/>
    <w:rsid w:val="00E956DA"/>
    <w:rsid w:val="00E95876"/>
    <w:rsid w:val="00E9594A"/>
    <w:rsid w:val="00E95B38"/>
    <w:rsid w:val="00E95B86"/>
    <w:rsid w:val="00E95C8F"/>
    <w:rsid w:val="00E95FF8"/>
    <w:rsid w:val="00E9618F"/>
    <w:rsid w:val="00E963EE"/>
    <w:rsid w:val="00E96CFD"/>
    <w:rsid w:val="00E9704D"/>
    <w:rsid w:val="00E9715F"/>
    <w:rsid w:val="00E972B7"/>
    <w:rsid w:val="00E9753D"/>
    <w:rsid w:val="00E9774F"/>
    <w:rsid w:val="00E97836"/>
    <w:rsid w:val="00E97AAF"/>
    <w:rsid w:val="00E97AB9"/>
    <w:rsid w:val="00E97B55"/>
    <w:rsid w:val="00E97E40"/>
    <w:rsid w:val="00EA0205"/>
    <w:rsid w:val="00EA06B6"/>
    <w:rsid w:val="00EA0781"/>
    <w:rsid w:val="00EA0783"/>
    <w:rsid w:val="00EA0923"/>
    <w:rsid w:val="00EA0B2E"/>
    <w:rsid w:val="00EA0C84"/>
    <w:rsid w:val="00EA0CC6"/>
    <w:rsid w:val="00EA0DB8"/>
    <w:rsid w:val="00EA1461"/>
    <w:rsid w:val="00EA14B0"/>
    <w:rsid w:val="00EA15C5"/>
    <w:rsid w:val="00EA160D"/>
    <w:rsid w:val="00EA1727"/>
    <w:rsid w:val="00EA1746"/>
    <w:rsid w:val="00EA181C"/>
    <w:rsid w:val="00EA186C"/>
    <w:rsid w:val="00EA19C7"/>
    <w:rsid w:val="00EA1BBF"/>
    <w:rsid w:val="00EA22A3"/>
    <w:rsid w:val="00EA261E"/>
    <w:rsid w:val="00EA28EA"/>
    <w:rsid w:val="00EA29B1"/>
    <w:rsid w:val="00EA2A37"/>
    <w:rsid w:val="00EA2CDF"/>
    <w:rsid w:val="00EA2D15"/>
    <w:rsid w:val="00EA2E2D"/>
    <w:rsid w:val="00EA2ED0"/>
    <w:rsid w:val="00EA2F91"/>
    <w:rsid w:val="00EA2FBF"/>
    <w:rsid w:val="00EA31F0"/>
    <w:rsid w:val="00EA326C"/>
    <w:rsid w:val="00EA344B"/>
    <w:rsid w:val="00EA3753"/>
    <w:rsid w:val="00EA3843"/>
    <w:rsid w:val="00EA3EE9"/>
    <w:rsid w:val="00EA3FD1"/>
    <w:rsid w:val="00EA3FF5"/>
    <w:rsid w:val="00EA410B"/>
    <w:rsid w:val="00EA4565"/>
    <w:rsid w:val="00EA4C89"/>
    <w:rsid w:val="00EA4EBB"/>
    <w:rsid w:val="00EA535A"/>
    <w:rsid w:val="00EA5596"/>
    <w:rsid w:val="00EA5D86"/>
    <w:rsid w:val="00EA5FAD"/>
    <w:rsid w:val="00EA61E4"/>
    <w:rsid w:val="00EA63CC"/>
    <w:rsid w:val="00EA66B7"/>
    <w:rsid w:val="00EA691F"/>
    <w:rsid w:val="00EA69A0"/>
    <w:rsid w:val="00EA6AB9"/>
    <w:rsid w:val="00EA6DEF"/>
    <w:rsid w:val="00EA7455"/>
    <w:rsid w:val="00EA74BD"/>
    <w:rsid w:val="00EA75F1"/>
    <w:rsid w:val="00EA7919"/>
    <w:rsid w:val="00EA7C60"/>
    <w:rsid w:val="00EA7CE7"/>
    <w:rsid w:val="00EA7E70"/>
    <w:rsid w:val="00EA7FF5"/>
    <w:rsid w:val="00EB01FB"/>
    <w:rsid w:val="00EB0264"/>
    <w:rsid w:val="00EB04CD"/>
    <w:rsid w:val="00EB076F"/>
    <w:rsid w:val="00EB0824"/>
    <w:rsid w:val="00EB0926"/>
    <w:rsid w:val="00EB098D"/>
    <w:rsid w:val="00EB11DC"/>
    <w:rsid w:val="00EB131A"/>
    <w:rsid w:val="00EB1335"/>
    <w:rsid w:val="00EB19BD"/>
    <w:rsid w:val="00EB1BFA"/>
    <w:rsid w:val="00EB1CE9"/>
    <w:rsid w:val="00EB1D10"/>
    <w:rsid w:val="00EB1FF0"/>
    <w:rsid w:val="00EB20F7"/>
    <w:rsid w:val="00EB21F1"/>
    <w:rsid w:val="00EB29EE"/>
    <w:rsid w:val="00EB2A5B"/>
    <w:rsid w:val="00EB2AD2"/>
    <w:rsid w:val="00EB2B69"/>
    <w:rsid w:val="00EB2C89"/>
    <w:rsid w:val="00EB2CC9"/>
    <w:rsid w:val="00EB30AC"/>
    <w:rsid w:val="00EB3250"/>
    <w:rsid w:val="00EB32B8"/>
    <w:rsid w:val="00EB3398"/>
    <w:rsid w:val="00EB35FE"/>
    <w:rsid w:val="00EB37FC"/>
    <w:rsid w:val="00EB396B"/>
    <w:rsid w:val="00EB3990"/>
    <w:rsid w:val="00EB3ECF"/>
    <w:rsid w:val="00EB3ED6"/>
    <w:rsid w:val="00EB3F5A"/>
    <w:rsid w:val="00EB400E"/>
    <w:rsid w:val="00EB44EC"/>
    <w:rsid w:val="00EB4666"/>
    <w:rsid w:val="00EB46BC"/>
    <w:rsid w:val="00EB485A"/>
    <w:rsid w:val="00EB4862"/>
    <w:rsid w:val="00EB49B7"/>
    <w:rsid w:val="00EB49E1"/>
    <w:rsid w:val="00EB4CFC"/>
    <w:rsid w:val="00EB4DEB"/>
    <w:rsid w:val="00EB4E11"/>
    <w:rsid w:val="00EB52CE"/>
    <w:rsid w:val="00EB539E"/>
    <w:rsid w:val="00EB5A33"/>
    <w:rsid w:val="00EB5DC9"/>
    <w:rsid w:val="00EB6368"/>
    <w:rsid w:val="00EB6505"/>
    <w:rsid w:val="00EB6ADB"/>
    <w:rsid w:val="00EB6B8C"/>
    <w:rsid w:val="00EB6B96"/>
    <w:rsid w:val="00EB6C3E"/>
    <w:rsid w:val="00EB6E9F"/>
    <w:rsid w:val="00EB6F19"/>
    <w:rsid w:val="00EB723B"/>
    <w:rsid w:val="00EB74D9"/>
    <w:rsid w:val="00EB74F8"/>
    <w:rsid w:val="00EB76F7"/>
    <w:rsid w:val="00EB78BB"/>
    <w:rsid w:val="00EB79C4"/>
    <w:rsid w:val="00EB7B42"/>
    <w:rsid w:val="00EB7CFE"/>
    <w:rsid w:val="00EB7D46"/>
    <w:rsid w:val="00EB7F7A"/>
    <w:rsid w:val="00EB7F8A"/>
    <w:rsid w:val="00EB7FF1"/>
    <w:rsid w:val="00EC0A38"/>
    <w:rsid w:val="00EC0AA1"/>
    <w:rsid w:val="00EC0CAC"/>
    <w:rsid w:val="00EC0DBC"/>
    <w:rsid w:val="00EC0E44"/>
    <w:rsid w:val="00EC0EC7"/>
    <w:rsid w:val="00EC10A8"/>
    <w:rsid w:val="00EC1267"/>
    <w:rsid w:val="00EC1466"/>
    <w:rsid w:val="00EC1BA7"/>
    <w:rsid w:val="00EC1F3F"/>
    <w:rsid w:val="00EC2435"/>
    <w:rsid w:val="00EC2617"/>
    <w:rsid w:val="00EC268F"/>
    <w:rsid w:val="00EC2A06"/>
    <w:rsid w:val="00EC2C91"/>
    <w:rsid w:val="00EC2D3A"/>
    <w:rsid w:val="00EC2E10"/>
    <w:rsid w:val="00EC2E6D"/>
    <w:rsid w:val="00EC33AA"/>
    <w:rsid w:val="00EC3952"/>
    <w:rsid w:val="00EC3CF3"/>
    <w:rsid w:val="00EC411A"/>
    <w:rsid w:val="00EC4168"/>
    <w:rsid w:val="00EC44D2"/>
    <w:rsid w:val="00EC545E"/>
    <w:rsid w:val="00EC5502"/>
    <w:rsid w:val="00EC5610"/>
    <w:rsid w:val="00EC58A7"/>
    <w:rsid w:val="00EC6108"/>
    <w:rsid w:val="00EC62AA"/>
    <w:rsid w:val="00EC637B"/>
    <w:rsid w:val="00EC63E6"/>
    <w:rsid w:val="00EC69AF"/>
    <w:rsid w:val="00EC6A3E"/>
    <w:rsid w:val="00EC6CC8"/>
    <w:rsid w:val="00EC6D18"/>
    <w:rsid w:val="00EC73B1"/>
    <w:rsid w:val="00EC759F"/>
    <w:rsid w:val="00EC75B9"/>
    <w:rsid w:val="00EC75FA"/>
    <w:rsid w:val="00EC7677"/>
    <w:rsid w:val="00EC7A25"/>
    <w:rsid w:val="00EC7A39"/>
    <w:rsid w:val="00EC7AB2"/>
    <w:rsid w:val="00EC7C7D"/>
    <w:rsid w:val="00EC7CE6"/>
    <w:rsid w:val="00EC7E65"/>
    <w:rsid w:val="00EC7ED3"/>
    <w:rsid w:val="00ED01A7"/>
    <w:rsid w:val="00ED0228"/>
    <w:rsid w:val="00ED0254"/>
    <w:rsid w:val="00ED039A"/>
    <w:rsid w:val="00ED0CFD"/>
    <w:rsid w:val="00ED10E9"/>
    <w:rsid w:val="00ED11B1"/>
    <w:rsid w:val="00ED1492"/>
    <w:rsid w:val="00ED160D"/>
    <w:rsid w:val="00ED1808"/>
    <w:rsid w:val="00ED1B14"/>
    <w:rsid w:val="00ED1C06"/>
    <w:rsid w:val="00ED2482"/>
    <w:rsid w:val="00ED2489"/>
    <w:rsid w:val="00ED26DF"/>
    <w:rsid w:val="00ED2749"/>
    <w:rsid w:val="00ED2BCC"/>
    <w:rsid w:val="00ED2D6A"/>
    <w:rsid w:val="00ED2DD4"/>
    <w:rsid w:val="00ED3198"/>
    <w:rsid w:val="00ED325D"/>
    <w:rsid w:val="00ED3296"/>
    <w:rsid w:val="00ED3487"/>
    <w:rsid w:val="00ED354C"/>
    <w:rsid w:val="00ED3566"/>
    <w:rsid w:val="00ED3803"/>
    <w:rsid w:val="00ED3A70"/>
    <w:rsid w:val="00ED3B48"/>
    <w:rsid w:val="00ED3D92"/>
    <w:rsid w:val="00ED3E81"/>
    <w:rsid w:val="00ED4050"/>
    <w:rsid w:val="00ED4320"/>
    <w:rsid w:val="00ED4586"/>
    <w:rsid w:val="00ED465D"/>
    <w:rsid w:val="00ED4672"/>
    <w:rsid w:val="00ED493A"/>
    <w:rsid w:val="00ED4B9D"/>
    <w:rsid w:val="00ED4C20"/>
    <w:rsid w:val="00ED4CCD"/>
    <w:rsid w:val="00ED5160"/>
    <w:rsid w:val="00ED518E"/>
    <w:rsid w:val="00ED54B3"/>
    <w:rsid w:val="00ED54E7"/>
    <w:rsid w:val="00ED58F0"/>
    <w:rsid w:val="00ED5AFE"/>
    <w:rsid w:val="00ED5D7F"/>
    <w:rsid w:val="00ED5F71"/>
    <w:rsid w:val="00ED62FF"/>
    <w:rsid w:val="00ED6317"/>
    <w:rsid w:val="00ED631C"/>
    <w:rsid w:val="00ED6447"/>
    <w:rsid w:val="00ED65ED"/>
    <w:rsid w:val="00ED6722"/>
    <w:rsid w:val="00ED6764"/>
    <w:rsid w:val="00ED67AC"/>
    <w:rsid w:val="00ED6F6A"/>
    <w:rsid w:val="00ED7169"/>
    <w:rsid w:val="00ED71F6"/>
    <w:rsid w:val="00ED75E6"/>
    <w:rsid w:val="00ED7742"/>
    <w:rsid w:val="00ED7973"/>
    <w:rsid w:val="00ED7B26"/>
    <w:rsid w:val="00ED7B2D"/>
    <w:rsid w:val="00ED7D6D"/>
    <w:rsid w:val="00EE0214"/>
    <w:rsid w:val="00EE0218"/>
    <w:rsid w:val="00EE0825"/>
    <w:rsid w:val="00EE0870"/>
    <w:rsid w:val="00EE0C20"/>
    <w:rsid w:val="00EE0E33"/>
    <w:rsid w:val="00EE0E53"/>
    <w:rsid w:val="00EE0EE7"/>
    <w:rsid w:val="00EE1063"/>
    <w:rsid w:val="00EE1071"/>
    <w:rsid w:val="00EE10E0"/>
    <w:rsid w:val="00EE11C7"/>
    <w:rsid w:val="00EE125C"/>
    <w:rsid w:val="00EE145E"/>
    <w:rsid w:val="00EE1467"/>
    <w:rsid w:val="00EE1673"/>
    <w:rsid w:val="00EE1C57"/>
    <w:rsid w:val="00EE1CDA"/>
    <w:rsid w:val="00EE1E92"/>
    <w:rsid w:val="00EE1EA3"/>
    <w:rsid w:val="00EE21E3"/>
    <w:rsid w:val="00EE22B4"/>
    <w:rsid w:val="00EE2715"/>
    <w:rsid w:val="00EE2741"/>
    <w:rsid w:val="00EE2E4A"/>
    <w:rsid w:val="00EE35A0"/>
    <w:rsid w:val="00EE35D5"/>
    <w:rsid w:val="00EE375F"/>
    <w:rsid w:val="00EE3775"/>
    <w:rsid w:val="00EE384C"/>
    <w:rsid w:val="00EE3A46"/>
    <w:rsid w:val="00EE3B41"/>
    <w:rsid w:val="00EE3BDB"/>
    <w:rsid w:val="00EE3BEF"/>
    <w:rsid w:val="00EE3C8C"/>
    <w:rsid w:val="00EE42A4"/>
    <w:rsid w:val="00EE4369"/>
    <w:rsid w:val="00EE43D2"/>
    <w:rsid w:val="00EE445D"/>
    <w:rsid w:val="00EE4690"/>
    <w:rsid w:val="00EE46D7"/>
    <w:rsid w:val="00EE4E5C"/>
    <w:rsid w:val="00EE5193"/>
    <w:rsid w:val="00EE5259"/>
    <w:rsid w:val="00EE53B8"/>
    <w:rsid w:val="00EE541B"/>
    <w:rsid w:val="00EE54A2"/>
    <w:rsid w:val="00EE5598"/>
    <w:rsid w:val="00EE5942"/>
    <w:rsid w:val="00EE5EF8"/>
    <w:rsid w:val="00EE60D3"/>
    <w:rsid w:val="00EE6561"/>
    <w:rsid w:val="00EE6916"/>
    <w:rsid w:val="00EE6DD2"/>
    <w:rsid w:val="00EE6ED3"/>
    <w:rsid w:val="00EE704A"/>
    <w:rsid w:val="00EE72DD"/>
    <w:rsid w:val="00EE74A7"/>
    <w:rsid w:val="00EE74CC"/>
    <w:rsid w:val="00EE76CF"/>
    <w:rsid w:val="00EE76D8"/>
    <w:rsid w:val="00EE777A"/>
    <w:rsid w:val="00EE7A06"/>
    <w:rsid w:val="00EE7B2A"/>
    <w:rsid w:val="00EE7D43"/>
    <w:rsid w:val="00EE7E43"/>
    <w:rsid w:val="00EE7FF3"/>
    <w:rsid w:val="00EF0160"/>
    <w:rsid w:val="00EF0622"/>
    <w:rsid w:val="00EF0695"/>
    <w:rsid w:val="00EF09DA"/>
    <w:rsid w:val="00EF0B31"/>
    <w:rsid w:val="00EF0E9B"/>
    <w:rsid w:val="00EF109A"/>
    <w:rsid w:val="00EF11DE"/>
    <w:rsid w:val="00EF1372"/>
    <w:rsid w:val="00EF1607"/>
    <w:rsid w:val="00EF16DA"/>
    <w:rsid w:val="00EF188C"/>
    <w:rsid w:val="00EF1947"/>
    <w:rsid w:val="00EF1A61"/>
    <w:rsid w:val="00EF1CD2"/>
    <w:rsid w:val="00EF1CF1"/>
    <w:rsid w:val="00EF1D2A"/>
    <w:rsid w:val="00EF2240"/>
    <w:rsid w:val="00EF22FA"/>
    <w:rsid w:val="00EF2456"/>
    <w:rsid w:val="00EF268B"/>
    <w:rsid w:val="00EF26F4"/>
    <w:rsid w:val="00EF2B13"/>
    <w:rsid w:val="00EF2D59"/>
    <w:rsid w:val="00EF2FD1"/>
    <w:rsid w:val="00EF3165"/>
    <w:rsid w:val="00EF3656"/>
    <w:rsid w:val="00EF3F48"/>
    <w:rsid w:val="00EF4303"/>
    <w:rsid w:val="00EF469C"/>
    <w:rsid w:val="00EF4BA4"/>
    <w:rsid w:val="00EF4C14"/>
    <w:rsid w:val="00EF4D54"/>
    <w:rsid w:val="00EF4D7E"/>
    <w:rsid w:val="00EF4DD4"/>
    <w:rsid w:val="00EF503B"/>
    <w:rsid w:val="00EF51E7"/>
    <w:rsid w:val="00EF550E"/>
    <w:rsid w:val="00EF55C5"/>
    <w:rsid w:val="00EF577C"/>
    <w:rsid w:val="00EF5A70"/>
    <w:rsid w:val="00EF5AD8"/>
    <w:rsid w:val="00EF5B1B"/>
    <w:rsid w:val="00EF5B93"/>
    <w:rsid w:val="00EF5E03"/>
    <w:rsid w:val="00EF5FF2"/>
    <w:rsid w:val="00EF610F"/>
    <w:rsid w:val="00EF66F5"/>
    <w:rsid w:val="00EF6AE2"/>
    <w:rsid w:val="00EF6BF8"/>
    <w:rsid w:val="00EF6D3F"/>
    <w:rsid w:val="00EF70CB"/>
    <w:rsid w:val="00EF7174"/>
    <w:rsid w:val="00EF74F8"/>
    <w:rsid w:val="00EF7816"/>
    <w:rsid w:val="00EF7C79"/>
    <w:rsid w:val="00EF7CBA"/>
    <w:rsid w:val="00EF7D5A"/>
    <w:rsid w:val="00EF7F3C"/>
    <w:rsid w:val="00EF7FB7"/>
    <w:rsid w:val="00F00467"/>
    <w:rsid w:val="00F0050B"/>
    <w:rsid w:val="00F00BD9"/>
    <w:rsid w:val="00F00BE3"/>
    <w:rsid w:val="00F01324"/>
    <w:rsid w:val="00F0186B"/>
    <w:rsid w:val="00F01A41"/>
    <w:rsid w:val="00F01A8D"/>
    <w:rsid w:val="00F01BD5"/>
    <w:rsid w:val="00F01E30"/>
    <w:rsid w:val="00F01EDD"/>
    <w:rsid w:val="00F022EF"/>
    <w:rsid w:val="00F0243D"/>
    <w:rsid w:val="00F024EF"/>
    <w:rsid w:val="00F025B9"/>
    <w:rsid w:val="00F026A3"/>
    <w:rsid w:val="00F02895"/>
    <w:rsid w:val="00F02B6A"/>
    <w:rsid w:val="00F02C86"/>
    <w:rsid w:val="00F02D23"/>
    <w:rsid w:val="00F02EC0"/>
    <w:rsid w:val="00F03042"/>
    <w:rsid w:val="00F035E5"/>
    <w:rsid w:val="00F0378E"/>
    <w:rsid w:val="00F03D2E"/>
    <w:rsid w:val="00F04458"/>
    <w:rsid w:val="00F0450D"/>
    <w:rsid w:val="00F047D7"/>
    <w:rsid w:val="00F04E9C"/>
    <w:rsid w:val="00F04FFE"/>
    <w:rsid w:val="00F055F9"/>
    <w:rsid w:val="00F056EC"/>
    <w:rsid w:val="00F0575C"/>
    <w:rsid w:val="00F05B67"/>
    <w:rsid w:val="00F060F0"/>
    <w:rsid w:val="00F06491"/>
    <w:rsid w:val="00F066D2"/>
    <w:rsid w:val="00F06801"/>
    <w:rsid w:val="00F06872"/>
    <w:rsid w:val="00F068A0"/>
    <w:rsid w:val="00F06970"/>
    <w:rsid w:val="00F06AE9"/>
    <w:rsid w:val="00F06D9B"/>
    <w:rsid w:val="00F06E80"/>
    <w:rsid w:val="00F07031"/>
    <w:rsid w:val="00F07136"/>
    <w:rsid w:val="00F07230"/>
    <w:rsid w:val="00F072F3"/>
    <w:rsid w:val="00F075C3"/>
    <w:rsid w:val="00F07AE5"/>
    <w:rsid w:val="00F07DDD"/>
    <w:rsid w:val="00F07F41"/>
    <w:rsid w:val="00F10D75"/>
    <w:rsid w:val="00F10F7D"/>
    <w:rsid w:val="00F111B5"/>
    <w:rsid w:val="00F1167F"/>
    <w:rsid w:val="00F11798"/>
    <w:rsid w:val="00F11A04"/>
    <w:rsid w:val="00F11BF2"/>
    <w:rsid w:val="00F11D82"/>
    <w:rsid w:val="00F12301"/>
    <w:rsid w:val="00F12872"/>
    <w:rsid w:val="00F12874"/>
    <w:rsid w:val="00F12E30"/>
    <w:rsid w:val="00F131A5"/>
    <w:rsid w:val="00F13381"/>
    <w:rsid w:val="00F13407"/>
    <w:rsid w:val="00F13561"/>
    <w:rsid w:val="00F13A48"/>
    <w:rsid w:val="00F13B1A"/>
    <w:rsid w:val="00F13BB2"/>
    <w:rsid w:val="00F13BE3"/>
    <w:rsid w:val="00F13D5B"/>
    <w:rsid w:val="00F14026"/>
    <w:rsid w:val="00F14494"/>
    <w:rsid w:val="00F146E2"/>
    <w:rsid w:val="00F14915"/>
    <w:rsid w:val="00F1499A"/>
    <w:rsid w:val="00F15524"/>
    <w:rsid w:val="00F156A8"/>
    <w:rsid w:val="00F15A88"/>
    <w:rsid w:val="00F15DA4"/>
    <w:rsid w:val="00F15DFD"/>
    <w:rsid w:val="00F15E37"/>
    <w:rsid w:val="00F165AE"/>
    <w:rsid w:val="00F1672B"/>
    <w:rsid w:val="00F16F25"/>
    <w:rsid w:val="00F16FC0"/>
    <w:rsid w:val="00F16FF5"/>
    <w:rsid w:val="00F172FB"/>
    <w:rsid w:val="00F17496"/>
    <w:rsid w:val="00F17527"/>
    <w:rsid w:val="00F176AE"/>
    <w:rsid w:val="00F17807"/>
    <w:rsid w:val="00F17894"/>
    <w:rsid w:val="00F178A2"/>
    <w:rsid w:val="00F179A9"/>
    <w:rsid w:val="00F17AD7"/>
    <w:rsid w:val="00F17AF1"/>
    <w:rsid w:val="00F17BF7"/>
    <w:rsid w:val="00F17EEB"/>
    <w:rsid w:val="00F17FAA"/>
    <w:rsid w:val="00F20479"/>
    <w:rsid w:val="00F20496"/>
    <w:rsid w:val="00F2068C"/>
    <w:rsid w:val="00F206D5"/>
    <w:rsid w:val="00F20A0A"/>
    <w:rsid w:val="00F20AAA"/>
    <w:rsid w:val="00F20F72"/>
    <w:rsid w:val="00F213C7"/>
    <w:rsid w:val="00F21EBF"/>
    <w:rsid w:val="00F220D6"/>
    <w:rsid w:val="00F22305"/>
    <w:rsid w:val="00F22452"/>
    <w:rsid w:val="00F229D1"/>
    <w:rsid w:val="00F22BA1"/>
    <w:rsid w:val="00F22BBB"/>
    <w:rsid w:val="00F22DE6"/>
    <w:rsid w:val="00F22EF6"/>
    <w:rsid w:val="00F2317C"/>
    <w:rsid w:val="00F233EA"/>
    <w:rsid w:val="00F23455"/>
    <w:rsid w:val="00F2363E"/>
    <w:rsid w:val="00F23843"/>
    <w:rsid w:val="00F23A99"/>
    <w:rsid w:val="00F23B30"/>
    <w:rsid w:val="00F23D83"/>
    <w:rsid w:val="00F23DB6"/>
    <w:rsid w:val="00F24C08"/>
    <w:rsid w:val="00F24F16"/>
    <w:rsid w:val="00F24FE4"/>
    <w:rsid w:val="00F25005"/>
    <w:rsid w:val="00F2541A"/>
    <w:rsid w:val="00F25952"/>
    <w:rsid w:val="00F25A2F"/>
    <w:rsid w:val="00F25C96"/>
    <w:rsid w:val="00F25D3E"/>
    <w:rsid w:val="00F260BE"/>
    <w:rsid w:val="00F26133"/>
    <w:rsid w:val="00F2667B"/>
    <w:rsid w:val="00F26786"/>
    <w:rsid w:val="00F26A11"/>
    <w:rsid w:val="00F26B10"/>
    <w:rsid w:val="00F26EF1"/>
    <w:rsid w:val="00F26F0E"/>
    <w:rsid w:val="00F271BD"/>
    <w:rsid w:val="00F276C1"/>
    <w:rsid w:val="00F276FF"/>
    <w:rsid w:val="00F27707"/>
    <w:rsid w:val="00F27811"/>
    <w:rsid w:val="00F27889"/>
    <w:rsid w:val="00F27BF0"/>
    <w:rsid w:val="00F27F1D"/>
    <w:rsid w:val="00F300D5"/>
    <w:rsid w:val="00F300DD"/>
    <w:rsid w:val="00F30289"/>
    <w:rsid w:val="00F30778"/>
    <w:rsid w:val="00F30BC8"/>
    <w:rsid w:val="00F30ECF"/>
    <w:rsid w:val="00F311E5"/>
    <w:rsid w:val="00F3148B"/>
    <w:rsid w:val="00F315FD"/>
    <w:rsid w:val="00F31633"/>
    <w:rsid w:val="00F3193D"/>
    <w:rsid w:val="00F3197B"/>
    <w:rsid w:val="00F31A34"/>
    <w:rsid w:val="00F31B07"/>
    <w:rsid w:val="00F31F93"/>
    <w:rsid w:val="00F320F6"/>
    <w:rsid w:val="00F3216D"/>
    <w:rsid w:val="00F3230E"/>
    <w:rsid w:val="00F3253E"/>
    <w:rsid w:val="00F32620"/>
    <w:rsid w:val="00F32702"/>
    <w:rsid w:val="00F32913"/>
    <w:rsid w:val="00F32A09"/>
    <w:rsid w:val="00F32D10"/>
    <w:rsid w:val="00F33137"/>
    <w:rsid w:val="00F336BB"/>
    <w:rsid w:val="00F338D3"/>
    <w:rsid w:val="00F33C56"/>
    <w:rsid w:val="00F33F17"/>
    <w:rsid w:val="00F342AA"/>
    <w:rsid w:val="00F3448A"/>
    <w:rsid w:val="00F344A6"/>
    <w:rsid w:val="00F34583"/>
    <w:rsid w:val="00F346D8"/>
    <w:rsid w:val="00F34973"/>
    <w:rsid w:val="00F34A9F"/>
    <w:rsid w:val="00F34B97"/>
    <w:rsid w:val="00F34FD4"/>
    <w:rsid w:val="00F34FE9"/>
    <w:rsid w:val="00F350DF"/>
    <w:rsid w:val="00F350FF"/>
    <w:rsid w:val="00F35464"/>
    <w:rsid w:val="00F35505"/>
    <w:rsid w:val="00F35691"/>
    <w:rsid w:val="00F35A2D"/>
    <w:rsid w:val="00F35B46"/>
    <w:rsid w:val="00F35BE0"/>
    <w:rsid w:val="00F35DA5"/>
    <w:rsid w:val="00F36055"/>
    <w:rsid w:val="00F3620B"/>
    <w:rsid w:val="00F3623C"/>
    <w:rsid w:val="00F362C2"/>
    <w:rsid w:val="00F362D4"/>
    <w:rsid w:val="00F36812"/>
    <w:rsid w:val="00F36892"/>
    <w:rsid w:val="00F368AB"/>
    <w:rsid w:val="00F36D50"/>
    <w:rsid w:val="00F36D79"/>
    <w:rsid w:val="00F36D7E"/>
    <w:rsid w:val="00F36E77"/>
    <w:rsid w:val="00F37259"/>
    <w:rsid w:val="00F372CA"/>
    <w:rsid w:val="00F37490"/>
    <w:rsid w:val="00F377B5"/>
    <w:rsid w:val="00F3783D"/>
    <w:rsid w:val="00F37BDB"/>
    <w:rsid w:val="00F37C56"/>
    <w:rsid w:val="00F37F27"/>
    <w:rsid w:val="00F40184"/>
    <w:rsid w:val="00F40518"/>
    <w:rsid w:val="00F407F1"/>
    <w:rsid w:val="00F40970"/>
    <w:rsid w:val="00F40A93"/>
    <w:rsid w:val="00F40B5B"/>
    <w:rsid w:val="00F410E3"/>
    <w:rsid w:val="00F411B4"/>
    <w:rsid w:val="00F415CA"/>
    <w:rsid w:val="00F41625"/>
    <w:rsid w:val="00F4170D"/>
    <w:rsid w:val="00F417DA"/>
    <w:rsid w:val="00F419FC"/>
    <w:rsid w:val="00F41AC5"/>
    <w:rsid w:val="00F41B31"/>
    <w:rsid w:val="00F41B3D"/>
    <w:rsid w:val="00F41BC1"/>
    <w:rsid w:val="00F41C4D"/>
    <w:rsid w:val="00F41CCA"/>
    <w:rsid w:val="00F41CCC"/>
    <w:rsid w:val="00F41D10"/>
    <w:rsid w:val="00F42054"/>
    <w:rsid w:val="00F421D4"/>
    <w:rsid w:val="00F423D2"/>
    <w:rsid w:val="00F42C91"/>
    <w:rsid w:val="00F42EE5"/>
    <w:rsid w:val="00F42FAE"/>
    <w:rsid w:val="00F43413"/>
    <w:rsid w:val="00F4356A"/>
    <w:rsid w:val="00F43886"/>
    <w:rsid w:val="00F438AC"/>
    <w:rsid w:val="00F43A0C"/>
    <w:rsid w:val="00F43A5A"/>
    <w:rsid w:val="00F43A85"/>
    <w:rsid w:val="00F43C0B"/>
    <w:rsid w:val="00F43CBF"/>
    <w:rsid w:val="00F43F54"/>
    <w:rsid w:val="00F4414E"/>
    <w:rsid w:val="00F444D2"/>
    <w:rsid w:val="00F44515"/>
    <w:rsid w:val="00F448E0"/>
    <w:rsid w:val="00F44A9D"/>
    <w:rsid w:val="00F44D94"/>
    <w:rsid w:val="00F44EEB"/>
    <w:rsid w:val="00F44FB9"/>
    <w:rsid w:val="00F451E4"/>
    <w:rsid w:val="00F45343"/>
    <w:rsid w:val="00F45400"/>
    <w:rsid w:val="00F454C2"/>
    <w:rsid w:val="00F45C7D"/>
    <w:rsid w:val="00F4607C"/>
    <w:rsid w:val="00F460CA"/>
    <w:rsid w:val="00F462CE"/>
    <w:rsid w:val="00F463BD"/>
    <w:rsid w:val="00F466ED"/>
    <w:rsid w:val="00F467BF"/>
    <w:rsid w:val="00F468BE"/>
    <w:rsid w:val="00F46994"/>
    <w:rsid w:val="00F469CF"/>
    <w:rsid w:val="00F46D39"/>
    <w:rsid w:val="00F46E82"/>
    <w:rsid w:val="00F47189"/>
    <w:rsid w:val="00F471C7"/>
    <w:rsid w:val="00F47441"/>
    <w:rsid w:val="00F4746B"/>
    <w:rsid w:val="00F475EB"/>
    <w:rsid w:val="00F4764D"/>
    <w:rsid w:val="00F4783D"/>
    <w:rsid w:val="00F478FB"/>
    <w:rsid w:val="00F479E3"/>
    <w:rsid w:val="00F47A9A"/>
    <w:rsid w:val="00F47BB9"/>
    <w:rsid w:val="00F47CA6"/>
    <w:rsid w:val="00F47E0B"/>
    <w:rsid w:val="00F47F3B"/>
    <w:rsid w:val="00F47F5D"/>
    <w:rsid w:val="00F47F9E"/>
    <w:rsid w:val="00F50187"/>
    <w:rsid w:val="00F50591"/>
    <w:rsid w:val="00F5061C"/>
    <w:rsid w:val="00F50D90"/>
    <w:rsid w:val="00F51133"/>
    <w:rsid w:val="00F51896"/>
    <w:rsid w:val="00F5198E"/>
    <w:rsid w:val="00F51AE8"/>
    <w:rsid w:val="00F52BCB"/>
    <w:rsid w:val="00F52EAA"/>
    <w:rsid w:val="00F52F2F"/>
    <w:rsid w:val="00F53021"/>
    <w:rsid w:val="00F534FB"/>
    <w:rsid w:val="00F5392C"/>
    <w:rsid w:val="00F53CFE"/>
    <w:rsid w:val="00F53EB3"/>
    <w:rsid w:val="00F54188"/>
    <w:rsid w:val="00F54470"/>
    <w:rsid w:val="00F54513"/>
    <w:rsid w:val="00F549B1"/>
    <w:rsid w:val="00F54F52"/>
    <w:rsid w:val="00F54F58"/>
    <w:rsid w:val="00F55320"/>
    <w:rsid w:val="00F556FE"/>
    <w:rsid w:val="00F55890"/>
    <w:rsid w:val="00F55A3E"/>
    <w:rsid w:val="00F560FA"/>
    <w:rsid w:val="00F563EF"/>
    <w:rsid w:val="00F5643C"/>
    <w:rsid w:val="00F567F5"/>
    <w:rsid w:val="00F567F7"/>
    <w:rsid w:val="00F568F9"/>
    <w:rsid w:val="00F56FDF"/>
    <w:rsid w:val="00F5715C"/>
    <w:rsid w:val="00F576FC"/>
    <w:rsid w:val="00F5783D"/>
    <w:rsid w:val="00F57922"/>
    <w:rsid w:val="00F57A1B"/>
    <w:rsid w:val="00F60052"/>
    <w:rsid w:val="00F60348"/>
    <w:rsid w:val="00F60517"/>
    <w:rsid w:val="00F605BC"/>
    <w:rsid w:val="00F605BF"/>
    <w:rsid w:val="00F60661"/>
    <w:rsid w:val="00F60C9E"/>
    <w:rsid w:val="00F60E5A"/>
    <w:rsid w:val="00F60E81"/>
    <w:rsid w:val="00F60F6B"/>
    <w:rsid w:val="00F6103A"/>
    <w:rsid w:val="00F61066"/>
    <w:rsid w:val="00F6107C"/>
    <w:rsid w:val="00F617BD"/>
    <w:rsid w:val="00F619E2"/>
    <w:rsid w:val="00F61BC4"/>
    <w:rsid w:val="00F62036"/>
    <w:rsid w:val="00F621A0"/>
    <w:rsid w:val="00F625E6"/>
    <w:rsid w:val="00F62725"/>
    <w:rsid w:val="00F62B26"/>
    <w:rsid w:val="00F62C9E"/>
    <w:rsid w:val="00F631F0"/>
    <w:rsid w:val="00F63617"/>
    <w:rsid w:val="00F63622"/>
    <w:rsid w:val="00F63737"/>
    <w:rsid w:val="00F6390B"/>
    <w:rsid w:val="00F63A21"/>
    <w:rsid w:val="00F63B56"/>
    <w:rsid w:val="00F63C6A"/>
    <w:rsid w:val="00F63E25"/>
    <w:rsid w:val="00F63F48"/>
    <w:rsid w:val="00F64183"/>
    <w:rsid w:val="00F6425E"/>
    <w:rsid w:val="00F64349"/>
    <w:rsid w:val="00F643DA"/>
    <w:rsid w:val="00F6443E"/>
    <w:rsid w:val="00F644CD"/>
    <w:rsid w:val="00F64666"/>
    <w:rsid w:val="00F646C8"/>
    <w:rsid w:val="00F64756"/>
    <w:rsid w:val="00F64822"/>
    <w:rsid w:val="00F6486B"/>
    <w:rsid w:val="00F649B0"/>
    <w:rsid w:val="00F64A86"/>
    <w:rsid w:val="00F64D74"/>
    <w:rsid w:val="00F64DE6"/>
    <w:rsid w:val="00F64E12"/>
    <w:rsid w:val="00F64ED4"/>
    <w:rsid w:val="00F64F05"/>
    <w:rsid w:val="00F653F4"/>
    <w:rsid w:val="00F654B7"/>
    <w:rsid w:val="00F654E5"/>
    <w:rsid w:val="00F65711"/>
    <w:rsid w:val="00F65A3D"/>
    <w:rsid w:val="00F65EDF"/>
    <w:rsid w:val="00F66087"/>
    <w:rsid w:val="00F665FE"/>
    <w:rsid w:val="00F66603"/>
    <w:rsid w:val="00F67066"/>
    <w:rsid w:val="00F67078"/>
    <w:rsid w:val="00F670B8"/>
    <w:rsid w:val="00F6710F"/>
    <w:rsid w:val="00F671D5"/>
    <w:rsid w:val="00F6730B"/>
    <w:rsid w:val="00F67449"/>
    <w:rsid w:val="00F67577"/>
    <w:rsid w:val="00F6757B"/>
    <w:rsid w:val="00F6765B"/>
    <w:rsid w:val="00F677F4"/>
    <w:rsid w:val="00F67867"/>
    <w:rsid w:val="00F67933"/>
    <w:rsid w:val="00F679F9"/>
    <w:rsid w:val="00F67BCF"/>
    <w:rsid w:val="00F67ED1"/>
    <w:rsid w:val="00F70147"/>
    <w:rsid w:val="00F70228"/>
    <w:rsid w:val="00F7025D"/>
    <w:rsid w:val="00F70345"/>
    <w:rsid w:val="00F70413"/>
    <w:rsid w:val="00F70683"/>
    <w:rsid w:val="00F70813"/>
    <w:rsid w:val="00F70914"/>
    <w:rsid w:val="00F709A0"/>
    <w:rsid w:val="00F70E97"/>
    <w:rsid w:val="00F70FEE"/>
    <w:rsid w:val="00F710FA"/>
    <w:rsid w:val="00F714BB"/>
    <w:rsid w:val="00F71820"/>
    <w:rsid w:val="00F71986"/>
    <w:rsid w:val="00F719BD"/>
    <w:rsid w:val="00F71B0B"/>
    <w:rsid w:val="00F71DD3"/>
    <w:rsid w:val="00F71E4B"/>
    <w:rsid w:val="00F71FF7"/>
    <w:rsid w:val="00F72070"/>
    <w:rsid w:val="00F724DA"/>
    <w:rsid w:val="00F726BA"/>
    <w:rsid w:val="00F729B9"/>
    <w:rsid w:val="00F72C72"/>
    <w:rsid w:val="00F737D0"/>
    <w:rsid w:val="00F73820"/>
    <w:rsid w:val="00F73AD8"/>
    <w:rsid w:val="00F73AD9"/>
    <w:rsid w:val="00F73D40"/>
    <w:rsid w:val="00F73D5B"/>
    <w:rsid w:val="00F73E15"/>
    <w:rsid w:val="00F7448C"/>
    <w:rsid w:val="00F7484B"/>
    <w:rsid w:val="00F74BFC"/>
    <w:rsid w:val="00F74C52"/>
    <w:rsid w:val="00F74CE4"/>
    <w:rsid w:val="00F7522D"/>
    <w:rsid w:val="00F75258"/>
    <w:rsid w:val="00F7533E"/>
    <w:rsid w:val="00F75519"/>
    <w:rsid w:val="00F755D7"/>
    <w:rsid w:val="00F75A0F"/>
    <w:rsid w:val="00F75BB6"/>
    <w:rsid w:val="00F75C9D"/>
    <w:rsid w:val="00F75CAF"/>
    <w:rsid w:val="00F75FA3"/>
    <w:rsid w:val="00F761F6"/>
    <w:rsid w:val="00F7621B"/>
    <w:rsid w:val="00F7661E"/>
    <w:rsid w:val="00F76818"/>
    <w:rsid w:val="00F768F1"/>
    <w:rsid w:val="00F76994"/>
    <w:rsid w:val="00F76A37"/>
    <w:rsid w:val="00F76B30"/>
    <w:rsid w:val="00F76CE3"/>
    <w:rsid w:val="00F7701F"/>
    <w:rsid w:val="00F7725F"/>
    <w:rsid w:val="00F773AE"/>
    <w:rsid w:val="00F777A1"/>
    <w:rsid w:val="00F77918"/>
    <w:rsid w:val="00F77AC5"/>
    <w:rsid w:val="00F77B38"/>
    <w:rsid w:val="00F77C16"/>
    <w:rsid w:val="00F77D85"/>
    <w:rsid w:val="00F77DED"/>
    <w:rsid w:val="00F77FF2"/>
    <w:rsid w:val="00F80090"/>
    <w:rsid w:val="00F80141"/>
    <w:rsid w:val="00F8018F"/>
    <w:rsid w:val="00F80328"/>
    <w:rsid w:val="00F805EE"/>
    <w:rsid w:val="00F807FA"/>
    <w:rsid w:val="00F80AA7"/>
    <w:rsid w:val="00F80F07"/>
    <w:rsid w:val="00F8101A"/>
    <w:rsid w:val="00F810FF"/>
    <w:rsid w:val="00F812D9"/>
    <w:rsid w:val="00F81382"/>
    <w:rsid w:val="00F81A0C"/>
    <w:rsid w:val="00F81B0E"/>
    <w:rsid w:val="00F81C33"/>
    <w:rsid w:val="00F81D0C"/>
    <w:rsid w:val="00F81FE4"/>
    <w:rsid w:val="00F8250B"/>
    <w:rsid w:val="00F826AD"/>
    <w:rsid w:val="00F827DE"/>
    <w:rsid w:val="00F82826"/>
    <w:rsid w:val="00F82830"/>
    <w:rsid w:val="00F82C1C"/>
    <w:rsid w:val="00F82F6F"/>
    <w:rsid w:val="00F831B2"/>
    <w:rsid w:val="00F831EA"/>
    <w:rsid w:val="00F834D2"/>
    <w:rsid w:val="00F835E3"/>
    <w:rsid w:val="00F8372B"/>
    <w:rsid w:val="00F83A6E"/>
    <w:rsid w:val="00F83AED"/>
    <w:rsid w:val="00F83DF6"/>
    <w:rsid w:val="00F83FD0"/>
    <w:rsid w:val="00F84020"/>
    <w:rsid w:val="00F84313"/>
    <w:rsid w:val="00F849B7"/>
    <w:rsid w:val="00F84CE4"/>
    <w:rsid w:val="00F84E11"/>
    <w:rsid w:val="00F84F4E"/>
    <w:rsid w:val="00F85045"/>
    <w:rsid w:val="00F8505A"/>
    <w:rsid w:val="00F851F6"/>
    <w:rsid w:val="00F854CE"/>
    <w:rsid w:val="00F857C0"/>
    <w:rsid w:val="00F85A0A"/>
    <w:rsid w:val="00F85C79"/>
    <w:rsid w:val="00F85E2C"/>
    <w:rsid w:val="00F85F25"/>
    <w:rsid w:val="00F85FA0"/>
    <w:rsid w:val="00F8630F"/>
    <w:rsid w:val="00F86474"/>
    <w:rsid w:val="00F865DD"/>
    <w:rsid w:val="00F86B4E"/>
    <w:rsid w:val="00F86C7D"/>
    <w:rsid w:val="00F86CC0"/>
    <w:rsid w:val="00F86E11"/>
    <w:rsid w:val="00F87003"/>
    <w:rsid w:val="00F87009"/>
    <w:rsid w:val="00F872C9"/>
    <w:rsid w:val="00F8731D"/>
    <w:rsid w:val="00F879E3"/>
    <w:rsid w:val="00F87B49"/>
    <w:rsid w:val="00F87CE9"/>
    <w:rsid w:val="00F87DD7"/>
    <w:rsid w:val="00F900FB"/>
    <w:rsid w:val="00F902CE"/>
    <w:rsid w:val="00F90522"/>
    <w:rsid w:val="00F908FA"/>
    <w:rsid w:val="00F90B4B"/>
    <w:rsid w:val="00F90B6E"/>
    <w:rsid w:val="00F90E4B"/>
    <w:rsid w:val="00F91675"/>
    <w:rsid w:val="00F91735"/>
    <w:rsid w:val="00F918D7"/>
    <w:rsid w:val="00F9194E"/>
    <w:rsid w:val="00F91B20"/>
    <w:rsid w:val="00F92299"/>
    <w:rsid w:val="00F92433"/>
    <w:rsid w:val="00F9284B"/>
    <w:rsid w:val="00F92AB3"/>
    <w:rsid w:val="00F92B04"/>
    <w:rsid w:val="00F92C5D"/>
    <w:rsid w:val="00F92D01"/>
    <w:rsid w:val="00F92EEB"/>
    <w:rsid w:val="00F92FA5"/>
    <w:rsid w:val="00F92FAF"/>
    <w:rsid w:val="00F93285"/>
    <w:rsid w:val="00F93430"/>
    <w:rsid w:val="00F93584"/>
    <w:rsid w:val="00F935F2"/>
    <w:rsid w:val="00F937EC"/>
    <w:rsid w:val="00F93800"/>
    <w:rsid w:val="00F93A1A"/>
    <w:rsid w:val="00F93C26"/>
    <w:rsid w:val="00F93D4D"/>
    <w:rsid w:val="00F93DFA"/>
    <w:rsid w:val="00F93FD2"/>
    <w:rsid w:val="00F93FD7"/>
    <w:rsid w:val="00F94035"/>
    <w:rsid w:val="00F94624"/>
    <w:rsid w:val="00F947B1"/>
    <w:rsid w:val="00F9480F"/>
    <w:rsid w:val="00F948A5"/>
    <w:rsid w:val="00F94982"/>
    <w:rsid w:val="00F94C72"/>
    <w:rsid w:val="00F94F97"/>
    <w:rsid w:val="00F951CB"/>
    <w:rsid w:val="00F95686"/>
    <w:rsid w:val="00F95AE4"/>
    <w:rsid w:val="00F95B97"/>
    <w:rsid w:val="00F95E2E"/>
    <w:rsid w:val="00F95E4D"/>
    <w:rsid w:val="00F960CF"/>
    <w:rsid w:val="00F9675C"/>
    <w:rsid w:val="00F96782"/>
    <w:rsid w:val="00F9688B"/>
    <w:rsid w:val="00F96C8D"/>
    <w:rsid w:val="00F96D79"/>
    <w:rsid w:val="00F96E7B"/>
    <w:rsid w:val="00F96EB6"/>
    <w:rsid w:val="00F96F78"/>
    <w:rsid w:val="00F9704D"/>
    <w:rsid w:val="00F97170"/>
    <w:rsid w:val="00F972C9"/>
    <w:rsid w:val="00F97418"/>
    <w:rsid w:val="00F97577"/>
    <w:rsid w:val="00F97840"/>
    <w:rsid w:val="00F978DF"/>
    <w:rsid w:val="00F97B5F"/>
    <w:rsid w:val="00FA0062"/>
    <w:rsid w:val="00FA0388"/>
    <w:rsid w:val="00FA04FE"/>
    <w:rsid w:val="00FA07B0"/>
    <w:rsid w:val="00FA0FA7"/>
    <w:rsid w:val="00FA10C0"/>
    <w:rsid w:val="00FA1650"/>
    <w:rsid w:val="00FA1947"/>
    <w:rsid w:val="00FA1A0F"/>
    <w:rsid w:val="00FA1BC9"/>
    <w:rsid w:val="00FA1C38"/>
    <w:rsid w:val="00FA1CA5"/>
    <w:rsid w:val="00FA1FE9"/>
    <w:rsid w:val="00FA2077"/>
    <w:rsid w:val="00FA2228"/>
    <w:rsid w:val="00FA2353"/>
    <w:rsid w:val="00FA2771"/>
    <w:rsid w:val="00FA27FD"/>
    <w:rsid w:val="00FA2CE5"/>
    <w:rsid w:val="00FA2EB2"/>
    <w:rsid w:val="00FA2FE5"/>
    <w:rsid w:val="00FA3371"/>
    <w:rsid w:val="00FA34E1"/>
    <w:rsid w:val="00FA3908"/>
    <w:rsid w:val="00FA39C1"/>
    <w:rsid w:val="00FA39D2"/>
    <w:rsid w:val="00FA3AEA"/>
    <w:rsid w:val="00FA3DD3"/>
    <w:rsid w:val="00FA40EE"/>
    <w:rsid w:val="00FA4399"/>
    <w:rsid w:val="00FA4785"/>
    <w:rsid w:val="00FA47EE"/>
    <w:rsid w:val="00FA4809"/>
    <w:rsid w:val="00FA4ECF"/>
    <w:rsid w:val="00FA4F03"/>
    <w:rsid w:val="00FA542F"/>
    <w:rsid w:val="00FA5560"/>
    <w:rsid w:val="00FA5567"/>
    <w:rsid w:val="00FA569B"/>
    <w:rsid w:val="00FA59B0"/>
    <w:rsid w:val="00FA5D56"/>
    <w:rsid w:val="00FA6238"/>
    <w:rsid w:val="00FA6312"/>
    <w:rsid w:val="00FA64D2"/>
    <w:rsid w:val="00FA65D0"/>
    <w:rsid w:val="00FA6659"/>
    <w:rsid w:val="00FA688D"/>
    <w:rsid w:val="00FA6F5E"/>
    <w:rsid w:val="00FA6FB7"/>
    <w:rsid w:val="00FA7147"/>
    <w:rsid w:val="00FA71EA"/>
    <w:rsid w:val="00FA7545"/>
    <w:rsid w:val="00FA7615"/>
    <w:rsid w:val="00FA7F0F"/>
    <w:rsid w:val="00FA7F25"/>
    <w:rsid w:val="00FB0326"/>
    <w:rsid w:val="00FB0970"/>
    <w:rsid w:val="00FB0BDA"/>
    <w:rsid w:val="00FB0DB8"/>
    <w:rsid w:val="00FB0DE3"/>
    <w:rsid w:val="00FB1080"/>
    <w:rsid w:val="00FB1102"/>
    <w:rsid w:val="00FB1163"/>
    <w:rsid w:val="00FB1500"/>
    <w:rsid w:val="00FB1587"/>
    <w:rsid w:val="00FB16AF"/>
    <w:rsid w:val="00FB16F1"/>
    <w:rsid w:val="00FB18CE"/>
    <w:rsid w:val="00FB1A01"/>
    <w:rsid w:val="00FB1CA5"/>
    <w:rsid w:val="00FB1D8C"/>
    <w:rsid w:val="00FB1E69"/>
    <w:rsid w:val="00FB2096"/>
    <w:rsid w:val="00FB20B2"/>
    <w:rsid w:val="00FB2245"/>
    <w:rsid w:val="00FB24F5"/>
    <w:rsid w:val="00FB27BE"/>
    <w:rsid w:val="00FB2C4C"/>
    <w:rsid w:val="00FB2C6C"/>
    <w:rsid w:val="00FB2F5A"/>
    <w:rsid w:val="00FB2F92"/>
    <w:rsid w:val="00FB319E"/>
    <w:rsid w:val="00FB3287"/>
    <w:rsid w:val="00FB330A"/>
    <w:rsid w:val="00FB336B"/>
    <w:rsid w:val="00FB344F"/>
    <w:rsid w:val="00FB37A4"/>
    <w:rsid w:val="00FB39FD"/>
    <w:rsid w:val="00FB3A5C"/>
    <w:rsid w:val="00FB3F0F"/>
    <w:rsid w:val="00FB3F63"/>
    <w:rsid w:val="00FB4050"/>
    <w:rsid w:val="00FB40A5"/>
    <w:rsid w:val="00FB414F"/>
    <w:rsid w:val="00FB43FF"/>
    <w:rsid w:val="00FB45C0"/>
    <w:rsid w:val="00FB473C"/>
    <w:rsid w:val="00FB49AB"/>
    <w:rsid w:val="00FB49B3"/>
    <w:rsid w:val="00FB4CBF"/>
    <w:rsid w:val="00FB4CC9"/>
    <w:rsid w:val="00FB5007"/>
    <w:rsid w:val="00FB52E6"/>
    <w:rsid w:val="00FB557E"/>
    <w:rsid w:val="00FB5666"/>
    <w:rsid w:val="00FB56AC"/>
    <w:rsid w:val="00FB5A1E"/>
    <w:rsid w:val="00FB5E6A"/>
    <w:rsid w:val="00FB5FFA"/>
    <w:rsid w:val="00FB6002"/>
    <w:rsid w:val="00FB61AD"/>
    <w:rsid w:val="00FB61E3"/>
    <w:rsid w:val="00FB62DE"/>
    <w:rsid w:val="00FB64A3"/>
    <w:rsid w:val="00FB6740"/>
    <w:rsid w:val="00FB731F"/>
    <w:rsid w:val="00FB75AD"/>
    <w:rsid w:val="00FB76EA"/>
    <w:rsid w:val="00FB7A3F"/>
    <w:rsid w:val="00FB7BB7"/>
    <w:rsid w:val="00FB7BE0"/>
    <w:rsid w:val="00FB7F47"/>
    <w:rsid w:val="00FB7FED"/>
    <w:rsid w:val="00FC011A"/>
    <w:rsid w:val="00FC0200"/>
    <w:rsid w:val="00FC0437"/>
    <w:rsid w:val="00FC0719"/>
    <w:rsid w:val="00FC078C"/>
    <w:rsid w:val="00FC0DEB"/>
    <w:rsid w:val="00FC0E56"/>
    <w:rsid w:val="00FC118A"/>
    <w:rsid w:val="00FC13BE"/>
    <w:rsid w:val="00FC146A"/>
    <w:rsid w:val="00FC163B"/>
    <w:rsid w:val="00FC1A52"/>
    <w:rsid w:val="00FC1B6A"/>
    <w:rsid w:val="00FC1E46"/>
    <w:rsid w:val="00FC1FD0"/>
    <w:rsid w:val="00FC2059"/>
    <w:rsid w:val="00FC235A"/>
    <w:rsid w:val="00FC2365"/>
    <w:rsid w:val="00FC2463"/>
    <w:rsid w:val="00FC268A"/>
    <w:rsid w:val="00FC2951"/>
    <w:rsid w:val="00FC2DFB"/>
    <w:rsid w:val="00FC2F06"/>
    <w:rsid w:val="00FC309C"/>
    <w:rsid w:val="00FC33E7"/>
    <w:rsid w:val="00FC3407"/>
    <w:rsid w:val="00FC35B7"/>
    <w:rsid w:val="00FC36F9"/>
    <w:rsid w:val="00FC36FC"/>
    <w:rsid w:val="00FC38B6"/>
    <w:rsid w:val="00FC3EFE"/>
    <w:rsid w:val="00FC40E9"/>
    <w:rsid w:val="00FC4226"/>
    <w:rsid w:val="00FC42FD"/>
    <w:rsid w:val="00FC433B"/>
    <w:rsid w:val="00FC433C"/>
    <w:rsid w:val="00FC47AB"/>
    <w:rsid w:val="00FC4967"/>
    <w:rsid w:val="00FC4E5B"/>
    <w:rsid w:val="00FC4F05"/>
    <w:rsid w:val="00FC55A6"/>
    <w:rsid w:val="00FC56BD"/>
    <w:rsid w:val="00FC5785"/>
    <w:rsid w:val="00FC5AD2"/>
    <w:rsid w:val="00FC5B7B"/>
    <w:rsid w:val="00FC5C74"/>
    <w:rsid w:val="00FC5E38"/>
    <w:rsid w:val="00FC640B"/>
    <w:rsid w:val="00FC65F2"/>
    <w:rsid w:val="00FC6605"/>
    <w:rsid w:val="00FC672E"/>
    <w:rsid w:val="00FC679D"/>
    <w:rsid w:val="00FC6876"/>
    <w:rsid w:val="00FC6ABF"/>
    <w:rsid w:val="00FC6BCC"/>
    <w:rsid w:val="00FC6DAC"/>
    <w:rsid w:val="00FC6E94"/>
    <w:rsid w:val="00FC6EF4"/>
    <w:rsid w:val="00FC715A"/>
    <w:rsid w:val="00FC71E4"/>
    <w:rsid w:val="00FC727B"/>
    <w:rsid w:val="00FC72A9"/>
    <w:rsid w:val="00FC75DA"/>
    <w:rsid w:val="00FC7BB3"/>
    <w:rsid w:val="00FC7BE5"/>
    <w:rsid w:val="00FC7D92"/>
    <w:rsid w:val="00FD00BB"/>
    <w:rsid w:val="00FD0141"/>
    <w:rsid w:val="00FD0430"/>
    <w:rsid w:val="00FD0548"/>
    <w:rsid w:val="00FD0880"/>
    <w:rsid w:val="00FD0A1F"/>
    <w:rsid w:val="00FD0BB0"/>
    <w:rsid w:val="00FD1038"/>
    <w:rsid w:val="00FD173D"/>
    <w:rsid w:val="00FD1AFF"/>
    <w:rsid w:val="00FD1B0B"/>
    <w:rsid w:val="00FD1D9C"/>
    <w:rsid w:val="00FD1EE2"/>
    <w:rsid w:val="00FD25DF"/>
    <w:rsid w:val="00FD25E0"/>
    <w:rsid w:val="00FD25FE"/>
    <w:rsid w:val="00FD291F"/>
    <w:rsid w:val="00FD2A82"/>
    <w:rsid w:val="00FD2CC4"/>
    <w:rsid w:val="00FD31FB"/>
    <w:rsid w:val="00FD347E"/>
    <w:rsid w:val="00FD37A7"/>
    <w:rsid w:val="00FD38C6"/>
    <w:rsid w:val="00FD3FD5"/>
    <w:rsid w:val="00FD4B8A"/>
    <w:rsid w:val="00FD4C89"/>
    <w:rsid w:val="00FD583B"/>
    <w:rsid w:val="00FD5A00"/>
    <w:rsid w:val="00FD5C39"/>
    <w:rsid w:val="00FD5E60"/>
    <w:rsid w:val="00FD6115"/>
    <w:rsid w:val="00FD613D"/>
    <w:rsid w:val="00FD6287"/>
    <w:rsid w:val="00FD638C"/>
    <w:rsid w:val="00FD64A4"/>
    <w:rsid w:val="00FD6592"/>
    <w:rsid w:val="00FD6812"/>
    <w:rsid w:val="00FD6A8B"/>
    <w:rsid w:val="00FD6ACA"/>
    <w:rsid w:val="00FD6D59"/>
    <w:rsid w:val="00FD6D9F"/>
    <w:rsid w:val="00FD6F5F"/>
    <w:rsid w:val="00FD700F"/>
    <w:rsid w:val="00FD702C"/>
    <w:rsid w:val="00FD71AB"/>
    <w:rsid w:val="00FD72A9"/>
    <w:rsid w:val="00FD7300"/>
    <w:rsid w:val="00FD7372"/>
    <w:rsid w:val="00FD7465"/>
    <w:rsid w:val="00FD7986"/>
    <w:rsid w:val="00FD7D41"/>
    <w:rsid w:val="00FD7EEF"/>
    <w:rsid w:val="00FE0104"/>
    <w:rsid w:val="00FE06EA"/>
    <w:rsid w:val="00FE0CDF"/>
    <w:rsid w:val="00FE0CF8"/>
    <w:rsid w:val="00FE0DB3"/>
    <w:rsid w:val="00FE0E58"/>
    <w:rsid w:val="00FE16CE"/>
    <w:rsid w:val="00FE1823"/>
    <w:rsid w:val="00FE19F3"/>
    <w:rsid w:val="00FE1D89"/>
    <w:rsid w:val="00FE212B"/>
    <w:rsid w:val="00FE24A8"/>
    <w:rsid w:val="00FE256B"/>
    <w:rsid w:val="00FE2572"/>
    <w:rsid w:val="00FE2901"/>
    <w:rsid w:val="00FE2D3B"/>
    <w:rsid w:val="00FE2FBF"/>
    <w:rsid w:val="00FE3084"/>
    <w:rsid w:val="00FE31C4"/>
    <w:rsid w:val="00FE32D3"/>
    <w:rsid w:val="00FE34D8"/>
    <w:rsid w:val="00FE3515"/>
    <w:rsid w:val="00FE360F"/>
    <w:rsid w:val="00FE3744"/>
    <w:rsid w:val="00FE37C9"/>
    <w:rsid w:val="00FE39C6"/>
    <w:rsid w:val="00FE39F7"/>
    <w:rsid w:val="00FE400E"/>
    <w:rsid w:val="00FE42C4"/>
    <w:rsid w:val="00FE4496"/>
    <w:rsid w:val="00FE49CD"/>
    <w:rsid w:val="00FE4FA3"/>
    <w:rsid w:val="00FE523C"/>
    <w:rsid w:val="00FE537D"/>
    <w:rsid w:val="00FE5529"/>
    <w:rsid w:val="00FE5764"/>
    <w:rsid w:val="00FE59A1"/>
    <w:rsid w:val="00FE5D3A"/>
    <w:rsid w:val="00FE611A"/>
    <w:rsid w:val="00FE6135"/>
    <w:rsid w:val="00FE61DC"/>
    <w:rsid w:val="00FE6422"/>
    <w:rsid w:val="00FE655A"/>
    <w:rsid w:val="00FE68AD"/>
    <w:rsid w:val="00FE690C"/>
    <w:rsid w:val="00FE6AE0"/>
    <w:rsid w:val="00FE6ED4"/>
    <w:rsid w:val="00FE6F11"/>
    <w:rsid w:val="00FE6F44"/>
    <w:rsid w:val="00FE73E1"/>
    <w:rsid w:val="00FE7481"/>
    <w:rsid w:val="00FE76DD"/>
    <w:rsid w:val="00FE79F5"/>
    <w:rsid w:val="00FE7C0A"/>
    <w:rsid w:val="00FE7C36"/>
    <w:rsid w:val="00FE7C86"/>
    <w:rsid w:val="00FE7FC9"/>
    <w:rsid w:val="00FF00A5"/>
    <w:rsid w:val="00FF0221"/>
    <w:rsid w:val="00FF0535"/>
    <w:rsid w:val="00FF0960"/>
    <w:rsid w:val="00FF1267"/>
    <w:rsid w:val="00FF135B"/>
    <w:rsid w:val="00FF1592"/>
    <w:rsid w:val="00FF1B1B"/>
    <w:rsid w:val="00FF1C9F"/>
    <w:rsid w:val="00FF1E7F"/>
    <w:rsid w:val="00FF1F53"/>
    <w:rsid w:val="00FF218B"/>
    <w:rsid w:val="00FF234D"/>
    <w:rsid w:val="00FF235E"/>
    <w:rsid w:val="00FF297B"/>
    <w:rsid w:val="00FF2F49"/>
    <w:rsid w:val="00FF31E0"/>
    <w:rsid w:val="00FF340E"/>
    <w:rsid w:val="00FF37E1"/>
    <w:rsid w:val="00FF3866"/>
    <w:rsid w:val="00FF3987"/>
    <w:rsid w:val="00FF39F7"/>
    <w:rsid w:val="00FF3C35"/>
    <w:rsid w:val="00FF3EF9"/>
    <w:rsid w:val="00FF4009"/>
    <w:rsid w:val="00FF4141"/>
    <w:rsid w:val="00FF435D"/>
    <w:rsid w:val="00FF46D9"/>
    <w:rsid w:val="00FF47DE"/>
    <w:rsid w:val="00FF4C34"/>
    <w:rsid w:val="00FF4E2F"/>
    <w:rsid w:val="00FF525C"/>
    <w:rsid w:val="00FF53E5"/>
    <w:rsid w:val="00FF577A"/>
    <w:rsid w:val="00FF57D8"/>
    <w:rsid w:val="00FF590E"/>
    <w:rsid w:val="00FF5962"/>
    <w:rsid w:val="00FF5AF5"/>
    <w:rsid w:val="00FF5B42"/>
    <w:rsid w:val="00FF5C56"/>
    <w:rsid w:val="00FF5FF9"/>
    <w:rsid w:val="00FF6741"/>
    <w:rsid w:val="00FF67CF"/>
    <w:rsid w:val="00FF6BE4"/>
    <w:rsid w:val="00FF6D69"/>
    <w:rsid w:val="00FF7363"/>
    <w:rsid w:val="00FF73DF"/>
    <w:rsid w:val="00FF74D1"/>
    <w:rsid w:val="00FF7678"/>
    <w:rsid w:val="00FF7AE0"/>
    <w:rsid w:val="00FF7AEE"/>
    <w:rsid w:val="00FF7B7D"/>
    <w:rsid w:val="0116580D"/>
    <w:rsid w:val="0118085F"/>
    <w:rsid w:val="0152652C"/>
    <w:rsid w:val="01ECC048"/>
    <w:rsid w:val="01FA0720"/>
    <w:rsid w:val="021E7D05"/>
    <w:rsid w:val="024AB8F9"/>
    <w:rsid w:val="027C1309"/>
    <w:rsid w:val="02B1BE54"/>
    <w:rsid w:val="02F55C40"/>
    <w:rsid w:val="030F9278"/>
    <w:rsid w:val="031F8FF1"/>
    <w:rsid w:val="0321BA6F"/>
    <w:rsid w:val="03756D68"/>
    <w:rsid w:val="037941A7"/>
    <w:rsid w:val="037C3178"/>
    <w:rsid w:val="04579024"/>
    <w:rsid w:val="054E806A"/>
    <w:rsid w:val="055193E8"/>
    <w:rsid w:val="05697201"/>
    <w:rsid w:val="05A8256C"/>
    <w:rsid w:val="05FF053E"/>
    <w:rsid w:val="06062089"/>
    <w:rsid w:val="0611FD04"/>
    <w:rsid w:val="061D7D4F"/>
    <w:rsid w:val="06823CB4"/>
    <w:rsid w:val="0711E2A7"/>
    <w:rsid w:val="072A689F"/>
    <w:rsid w:val="07318C3E"/>
    <w:rsid w:val="07DCB872"/>
    <w:rsid w:val="07FD6989"/>
    <w:rsid w:val="0833DAAA"/>
    <w:rsid w:val="083C6E1B"/>
    <w:rsid w:val="086FD689"/>
    <w:rsid w:val="088DEB93"/>
    <w:rsid w:val="089087EE"/>
    <w:rsid w:val="089650AB"/>
    <w:rsid w:val="08A9FF81"/>
    <w:rsid w:val="08B2239C"/>
    <w:rsid w:val="08BA7835"/>
    <w:rsid w:val="08D4EECF"/>
    <w:rsid w:val="08E683C1"/>
    <w:rsid w:val="092590D9"/>
    <w:rsid w:val="0942257E"/>
    <w:rsid w:val="094ECB40"/>
    <w:rsid w:val="09533516"/>
    <w:rsid w:val="0A0D92EC"/>
    <w:rsid w:val="0AE9C991"/>
    <w:rsid w:val="0AF641D4"/>
    <w:rsid w:val="0B28A2BF"/>
    <w:rsid w:val="0B2C3443"/>
    <w:rsid w:val="0B34152C"/>
    <w:rsid w:val="0B42410D"/>
    <w:rsid w:val="0B68A5F3"/>
    <w:rsid w:val="0B6B1D1D"/>
    <w:rsid w:val="0B7C67E9"/>
    <w:rsid w:val="0BC4393B"/>
    <w:rsid w:val="0BDC4A48"/>
    <w:rsid w:val="0BECF70E"/>
    <w:rsid w:val="0C2623C3"/>
    <w:rsid w:val="0CADD3E9"/>
    <w:rsid w:val="0D32AB7A"/>
    <w:rsid w:val="0D59324A"/>
    <w:rsid w:val="0D61CFD1"/>
    <w:rsid w:val="0DBB7B85"/>
    <w:rsid w:val="0E0119B4"/>
    <w:rsid w:val="0F0355B3"/>
    <w:rsid w:val="0F188D5F"/>
    <w:rsid w:val="0F2A423B"/>
    <w:rsid w:val="0F3747D1"/>
    <w:rsid w:val="0F4B9F55"/>
    <w:rsid w:val="0F9B0334"/>
    <w:rsid w:val="0FC5B0A5"/>
    <w:rsid w:val="0FC7B12C"/>
    <w:rsid w:val="0FE0C009"/>
    <w:rsid w:val="10932F26"/>
    <w:rsid w:val="10F437B2"/>
    <w:rsid w:val="1112384F"/>
    <w:rsid w:val="112AE840"/>
    <w:rsid w:val="112E7DBA"/>
    <w:rsid w:val="1178EAAE"/>
    <w:rsid w:val="1183C8BE"/>
    <w:rsid w:val="1199586A"/>
    <w:rsid w:val="11B84FA2"/>
    <w:rsid w:val="11C8C4CE"/>
    <w:rsid w:val="11CA3372"/>
    <w:rsid w:val="11E1DE01"/>
    <w:rsid w:val="120DE99F"/>
    <w:rsid w:val="12222FBC"/>
    <w:rsid w:val="12306275"/>
    <w:rsid w:val="124AA279"/>
    <w:rsid w:val="12AC9906"/>
    <w:rsid w:val="12E6076B"/>
    <w:rsid w:val="12E9BB0F"/>
    <w:rsid w:val="1324F36B"/>
    <w:rsid w:val="133923FD"/>
    <w:rsid w:val="13458DC1"/>
    <w:rsid w:val="1356443A"/>
    <w:rsid w:val="136EC2BB"/>
    <w:rsid w:val="1394936E"/>
    <w:rsid w:val="1397A11D"/>
    <w:rsid w:val="13A29DA9"/>
    <w:rsid w:val="13F9758A"/>
    <w:rsid w:val="14085C0F"/>
    <w:rsid w:val="140CD1CB"/>
    <w:rsid w:val="14199604"/>
    <w:rsid w:val="143347C6"/>
    <w:rsid w:val="1460A491"/>
    <w:rsid w:val="14748576"/>
    <w:rsid w:val="14E3AFE2"/>
    <w:rsid w:val="152912F6"/>
    <w:rsid w:val="153E7EAE"/>
    <w:rsid w:val="1556CE0B"/>
    <w:rsid w:val="15E8E8AE"/>
    <w:rsid w:val="15FF6843"/>
    <w:rsid w:val="16710672"/>
    <w:rsid w:val="1679732E"/>
    <w:rsid w:val="16D2CE4B"/>
    <w:rsid w:val="16D3210B"/>
    <w:rsid w:val="16D84786"/>
    <w:rsid w:val="16DB41DB"/>
    <w:rsid w:val="170302FE"/>
    <w:rsid w:val="171CB25A"/>
    <w:rsid w:val="17200548"/>
    <w:rsid w:val="17465020"/>
    <w:rsid w:val="17699697"/>
    <w:rsid w:val="1779F01D"/>
    <w:rsid w:val="17E778D6"/>
    <w:rsid w:val="180CEEDD"/>
    <w:rsid w:val="18286880"/>
    <w:rsid w:val="18817AB3"/>
    <w:rsid w:val="1892DEEC"/>
    <w:rsid w:val="18980D6A"/>
    <w:rsid w:val="1899F998"/>
    <w:rsid w:val="189D5F08"/>
    <w:rsid w:val="18AE77E9"/>
    <w:rsid w:val="18EE5F79"/>
    <w:rsid w:val="191D8744"/>
    <w:rsid w:val="191DFC42"/>
    <w:rsid w:val="199728DC"/>
    <w:rsid w:val="19AEFE99"/>
    <w:rsid w:val="19B6FC79"/>
    <w:rsid w:val="19D7144F"/>
    <w:rsid w:val="19DC875E"/>
    <w:rsid w:val="1A207E4D"/>
    <w:rsid w:val="1A5E7738"/>
    <w:rsid w:val="1ABBBD88"/>
    <w:rsid w:val="1AE1D8E8"/>
    <w:rsid w:val="1AED8D61"/>
    <w:rsid w:val="1B5A9AFB"/>
    <w:rsid w:val="1B5CE63E"/>
    <w:rsid w:val="1B895A1C"/>
    <w:rsid w:val="1B907E2D"/>
    <w:rsid w:val="1BA5D259"/>
    <w:rsid w:val="1BB2D32C"/>
    <w:rsid w:val="1BC2C9F1"/>
    <w:rsid w:val="1BF12EDB"/>
    <w:rsid w:val="1BF8AB15"/>
    <w:rsid w:val="1C064D2D"/>
    <w:rsid w:val="1C3C3398"/>
    <w:rsid w:val="1C45717F"/>
    <w:rsid w:val="1C4BE31E"/>
    <w:rsid w:val="1C5139A6"/>
    <w:rsid w:val="1C5C43B5"/>
    <w:rsid w:val="1C63B297"/>
    <w:rsid w:val="1CB5922A"/>
    <w:rsid w:val="1CEC6EB1"/>
    <w:rsid w:val="1D0B3FE1"/>
    <w:rsid w:val="1D130E6E"/>
    <w:rsid w:val="1D1EE2EF"/>
    <w:rsid w:val="1D6F3EF3"/>
    <w:rsid w:val="1DD8CD49"/>
    <w:rsid w:val="1DEF6E40"/>
    <w:rsid w:val="1DF30EF4"/>
    <w:rsid w:val="1E0A7437"/>
    <w:rsid w:val="1E1E2693"/>
    <w:rsid w:val="1E327055"/>
    <w:rsid w:val="1EAA9C46"/>
    <w:rsid w:val="1EBB0040"/>
    <w:rsid w:val="1EFFB08B"/>
    <w:rsid w:val="1F0E5070"/>
    <w:rsid w:val="1F0F1C85"/>
    <w:rsid w:val="1F8DC06A"/>
    <w:rsid w:val="1F939CBA"/>
    <w:rsid w:val="1FA0C57B"/>
    <w:rsid w:val="20102FC8"/>
    <w:rsid w:val="20217D56"/>
    <w:rsid w:val="2084BD01"/>
    <w:rsid w:val="20990F18"/>
    <w:rsid w:val="20C0DEE1"/>
    <w:rsid w:val="20EAAA66"/>
    <w:rsid w:val="2101FB21"/>
    <w:rsid w:val="2129AAC7"/>
    <w:rsid w:val="21301744"/>
    <w:rsid w:val="213B4C94"/>
    <w:rsid w:val="214632D6"/>
    <w:rsid w:val="21D508D6"/>
    <w:rsid w:val="21DC238F"/>
    <w:rsid w:val="220F6DAF"/>
    <w:rsid w:val="221F3275"/>
    <w:rsid w:val="2243F0CE"/>
    <w:rsid w:val="224C9F19"/>
    <w:rsid w:val="22AE1963"/>
    <w:rsid w:val="22C67695"/>
    <w:rsid w:val="22E30804"/>
    <w:rsid w:val="22EB23FA"/>
    <w:rsid w:val="230880A1"/>
    <w:rsid w:val="237AE827"/>
    <w:rsid w:val="238B52EF"/>
    <w:rsid w:val="23B57FD2"/>
    <w:rsid w:val="23B6C7B7"/>
    <w:rsid w:val="23DD6F93"/>
    <w:rsid w:val="240635D9"/>
    <w:rsid w:val="244EFC87"/>
    <w:rsid w:val="24745889"/>
    <w:rsid w:val="24850478"/>
    <w:rsid w:val="24A3E3E6"/>
    <w:rsid w:val="24D64DA9"/>
    <w:rsid w:val="24DCBE9B"/>
    <w:rsid w:val="253F91D1"/>
    <w:rsid w:val="25BCA48C"/>
    <w:rsid w:val="25DF0F90"/>
    <w:rsid w:val="2608FCD4"/>
    <w:rsid w:val="26AF9A3F"/>
    <w:rsid w:val="26EA15CF"/>
    <w:rsid w:val="274931A4"/>
    <w:rsid w:val="2760EE9A"/>
    <w:rsid w:val="276A126A"/>
    <w:rsid w:val="277D06BB"/>
    <w:rsid w:val="27858FED"/>
    <w:rsid w:val="27CB2EBB"/>
    <w:rsid w:val="27EB996E"/>
    <w:rsid w:val="2810ABA2"/>
    <w:rsid w:val="282F6F71"/>
    <w:rsid w:val="283B0D42"/>
    <w:rsid w:val="2858F1A8"/>
    <w:rsid w:val="287BA363"/>
    <w:rsid w:val="2890A2A2"/>
    <w:rsid w:val="28A00221"/>
    <w:rsid w:val="28C06A8B"/>
    <w:rsid w:val="28D58B7D"/>
    <w:rsid w:val="293BBA28"/>
    <w:rsid w:val="294249A4"/>
    <w:rsid w:val="294EAC7F"/>
    <w:rsid w:val="2968F8EA"/>
    <w:rsid w:val="2995E3B2"/>
    <w:rsid w:val="29C09F32"/>
    <w:rsid w:val="2A05345E"/>
    <w:rsid w:val="2A2C0403"/>
    <w:rsid w:val="2A7858D4"/>
    <w:rsid w:val="2A975BF5"/>
    <w:rsid w:val="2AD11CFF"/>
    <w:rsid w:val="2AE49C11"/>
    <w:rsid w:val="2AE55DD2"/>
    <w:rsid w:val="2AE8A608"/>
    <w:rsid w:val="2B2B30AE"/>
    <w:rsid w:val="2B36D48A"/>
    <w:rsid w:val="2B5FEDAA"/>
    <w:rsid w:val="2B75FDB4"/>
    <w:rsid w:val="2BA43685"/>
    <w:rsid w:val="2BDF3F54"/>
    <w:rsid w:val="2BF21955"/>
    <w:rsid w:val="2C104546"/>
    <w:rsid w:val="2C40B84F"/>
    <w:rsid w:val="2C5F6BB1"/>
    <w:rsid w:val="2C8015F3"/>
    <w:rsid w:val="2C8487FF"/>
    <w:rsid w:val="2CA3B0E6"/>
    <w:rsid w:val="2CADEA71"/>
    <w:rsid w:val="2CDC2AB1"/>
    <w:rsid w:val="2CE17A33"/>
    <w:rsid w:val="2D58CEC5"/>
    <w:rsid w:val="2D7320EE"/>
    <w:rsid w:val="2D83DAB6"/>
    <w:rsid w:val="2DB83F09"/>
    <w:rsid w:val="2DC36053"/>
    <w:rsid w:val="2DD8172F"/>
    <w:rsid w:val="2E6948AE"/>
    <w:rsid w:val="2ED22484"/>
    <w:rsid w:val="2EE875A9"/>
    <w:rsid w:val="2F0FBE9B"/>
    <w:rsid w:val="2F1BBD08"/>
    <w:rsid w:val="2F3E4EB7"/>
    <w:rsid w:val="2F992F68"/>
    <w:rsid w:val="2F9CDBDF"/>
    <w:rsid w:val="3018ABCA"/>
    <w:rsid w:val="301E3249"/>
    <w:rsid w:val="30319ED5"/>
    <w:rsid w:val="303A1F74"/>
    <w:rsid w:val="306223C7"/>
    <w:rsid w:val="30659AAB"/>
    <w:rsid w:val="30AB7112"/>
    <w:rsid w:val="30ACC486"/>
    <w:rsid w:val="30BC1322"/>
    <w:rsid w:val="30C39188"/>
    <w:rsid w:val="30FB0115"/>
    <w:rsid w:val="311DEFD9"/>
    <w:rsid w:val="31ACE619"/>
    <w:rsid w:val="31B32CA0"/>
    <w:rsid w:val="31D6B1FC"/>
    <w:rsid w:val="31EA4224"/>
    <w:rsid w:val="31F22933"/>
    <w:rsid w:val="31F756A5"/>
    <w:rsid w:val="327DAF9C"/>
    <w:rsid w:val="329F3CB1"/>
    <w:rsid w:val="3330AAA6"/>
    <w:rsid w:val="3337DCD4"/>
    <w:rsid w:val="3365FB12"/>
    <w:rsid w:val="33BFECAB"/>
    <w:rsid w:val="33CD7E13"/>
    <w:rsid w:val="340BA540"/>
    <w:rsid w:val="3426BA06"/>
    <w:rsid w:val="343527E8"/>
    <w:rsid w:val="3447E169"/>
    <w:rsid w:val="3488D250"/>
    <w:rsid w:val="34A8D8B6"/>
    <w:rsid w:val="34B841B3"/>
    <w:rsid w:val="3503BD56"/>
    <w:rsid w:val="3530C2A9"/>
    <w:rsid w:val="35842720"/>
    <w:rsid w:val="35B7EAC7"/>
    <w:rsid w:val="35EA8566"/>
    <w:rsid w:val="3613C3DE"/>
    <w:rsid w:val="3618A3C6"/>
    <w:rsid w:val="364E6C49"/>
    <w:rsid w:val="364EB5E3"/>
    <w:rsid w:val="366102B3"/>
    <w:rsid w:val="368A1A42"/>
    <w:rsid w:val="369259B9"/>
    <w:rsid w:val="375EF04E"/>
    <w:rsid w:val="3786F49A"/>
    <w:rsid w:val="37C878AE"/>
    <w:rsid w:val="37CC7B35"/>
    <w:rsid w:val="38049F67"/>
    <w:rsid w:val="380CC829"/>
    <w:rsid w:val="385DBEC2"/>
    <w:rsid w:val="38ADEFFD"/>
    <w:rsid w:val="38B0AC30"/>
    <w:rsid w:val="38CD3DC0"/>
    <w:rsid w:val="395056D6"/>
    <w:rsid w:val="3954BEB4"/>
    <w:rsid w:val="39838866"/>
    <w:rsid w:val="39AB4920"/>
    <w:rsid w:val="3A0365FF"/>
    <w:rsid w:val="3A113F2A"/>
    <w:rsid w:val="3A224B17"/>
    <w:rsid w:val="3A45BBDB"/>
    <w:rsid w:val="3A647FBF"/>
    <w:rsid w:val="3AF8A9DA"/>
    <w:rsid w:val="3B32BC98"/>
    <w:rsid w:val="3B3ECC15"/>
    <w:rsid w:val="3BF7B3F9"/>
    <w:rsid w:val="3C18C689"/>
    <w:rsid w:val="3CC29B7A"/>
    <w:rsid w:val="3D022B79"/>
    <w:rsid w:val="3D686A78"/>
    <w:rsid w:val="3DC2C233"/>
    <w:rsid w:val="3DC7AE54"/>
    <w:rsid w:val="3DD1A95C"/>
    <w:rsid w:val="3DE90EFA"/>
    <w:rsid w:val="3E4DFE9F"/>
    <w:rsid w:val="3E5B5DF0"/>
    <w:rsid w:val="3E63AF56"/>
    <w:rsid w:val="3E7600EA"/>
    <w:rsid w:val="3EB8637D"/>
    <w:rsid w:val="3EE3CF0F"/>
    <w:rsid w:val="3EF018BB"/>
    <w:rsid w:val="3F08502B"/>
    <w:rsid w:val="3F1DF576"/>
    <w:rsid w:val="3F3FBA6C"/>
    <w:rsid w:val="3F5AD0D2"/>
    <w:rsid w:val="3FC203B2"/>
    <w:rsid w:val="40B17BD3"/>
    <w:rsid w:val="40BB0258"/>
    <w:rsid w:val="40DBD41A"/>
    <w:rsid w:val="40DD3274"/>
    <w:rsid w:val="413C3BB8"/>
    <w:rsid w:val="41673843"/>
    <w:rsid w:val="417B0A39"/>
    <w:rsid w:val="41950EAF"/>
    <w:rsid w:val="41B998F0"/>
    <w:rsid w:val="41C06DDA"/>
    <w:rsid w:val="41C1D011"/>
    <w:rsid w:val="4204E7D2"/>
    <w:rsid w:val="4210EF00"/>
    <w:rsid w:val="42288599"/>
    <w:rsid w:val="422A1999"/>
    <w:rsid w:val="423934B3"/>
    <w:rsid w:val="424DF9C1"/>
    <w:rsid w:val="425CE787"/>
    <w:rsid w:val="42995E37"/>
    <w:rsid w:val="42BEDC81"/>
    <w:rsid w:val="42D9FB55"/>
    <w:rsid w:val="42DF037C"/>
    <w:rsid w:val="42F0BD3F"/>
    <w:rsid w:val="431FA9F7"/>
    <w:rsid w:val="433E65E4"/>
    <w:rsid w:val="4380B372"/>
    <w:rsid w:val="43C016B9"/>
    <w:rsid w:val="43F85F2E"/>
    <w:rsid w:val="442D2C22"/>
    <w:rsid w:val="44843E85"/>
    <w:rsid w:val="448E230F"/>
    <w:rsid w:val="450200F3"/>
    <w:rsid w:val="452198DD"/>
    <w:rsid w:val="45443091"/>
    <w:rsid w:val="4562F4E6"/>
    <w:rsid w:val="4574B41A"/>
    <w:rsid w:val="45889910"/>
    <w:rsid w:val="45AAF034"/>
    <w:rsid w:val="45EC0CFF"/>
    <w:rsid w:val="463AA966"/>
    <w:rsid w:val="470DDC28"/>
    <w:rsid w:val="471309AF"/>
    <w:rsid w:val="4719624F"/>
    <w:rsid w:val="475BF590"/>
    <w:rsid w:val="47996F63"/>
    <w:rsid w:val="47DFFE3C"/>
    <w:rsid w:val="47EC8773"/>
    <w:rsid w:val="47FBB476"/>
    <w:rsid w:val="482875A9"/>
    <w:rsid w:val="48A40558"/>
    <w:rsid w:val="48A9AC89"/>
    <w:rsid w:val="48B12DF5"/>
    <w:rsid w:val="48CE3434"/>
    <w:rsid w:val="49476B96"/>
    <w:rsid w:val="49495741"/>
    <w:rsid w:val="494CE7DB"/>
    <w:rsid w:val="49532250"/>
    <w:rsid w:val="49CD260A"/>
    <w:rsid w:val="49F7DA1D"/>
    <w:rsid w:val="4A02EDFB"/>
    <w:rsid w:val="4A4C9F0B"/>
    <w:rsid w:val="4A71ECD4"/>
    <w:rsid w:val="4A95BB59"/>
    <w:rsid w:val="4AA9C26F"/>
    <w:rsid w:val="4AB0F2D0"/>
    <w:rsid w:val="4AB64969"/>
    <w:rsid w:val="4AD056A0"/>
    <w:rsid w:val="4B0ADBE0"/>
    <w:rsid w:val="4B15888F"/>
    <w:rsid w:val="4B2CCD3E"/>
    <w:rsid w:val="4B3B42B3"/>
    <w:rsid w:val="4B51D5FD"/>
    <w:rsid w:val="4B575F97"/>
    <w:rsid w:val="4B7B9F04"/>
    <w:rsid w:val="4BABCA18"/>
    <w:rsid w:val="4BE0E646"/>
    <w:rsid w:val="4BE4EE2E"/>
    <w:rsid w:val="4C1ACADF"/>
    <w:rsid w:val="4C5C6435"/>
    <w:rsid w:val="4C77BAF2"/>
    <w:rsid w:val="4CAE0FBA"/>
    <w:rsid w:val="4CC3E111"/>
    <w:rsid w:val="4D16CAF4"/>
    <w:rsid w:val="4D8A5EC3"/>
    <w:rsid w:val="4D96FC96"/>
    <w:rsid w:val="4DAB7B41"/>
    <w:rsid w:val="4E0E9FFD"/>
    <w:rsid w:val="4E31E9B2"/>
    <w:rsid w:val="4E54790E"/>
    <w:rsid w:val="4E945685"/>
    <w:rsid w:val="4EBF19DE"/>
    <w:rsid w:val="4EC8CC05"/>
    <w:rsid w:val="4F2B4634"/>
    <w:rsid w:val="4F411CC9"/>
    <w:rsid w:val="4F515EF8"/>
    <w:rsid w:val="4F51CDEB"/>
    <w:rsid w:val="4F598117"/>
    <w:rsid w:val="4F650AF1"/>
    <w:rsid w:val="4F712AD2"/>
    <w:rsid w:val="4F7A3D71"/>
    <w:rsid w:val="4F9D2C35"/>
    <w:rsid w:val="4FC7CB84"/>
    <w:rsid w:val="4FC8634F"/>
    <w:rsid w:val="4FE6C4E5"/>
    <w:rsid w:val="5019712D"/>
    <w:rsid w:val="506123CE"/>
    <w:rsid w:val="50C3178D"/>
    <w:rsid w:val="50C55F54"/>
    <w:rsid w:val="50C866FE"/>
    <w:rsid w:val="50D18FDD"/>
    <w:rsid w:val="514632EF"/>
    <w:rsid w:val="5184381A"/>
    <w:rsid w:val="51AA8437"/>
    <w:rsid w:val="51C0B5E4"/>
    <w:rsid w:val="51FC5763"/>
    <w:rsid w:val="51FE87ED"/>
    <w:rsid w:val="52303B31"/>
    <w:rsid w:val="526CA211"/>
    <w:rsid w:val="52791108"/>
    <w:rsid w:val="52847C0A"/>
    <w:rsid w:val="52DF1AA9"/>
    <w:rsid w:val="52EC7C69"/>
    <w:rsid w:val="52F76925"/>
    <w:rsid w:val="533578E3"/>
    <w:rsid w:val="533A251A"/>
    <w:rsid w:val="534643BC"/>
    <w:rsid w:val="5347A2D1"/>
    <w:rsid w:val="537B9EA7"/>
    <w:rsid w:val="53B21F61"/>
    <w:rsid w:val="53B2F908"/>
    <w:rsid w:val="53C235CB"/>
    <w:rsid w:val="53CBA2D7"/>
    <w:rsid w:val="53CC8AE5"/>
    <w:rsid w:val="54341353"/>
    <w:rsid w:val="5447914B"/>
    <w:rsid w:val="544E808E"/>
    <w:rsid w:val="5467318C"/>
    <w:rsid w:val="5469A4C3"/>
    <w:rsid w:val="54A5F289"/>
    <w:rsid w:val="54C1C7CA"/>
    <w:rsid w:val="54E41D37"/>
    <w:rsid w:val="55097BCA"/>
    <w:rsid w:val="550BAFBF"/>
    <w:rsid w:val="552ACF5C"/>
    <w:rsid w:val="55370594"/>
    <w:rsid w:val="553A602A"/>
    <w:rsid w:val="554DD9F7"/>
    <w:rsid w:val="556EA02F"/>
    <w:rsid w:val="55816288"/>
    <w:rsid w:val="559D64C9"/>
    <w:rsid w:val="559F3AFC"/>
    <w:rsid w:val="56102C66"/>
    <w:rsid w:val="5645298A"/>
    <w:rsid w:val="56568CD9"/>
    <w:rsid w:val="56C7F94F"/>
    <w:rsid w:val="56FA1854"/>
    <w:rsid w:val="571D0330"/>
    <w:rsid w:val="5721C22E"/>
    <w:rsid w:val="57B53B36"/>
    <w:rsid w:val="57D9F631"/>
    <w:rsid w:val="57DD1974"/>
    <w:rsid w:val="58453C67"/>
    <w:rsid w:val="586C27DE"/>
    <w:rsid w:val="5879B29D"/>
    <w:rsid w:val="58A1B131"/>
    <w:rsid w:val="58A640F1"/>
    <w:rsid w:val="59501577"/>
    <w:rsid w:val="5967D42D"/>
    <w:rsid w:val="5980CC8C"/>
    <w:rsid w:val="59B1D1C7"/>
    <w:rsid w:val="59C104C1"/>
    <w:rsid w:val="59D55E70"/>
    <w:rsid w:val="59E7DEFF"/>
    <w:rsid w:val="5A0BD00B"/>
    <w:rsid w:val="5A348BCE"/>
    <w:rsid w:val="5A67894E"/>
    <w:rsid w:val="5A981A9E"/>
    <w:rsid w:val="5ACFCE0C"/>
    <w:rsid w:val="5B0367A9"/>
    <w:rsid w:val="5B45807C"/>
    <w:rsid w:val="5BCFE8EF"/>
    <w:rsid w:val="5BE4024E"/>
    <w:rsid w:val="5C25B649"/>
    <w:rsid w:val="5C5BED28"/>
    <w:rsid w:val="5C82B561"/>
    <w:rsid w:val="5C89B835"/>
    <w:rsid w:val="5C9C8878"/>
    <w:rsid w:val="5CA179B4"/>
    <w:rsid w:val="5CB40320"/>
    <w:rsid w:val="5CC19D81"/>
    <w:rsid w:val="5CF91D92"/>
    <w:rsid w:val="5D24B19C"/>
    <w:rsid w:val="5D302B21"/>
    <w:rsid w:val="5D3817CF"/>
    <w:rsid w:val="5D4A05E1"/>
    <w:rsid w:val="5D4A2FCE"/>
    <w:rsid w:val="5D53903E"/>
    <w:rsid w:val="5D5515C9"/>
    <w:rsid w:val="5DCEEA43"/>
    <w:rsid w:val="5E31A537"/>
    <w:rsid w:val="5EA759A0"/>
    <w:rsid w:val="5EAFB3D3"/>
    <w:rsid w:val="5ED5B178"/>
    <w:rsid w:val="5EF3FED7"/>
    <w:rsid w:val="5F6DDBF8"/>
    <w:rsid w:val="5FACC40A"/>
    <w:rsid w:val="5FD53C21"/>
    <w:rsid w:val="5FD71C03"/>
    <w:rsid w:val="5FDE51A9"/>
    <w:rsid w:val="6013A075"/>
    <w:rsid w:val="60192681"/>
    <w:rsid w:val="6086810B"/>
    <w:rsid w:val="60CE9494"/>
    <w:rsid w:val="60ED1298"/>
    <w:rsid w:val="60F9C698"/>
    <w:rsid w:val="618EFCD5"/>
    <w:rsid w:val="61A5CE17"/>
    <w:rsid w:val="61F1F0E3"/>
    <w:rsid w:val="62059D47"/>
    <w:rsid w:val="621AFA14"/>
    <w:rsid w:val="62576323"/>
    <w:rsid w:val="6271A70A"/>
    <w:rsid w:val="6276B0E6"/>
    <w:rsid w:val="629BA77E"/>
    <w:rsid w:val="6343542B"/>
    <w:rsid w:val="636644F3"/>
    <w:rsid w:val="63711F66"/>
    <w:rsid w:val="637ACAC3"/>
    <w:rsid w:val="6393F320"/>
    <w:rsid w:val="63D972E2"/>
    <w:rsid w:val="64039B84"/>
    <w:rsid w:val="6424E085"/>
    <w:rsid w:val="642AC5B7"/>
    <w:rsid w:val="645925D1"/>
    <w:rsid w:val="646147CF"/>
    <w:rsid w:val="64740BAD"/>
    <w:rsid w:val="64838D58"/>
    <w:rsid w:val="6491B9C7"/>
    <w:rsid w:val="64B3185A"/>
    <w:rsid w:val="655449C8"/>
    <w:rsid w:val="65687B5B"/>
    <w:rsid w:val="65B050FD"/>
    <w:rsid w:val="65D9BB8D"/>
    <w:rsid w:val="65E837DF"/>
    <w:rsid w:val="66388F0F"/>
    <w:rsid w:val="665B0FF3"/>
    <w:rsid w:val="667A23DF"/>
    <w:rsid w:val="667CF5DE"/>
    <w:rsid w:val="667F6D0A"/>
    <w:rsid w:val="66937136"/>
    <w:rsid w:val="66CF5488"/>
    <w:rsid w:val="66D2FE39"/>
    <w:rsid w:val="673D5DAB"/>
    <w:rsid w:val="6746346B"/>
    <w:rsid w:val="6787DC17"/>
    <w:rsid w:val="678E9CC3"/>
    <w:rsid w:val="6793B86B"/>
    <w:rsid w:val="67C989FB"/>
    <w:rsid w:val="6803EF20"/>
    <w:rsid w:val="6805B7EA"/>
    <w:rsid w:val="68237071"/>
    <w:rsid w:val="684733ED"/>
    <w:rsid w:val="689A22CA"/>
    <w:rsid w:val="68A1C807"/>
    <w:rsid w:val="68AFF75C"/>
    <w:rsid w:val="68CD199F"/>
    <w:rsid w:val="690328C5"/>
    <w:rsid w:val="6943054D"/>
    <w:rsid w:val="695290FB"/>
    <w:rsid w:val="697B8D9E"/>
    <w:rsid w:val="69C7FFBB"/>
    <w:rsid w:val="6A0568F9"/>
    <w:rsid w:val="6A0899EE"/>
    <w:rsid w:val="6A50A87F"/>
    <w:rsid w:val="6A61C5FA"/>
    <w:rsid w:val="6A730208"/>
    <w:rsid w:val="6A9CB0B2"/>
    <w:rsid w:val="6B020CDF"/>
    <w:rsid w:val="6B09F728"/>
    <w:rsid w:val="6B2E963A"/>
    <w:rsid w:val="6B3A1026"/>
    <w:rsid w:val="6B6A6EC0"/>
    <w:rsid w:val="6BE2343C"/>
    <w:rsid w:val="6BEF15DE"/>
    <w:rsid w:val="6C1DF97F"/>
    <w:rsid w:val="6CB05F00"/>
    <w:rsid w:val="6CB44271"/>
    <w:rsid w:val="6CD531FC"/>
    <w:rsid w:val="6CF7BD2D"/>
    <w:rsid w:val="6D1C1CB0"/>
    <w:rsid w:val="6D5F6E14"/>
    <w:rsid w:val="6DFDFDF2"/>
    <w:rsid w:val="6E156FFC"/>
    <w:rsid w:val="6E287165"/>
    <w:rsid w:val="6E383D25"/>
    <w:rsid w:val="6E782A0E"/>
    <w:rsid w:val="6E9CD4A9"/>
    <w:rsid w:val="6EA31508"/>
    <w:rsid w:val="6EA898BA"/>
    <w:rsid w:val="6ED053D1"/>
    <w:rsid w:val="6EDF30C8"/>
    <w:rsid w:val="6EE471EB"/>
    <w:rsid w:val="6F027F51"/>
    <w:rsid w:val="6F0A15FC"/>
    <w:rsid w:val="6F367BFE"/>
    <w:rsid w:val="6F5F06F3"/>
    <w:rsid w:val="6F6FD68B"/>
    <w:rsid w:val="6F805F94"/>
    <w:rsid w:val="6FA44D9B"/>
    <w:rsid w:val="6FA5BB40"/>
    <w:rsid w:val="6FAF654A"/>
    <w:rsid w:val="6FB71BBD"/>
    <w:rsid w:val="7030122B"/>
    <w:rsid w:val="70643B2A"/>
    <w:rsid w:val="707E0149"/>
    <w:rsid w:val="70914130"/>
    <w:rsid w:val="70B17130"/>
    <w:rsid w:val="7113932A"/>
    <w:rsid w:val="715041D9"/>
    <w:rsid w:val="715AC7CD"/>
    <w:rsid w:val="71669DEC"/>
    <w:rsid w:val="717B2DBD"/>
    <w:rsid w:val="7184E4AF"/>
    <w:rsid w:val="7192112F"/>
    <w:rsid w:val="71E83A52"/>
    <w:rsid w:val="71ED57E0"/>
    <w:rsid w:val="71F4826B"/>
    <w:rsid w:val="7233E50A"/>
    <w:rsid w:val="72386280"/>
    <w:rsid w:val="7251536B"/>
    <w:rsid w:val="727496F7"/>
    <w:rsid w:val="72C699DE"/>
    <w:rsid w:val="72CF590B"/>
    <w:rsid w:val="72F464CD"/>
    <w:rsid w:val="72FBDE98"/>
    <w:rsid w:val="730A8915"/>
    <w:rsid w:val="73243E51"/>
    <w:rsid w:val="73616155"/>
    <w:rsid w:val="736F27B8"/>
    <w:rsid w:val="73821FD3"/>
    <w:rsid w:val="738E527F"/>
    <w:rsid w:val="73B46800"/>
    <w:rsid w:val="73FCBC40"/>
    <w:rsid w:val="740E5893"/>
    <w:rsid w:val="7425E34B"/>
    <w:rsid w:val="74518BDA"/>
    <w:rsid w:val="74A48C9E"/>
    <w:rsid w:val="74AEA6D4"/>
    <w:rsid w:val="7540F9B5"/>
    <w:rsid w:val="754ADAFB"/>
    <w:rsid w:val="755D489C"/>
    <w:rsid w:val="75697F76"/>
    <w:rsid w:val="75773518"/>
    <w:rsid w:val="75ADB85A"/>
    <w:rsid w:val="75CA9FCF"/>
    <w:rsid w:val="75CC87B4"/>
    <w:rsid w:val="75FE7A18"/>
    <w:rsid w:val="7604DF19"/>
    <w:rsid w:val="764C4C5E"/>
    <w:rsid w:val="76617C0E"/>
    <w:rsid w:val="7662D32F"/>
    <w:rsid w:val="76B8DEFE"/>
    <w:rsid w:val="76D437B5"/>
    <w:rsid w:val="76E677DE"/>
    <w:rsid w:val="76F291A2"/>
    <w:rsid w:val="770AE298"/>
    <w:rsid w:val="770CFE8C"/>
    <w:rsid w:val="77131881"/>
    <w:rsid w:val="772B4FF5"/>
    <w:rsid w:val="77356E6C"/>
    <w:rsid w:val="774CDA18"/>
    <w:rsid w:val="7767D568"/>
    <w:rsid w:val="776A56A8"/>
    <w:rsid w:val="7795779F"/>
    <w:rsid w:val="77AEBF98"/>
    <w:rsid w:val="77E37555"/>
    <w:rsid w:val="7863EDF7"/>
    <w:rsid w:val="791846FA"/>
    <w:rsid w:val="793B5EA9"/>
    <w:rsid w:val="7955C672"/>
    <w:rsid w:val="797FF473"/>
    <w:rsid w:val="79A2E337"/>
    <w:rsid w:val="79A55B44"/>
    <w:rsid w:val="79A8DA55"/>
    <w:rsid w:val="79B210B8"/>
    <w:rsid w:val="79B45A9D"/>
    <w:rsid w:val="7A17137D"/>
    <w:rsid w:val="7A58DF9C"/>
    <w:rsid w:val="7A5F0B94"/>
    <w:rsid w:val="7A86ED93"/>
    <w:rsid w:val="7A879462"/>
    <w:rsid w:val="7AD10E41"/>
    <w:rsid w:val="7AE18C15"/>
    <w:rsid w:val="7B110C5C"/>
    <w:rsid w:val="7B69DF2D"/>
    <w:rsid w:val="7B9874A8"/>
    <w:rsid w:val="7BD63317"/>
    <w:rsid w:val="7CBF5EE2"/>
    <w:rsid w:val="7CD58159"/>
    <w:rsid w:val="7CE45639"/>
    <w:rsid w:val="7D250BCD"/>
    <w:rsid w:val="7D4DC19C"/>
    <w:rsid w:val="7D5C9329"/>
    <w:rsid w:val="7D7610EE"/>
    <w:rsid w:val="7D87DCA0"/>
    <w:rsid w:val="7DC5BD2A"/>
    <w:rsid w:val="7E074B6A"/>
    <w:rsid w:val="7E548B53"/>
    <w:rsid w:val="7E7D9E5D"/>
    <w:rsid w:val="7E88E8C9"/>
    <w:rsid w:val="7EDB8EBA"/>
    <w:rsid w:val="7EEAD058"/>
    <w:rsid w:val="7EFD207E"/>
    <w:rsid w:val="7F1CC1EE"/>
    <w:rsid w:val="7F39DD03"/>
    <w:rsid w:val="7F428899"/>
    <w:rsid w:val="7F571D7C"/>
    <w:rsid w:val="7F8399CA"/>
    <w:rsid w:val="7F922E62"/>
    <w:rsid w:val="7FB66EB0"/>
    <w:rsid w:val="7FBE769A"/>
    <w:rsid w:val="7FCC0429"/>
    <w:rsid w:val="7FF909B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BC6DA"/>
  <w15:docId w15:val="{EF18523B-6619-4F0F-8147-6295EB1D4A1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A5670"/>
    <w:pPr>
      <w:jc w:val="both"/>
    </w:pPr>
    <w:rPr>
      <w:rFonts w:ascii="Gill Sans MT" w:hAnsi="Gill Sans MT"/>
      <w:sz w:val="24"/>
      <w:szCs w:val="24"/>
    </w:rPr>
  </w:style>
  <w:style w:type="paragraph" w:styleId="Heading1">
    <w:name w:val="heading 1"/>
    <w:basedOn w:val="Normal"/>
    <w:next w:val="Normal"/>
    <w:link w:val="Heading1Char"/>
    <w:uiPriority w:val="9"/>
    <w:qFormat/>
    <w:rsid w:val="007669F7"/>
    <w:pPr>
      <w:keepNext/>
      <w:keepLines/>
      <w:numPr>
        <w:numId w:val="78"/>
      </w:numPr>
      <w:spacing w:before="480" w:after="0"/>
      <w:jc w:val="left"/>
      <w:outlineLvl w:val="0"/>
    </w:pPr>
    <w:rPr>
      <w:rFonts w:eastAsiaTheme="majorEastAsia" w:cstheme="majorBidi"/>
      <w:b/>
      <w:bCs/>
      <w:color w:val="242451"/>
      <w:sz w:val="28"/>
      <w:szCs w:val="28"/>
    </w:rPr>
  </w:style>
  <w:style w:type="paragraph" w:styleId="Heading2">
    <w:name w:val="heading 2"/>
    <w:aliases w:val="TOCHeading 2"/>
    <w:basedOn w:val="Normal"/>
    <w:next w:val="Normal"/>
    <w:link w:val="Heading2Char"/>
    <w:uiPriority w:val="9"/>
    <w:unhideWhenUsed/>
    <w:qFormat/>
    <w:rsid w:val="008F20B9"/>
    <w:pPr>
      <w:keepNext/>
      <w:keepLines/>
      <w:numPr>
        <w:ilvl w:val="1"/>
        <w:numId w:val="2"/>
      </w:numPr>
      <w:spacing w:before="200" w:after="0"/>
      <w:jc w:val="left"/>
      <w:outlineLvl w:val="1"/>
    </w:pPr>
    <w:rPr>
      <w:rFonts w:eastAsiaTheme="majorEastAsia" w:cstheme="majorBidi"/>
      <w:b/>
      <w:bCs/>
      <w:color w:val="242451"/>
      <w:sz w:val="26"/>
      <w:szCs w:val="26"/>
    </w:rPr>
  </w:style>
  <w:style w:type="paragraph" w:styleId="Heading3">
    <w:name w:val="heading 3"/>
    <w:basedOn w:val="Normal"/>
    <w:next w:val="Normal"/>
    <w:link w:val="Heading3Char"/>
    <w:uiPriority w:val="9"/>
    <w:unhideWhenUsed/>
    <w:qFormat/>
    <w:rsid w:val="008F20B9"/>
    <w:pPr>
      <w:keepNext/>
      <w:keepLines/>
      <w:numPr>
        <w:ilvl w:val="2"/>
        <w:numId w:val="2"/>
      </w:numPr>
      <w:spacing w:before="200" w:after="0"/>
      <w:jc w:val="left"/>
      <w:outlineLvl w:val="2"/>
    </w:pPr>
    <w:rPr>
      <w:rFonts w:eastAsiaTheme="majorEastAsia" w:cstheme="majorBidi"/>
      <w:b/>
      <w:bCs/>
      <w:color w:val="242451"/>
    </w:rPr>
  </w:style>
  <w:style w:type="paragraph" w:styleId="Heading4">
    <w:name w:val="heading 4"/>
    <w:basedOn w:val="Normal"/>
    <w:next w:val="Normal"/>
    <w:link w:val="Heading4Char"/>
    <w:uiPriority w:val="9"/>
    <w:unhideWhenUsed/>
    <w:qFormat/>
    <w:rsid w:val="00345D52"/>
    <w:pPr>
      <w:keepNext/>
      <w:keepLines/>
      <w:numPr>
        <w:ilvl w:val="3"/>
        <w:numId w:val="78"/>
      </w:numPr>
      <w:spacing w:before="200" w:after="0"/>
      <w:outlineLvl w:val="3"/>
    </w:pPr>
    <w:rPr>
      <w:rFonts w:eastAsiaTheme="majorEastAsia" w:cstheme="majorBidi"/>
      <w:b/>
      <w:bCs/>
      <w:i/>
      <w:iCs/>
      <w:color w:val="242451"/>
    </w:rPr>
  </w:style>
  <w:style w:type="paragraph" w:styleId="Heading5">
    <w:name w:val="heading 5"/>
    <w:basedOn w:val="Normal"/>
    <w:next w:val="Normal"/>
    <w:link w:val="Heading5Char"/>
    <w:uiPriority w:val="9"/>
    <w:unhideWhenUsed/>
    <w:qFormat/>
    <w:rsid w:val="00A867FB"/>
    <w:pPr>
      <w:keepNext/>
      <w:keepLines/>
      <w:numPr>
        <w:ilvl w:val="4"/>
        <w:numId w:val="78"/>
      </w:numPr>
      <w:spacing w:before="200" w:after="0"/>
      <w:outlineLvl w:val="4"/>
    </w:pPr>
    <w:rPr>
      <w:rFonts w:eastAsiaTheme="majorEastAsia" w:cstheme="majorBidi"/>
      <w:b/>
      <w:bCs/>
      <w:color w:val="242451"/>
      <w:sz w:val="22"/>
      <w:szCs w:val="22"/>
    </w:rPr>
  </w:style>
  <w:style w:type="paragraph" w:styleId="Heading6">
    <w:name w:val="heading 6"/>
    <w:basedOn w:val="Normal"/>
    <w:next w:val="Normal"/>
    <w:link w:val="Heading6Char"/>
    <w:uiPriority w:val="9"/>
    <w:unhideWhenUsed/>
    <w:qFormat/>
    <w:rsid w:val="21D508D6"/>
    <w:pPr>
      <w:keepNext/>
      <w:keepLines/>
      <w:numPr>
        <w:ilvl w:val="5"/>
        <w:numId w:val="2"/>
      </w:numPr>
      <w:spacing w:before="200" w:after="0"/>
      <w:outlineLvl w:val="5"/>
    </w:pPr>
    <w:rPr>
      <w:rFonts w:asciiTheme="majorHAnsi" w:hAnsiTheme="majorHAnsi" w:eastAsiaTheme="majorEastAsia" w:cstheme="majorBidi"/>
      <w:i/>
      <w:iCs/>
      <w:color w:val="243F60"/>
    </w:rPr>
  </w:style>
  <w:style w:type="paragraph" w:styleId="Heading7">
    <w:name w:val="heading 7"/>
    <w:basedOn w:val="Normal"/>
    <w:next w:val="Normal"/>
    <w:link w:val="Heading7Char"/>
    <w:uiPriority w:val="9"/>
    <w:unhideWhenUsed/>
    <w:qFormat/>
    <w:rsid w:val="007A67C1"/>
    <w:pPr>
      <w:keepNext/>
      <w:keepLines/>
      <w:numPr>
        <w:ilvl w:val="6"/>
        <w:numId w:val="2"/>
      </w:numPr>
      <w:spacing w:before="200" w:after="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7A67C1"/>
    <w:pPr>
      <w:keepNext/>
      <w:keepLines/>
      <w:numPr>
        <w:ilvl w:val="7"/>
        <w:numId w:val="2"/>
      </w:numPr>
      <w:spacing w:before="200" w:after="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unhideWhenUsed/>
    <w:qFormat/>
    <w:rsid w:val="007A67C1"/>
    <w:pPr>
      <w:keepNext/>
      <w:keepLines/>
      <w:numPr>
        <w:ilvl w:val="8"/>
        <w:numId w:val="2"/>
      </w:numPr>
      <w:spacing w:before="200" w:after="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D12A70"/>
    <w:rPr>
      <w:rFonts w:ascii="Gill Sans MT" w:hAnsi="Gill Sans MT" w:eastAsiaTheme="majorEastAsia" w:cstheme="majorBidi"/>
      <w:b/>
      <w:bCs/>
      <w:color w:val="242451"/>
      <w:sz w:val="28"/>
      <w:szCs w:val="28"/>
    </w:rPr>
  </w:style>
  <w:style w:type="character" w:styleId="Heading2Char" w:customStyle="1">
    <w:name w:val="Heading 2 Char"/>
    <w:aliases w:val="TOCHeading 2 Char"/>
    <w:basedOn w:val="DefaultParagraphFont"/>
    <w:link w:val="Heading2"/>
    <w:uiPriority w:val="9"/>
    <w:rsid w:val="00101EBE"/>
    <w:rPr>
      <w:rFonts w:ascii="Gill Sans MT" w:hAnsi="Gill Sans MT" w:eastAsiaTheme="majorEastAsia" w:cstheme="majorBidi"/>
      <w:b/>
      <w:bCs/>
      <w:color w:val="242451"/>
      <w:sz w:val="26"/>
      <w:szCs w:val="26"/>
    </w:rPr>
  </w:style>
  <w:style w:type="character" w:styleId="Heading3Char" w:customStyle="1">
    <w:name w:val="Heading 3 Char"/>
    <w:basedOn w:val="DefaultParagraphFont"/>
    <w:link w:val="Heading3"/>
    <w:uiPriority w:val="9"/>
    <w:rsid w:val="008843EF"/>
    <w:rPr>
      <w:rFonts w:ascii="Gill Sans MT" w:hAnsi="Gill Sans MT" w:eastAsiaTheme="majorEastAsia" w:cstheme="majorBidi"/>
      <w:b/>
      <w:bCs/>
      <w:color w:val="242451"/>
      <w:sz w:val="24"/>
      <w:szCs w:val="24"/>
    </w:rPr>
  </w:style>
  <w:style w:type="character" w:styleId="Heading4Char" w:customStyle="1">
    <w:name w:val="Heading 4 Char"/>
    <w:basedOn w:val="DefaultParagraphFont"/>
    <w:link w:val="Heading4"/>
    <w:uiPriority w:val="9"/>
    <w:rsid w:val="007A67C1"/>
    <w:rPr>
      <w:rFonts w:ascii="Gill Sans MT" w:hAnsi="Gill Sans MT" w:eastAsiaTheme="majorEastAsia" w:cstheme="majorBidi"/>
      <w:b/>
      <w:bCs/>
      <w:i/>
      <w:iCs/>
      <w:color w:val="242451"/>
      <w:sz w:val="24"/>
      <w:szCs w:val="24"/>
    </w:rPr>
  </w:style>
  <w:style w:type="character" w:styleId="Heading5Char" w:customStyle="1">
    <w:name w:val="Heading 5 Char"/>
    <w:basedOn w:val="DefaultParagraphFont"/>
    <w:link w:val="Heading5"/>
    <w:uiPriority w:val="9"/>
    <w:rsid w:val="007A67C1"/>
    <w:rPr>
      <w:rFonts w:ascii="Gill Sans MT" w:hAnsi="Gill Sans MT" w:eastAsiaTheme="majorEastAsia" w:cstheme="majorBidi"/>
      <w:b/>
      <w:bCs/>
      <w:color w:val="242451"/>
    </w:rPr>
  </w:style>
  <w:style w:type="character" w:styleId="Heading6Char" w:customStyle="1">
    <w:name w:val="Heading 6 Char"/>
    <w:basedOn w:val="DefaultParagraphFont"/>
    <w:link w:val="Heading6"/>
    <w:uiPriority w:val="9"/>
    <w:rsid w:val="007A67C1"/>
    <w:rPr>
      <w:rFonts w:asciiTheme="majorHAnsi" w:hAnsiTheme="majorHAnsi" w:eastAsiaTheme="majorEastAsia" w:cstheme="majorBidi"/>
      <w:i/>
      <w:iCs/>
      <w:color w:val="243F60"/>
      <w:sz w:val="24"/>
      <w:szCs w:val="24"/>
    </w:rPr>
  </w:style>
  <w:style w:type="character" w:styleId="Heading7Char" w:customStyle="1">
    <w:name w:val="Heading 7 Char"/>
    <w:basedOn w:val="DefaultParagraphFont"/>
    <w:link w:val="Heading7"/>
    <w:uiPriority w:val="9"/>
    <w:rsid w:val="007A67C1"/>
    <w:rPr>
      <w:rFonts w:asciiTheme="majorHAnsi" w:hAnsiTheme="majorHAnsi" w:eastAsiaTheme="majorEastAsia" w:cstheme="majorBidi"/>
      <w:i/>
      <w:iCs/>
      <w:color w:val="404040" w:themeColor="text1" w:themeTint="BF"/>
      <w:sz w:val="24"/>
      <w:szCs w:val="24"/>
    </w:rPr>
  </w:style>
  <w:style w:type="character" w:styleId="Heading8Char" w:customStyle="1">
    <w:name w:val="Heading 8 Char"/>
    <w:basedOn w:val="DefaultParagraphFont"/>
    <w:link w:val="Heading8"/>
    <w:uiPriority w:val="9"/>
    <w:rsid w:val="007A67C1"/>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rsid w:val="007A67C1"/>
    <w:rPr>
      <w:rFonts w:asciiTheme="majorHAnsi" w:hAnsiTheme="majorHAnsi" w:eastAsiaTheme="majorEastAsia" w:cstheme="majorBidi"/>
      <w:i/>
      <w:iCs/>
      <w:color w:val="404040" w:themeColor="text1" w:themeTint="BF"/>
      <w:sz w:val="20"/>
      <w:szCs w:val="20"/>
    </w:rPr>
  </w:style>
  <w:style w:type="paragraph" w:styleId="TOCHeading">
    <w:name w:val="TOC Heading"/>
    <w:basedOn w:val="Heading1"/>
    <w:next w:val="Normal"/>
    <w:uiPriority w:val="39"/>
    <w:unhideWhenUsed/>
    <w:qFormat/>
    <w:rsid w:val="21D508D6"/>
    <w:pPr>
      <w:numPr>
        <w:numId w:val="0"/>
      </w:numPr>
      <w:ind w:left="720" w:hanging="360"/>
    </w:pPr>
    <w:rPr>
      <w:lang w:eastAsia="ja-JP"/>
    </w:rPr>
  </w:style>
  <w:style w:type="paragraph" w:styleId="TOC1">
    <w:name w:val="toc 1"/>
    <w:basedOn w:val="Normal"/>
    <w:next w:val="Normal"/>
    <w:autoRedefine/>
    <w:uiPriority w:val="39"/>
    <w:unhideWhenUsed/>
    <w:rsid w:val="00B3452C"/>
    <w:pPr>
      <w:tabs>
        <w:tab w:val="left" w:pos="480"/>
        <w:tab w:val="right" w:pos="9350"/>
      </w:tabs>
      <w:spacing w:before="240" w:after="120"/>
      <w:jc w:val="left"/>
    </w:pPr>
    <w:rPr>
      <w:rFonts w:cstheme="minorHAnsi"/>
      <w:b/>
      <w:bCs/>
      <w:sz w:val="20"/>
      <w:szCs w:val="20"/>
    </w:rPr>
  </w:style>
  <w:style w:type="paragraph" w:styleId="TOC2">
    <w:name w:val="toc 2"/>
    <w:basedOn w:val="Normal"/>
    <w:next w:val="Normal"/>
    <w:autoRedefine/>
    <w:uiPriority w:val="39"/>
    <w:unhideWhenUsed/>
    <w:rsid w:val="002147B0"/>
    <w:pPr>
      <w:tabs>
        <w:tab w:val="left" w:pos="960"/>
        <w:tab w:val="right" w:pos="9350"/>
      </w:tabs>
      <w:spacing w:before="120" w:after="0"/>
      <w:ind w:left="240"/>
      <w:jc w:val="left"/>
    </w:pPr>
    <w:rPr>
      <w:rFonts w:cstheme="minorHAnsi"/>
      <w:i/>
      <w:iCs/>
      <w:sz w:val="20"/>
      <w:szCs w:val="20"/>
    </w:rPr>
  </w:style>
  <w:style w:type="paragraph" w:styleId="TOC3">
    <w:name w:val="toc 3"/>
    <w:basedOn w:val="Normal"/>
    <w:next w:val="Normal"/>
    <w:autoRedefine/>
    <w:uiPriority w:val="39"/>
    <w:unhideWhenUsed/>
    <w:rsid w:val="003A7D1E"/>
    <w:pPr>
      <w:tabs>
        <w:tab w:val="left" w:pos="1200"/>
        <w:tab w:val="right" w:pos="9350"/>
      </w:tabs>
      <w:spacing w:after="0"/>
      <w:ind w:left="480"/>
      <w:jc w:val="left"/>
    </w:pPr>
    <w:rPr>
      <w:rFonts w:cstheme="minorHAnsi"/>
      <w:sz w:val="20"/>
      <w:szCs w:val="20"/>
    </w:rPr>
  </w:style>
  <w:style w:type="character" w:styleId="Hyperlink">
    <w:name w:val="Hyperlink"/>
    <w:basedOn w:val="DefaultParagraphFont"/>
    <w:uiPriority w:val="99"/>
    <w:unhideWhenUsed/>
    <w:rsid w:val="00A916FD"/>
    <w:rPr>
      <w:color w:val="0563C1"/>
      <w:u w:val="single"/>
    </w:rPr>
  </w:style>
  <w:style w:type="paragraph" w:styleId="BalloonText">
    <w:name w:val="Balloon Text"/>
    <w:basedOn w:val="Normal"/>
    <w:link w:val="BalloonTextChar"/>
    <w:uiPriority w:val="99"/>
    <w:semiHidden/>
    <w:unhideWhenUsed/>
    <w:rsid w:val="007A67C1"/>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7A67C1"/>
    <w:rPr>
      <w:rFonts w:ascii="Tahoma" w:hAnsi="Tahoma" w:cs="Tahoma"/>
      <w:sz w:val="16"/>
      <w:szCs w:val="16"/>
    </w:rPr>
  </w:style>
  <w:style w:type="paragraph" w:styleId="Header">
    <w:name w:val="header"/>
    <w:basedOn w:val="Normal"/>
    <w:link w:val="HeaderChar"/>
    <w:uiPriority w:val="99"/>
    <w:unhideWhenUsed/>
    <w:rsid w:val="008D7DE6"/>
    <w:pPr>
      <w:tabs>
        <w:tab w:val="center" w:pos="4680"/>
        <w:tab w:val="right" w:pos="9360"/>
      </w:tabs>
      <w:spacing w:after="0" w:line="240" w:lineRule="auto"/>
    </w:pPr>
  </w:style>
  <w:style w:type="paragraph" w:styleId="TableofFigures">
    <w:name w:val="table of figures"/>
    <w:basedOn w:val="Normal"/>
    <w:next w:val="Normal"/>
    <w:uiPriority w:val="99"/>
    <w:unhideWhenUsed/>
    <w:rsid w:val="007A67C1"/>
    <w:pPr>
      <w:spacing w:after="0"/>
      <w:ind w:left="480" w:hanging="480"/>
      <w:jc w:val="left"/>
    </w:pPr>
    <w:rPr>
      <w:rFonts w:cstheme="minorHAnsi"/>
      <w:b/>
      <w:bCs/>
      <w:sz w:val="20"/>
      <w:szCs w:val="20"/>
    </w:rPr>
  </w:style>
  <w:style w:type="character" w:styleId="HeaderChar" w:customStyle="1">
    <w:name w:val="Header Char"/>
    <w:basedOn w:val="DefaultParagraphFont"/>
    <w:link w:val="Header"/>
    <w:uiPriority w:val="99"/>
    <w:rsid w:val="008D7DE6"/>
    <w:rPr>
      <w:sz w:val="24"/>
      <w:szCs w:val="24"/>
    </w:rPr>
  </w:style>
  <w:style w:type="paragraph" w:styleId="Footer">
    <w:name w:val="footer"/>
    <w:basedOn w:val="Normal"/>
    <w:link w:val="FooterChar"/>
    <w:uiPriority w:val="99"/>
    <w:unhideWhenUsed/>
    <w:rsid w:val="008D7DE6"/>
    <w:pPr>
      <w:tabs>
        <w:tab w:val="center" w:pos="4680"/>
        <w:tab w:val="right" w:pos="9360"/>
      </w:tabs>
      <w:spacing w:after="0" w:line="240" w:lineRule="auto"/>
    </w:pPr>
  </w:style>
  <w:style w:type="character" w:styleId="FooterChar" w:customStyle="1">
    <w:name w:val="Footer Char"/>
    <w:basedOn w:val="DefaultParagraphFont"/>
    <w:link w:val="Footer"/>
    <w:uiPriority w:val="99"/>
    <w:rsid w:val="008D7DE6"/>
    <w:rPr>
      <w:sz w:val="24"/>
      <w:szCs w:val="24"/>
    </w:rPr>
  </w:style>
  <w:style w:type="paragraph" w:styleId="NoSpacing">
    <w:name w:val="No Spacing"/>
    <w:link w:val="NoSpacingChar"/>
    <w:uiPriority w:val="1"/>
    <w:qFormat/>
    <w:rsid w:val="008D7DE6"/>
    <w:pPr>
      <w:spacing w:after="0" w:line="240" w:lineRule="auto"/>
    </w:pPr>
    <w:rPr>
      <w:lang w:eastAsia="ja-JP"/>
    </w:rPr>
  </w:style>
  <w:style w:type="character" w:styleId="NoSpacingChar" w:customStyle="1">
    <w:name w:val="No Spacing Char"/>
    <w:basedOn w:val="DefaultParagraphFont"/>
    <w:link w:val="NoSpacing"/>
    <w:uiPriority w:val="1"/>
    <w:rsid w:val="008D7DE6"/>
    <w:rPr>
      <w:lang w:eastAsia="ja-JP"/>
    </w:rPr>
  </w:style>
  <w:style w:type="paragraph" w:styleId="ProposalBulletPoints" w:customStyle="1">
    <w:name w:val="Proposal Bullet Points"/>
    <w:basedOn w:val="Normal"/>
    <w:rsid w:val="00371A7B"/>
    <w:pPr>
      <w:numPr>
        <w:numId w:val="3"/>
      </w:numPr>
      <w:spacing w:after="0" w:line="240" w:lineRule="auto"/>
      <w:jc w:val="left"/>
    </w:pPr>
  </w:style>
  <w:style w:type="paragraph" w:styleId="85367988A0544E0D9E4823711EB28734" w:customStyle="1">
    <w:name w:val="85367988A0544E0D9E4823711EB28734"/>
    <w:rsid w:val="00302456"/>
    <w:rPr>
      <w:lang w:eastAsia="ja-JP"/>
    </w:rPr>
  </w:style>
  <w:style w:type="paragraph" w:styleId="Caption">
    <w:name w:val="caption"/>
    <w:basedOn w:val="Normal"/>
    <w:next w:val="Normal"/>
    <w:link w:val="CaptionChar"/>
    <w:uiPriority w:val="35"/>
    <w:unhideWhenUsed/>
    <w:qFormat/>
    <w:rsid w:val="002849EB"/>
    <w:pPr>
      <w:keepNext/>
      <w:spacing w:line="240" w:lineRule="auto"/>
      <w:jc w:val="center"/>
    </w:pPr>
    <w:rPr>
      <w:b/>
      <w:bCs/>
      <w:color w:val="242451"/>
      <w:sz w:val="22"/>
      <w:szCs w:val="18"/>
    </w:rPr>
  </w:style>
  <w:style w:type="paragraph" w:styleId="DecimalAligned" w:customStyle="1">
    <w:name w:val="Decimal Aligned"/>
    <w:basedOn w:val="Normal"/>
    <w:uiPriority w:val="40"/>
    <w:qFormat/>
    <w:rsid w:val="00873CF5"/>
    <w:pPr>
      <w:tabs>
        <w:tab w:val="decimal" w:pos="360"/>
      </w:tabs>
      <w:jc w:val="left"/>
    </w:pPr>
    <w:rPr>
      <w:rFonts w:eastAsiaTheme="minorHAnsi"/>
      <w:sz w:val="22"/>
      <w:szCs w:val="22"/>
      <w:lang w:eastAsia="ja-JP"/>
    </w:rPr>
  </w:style>
  <w:style w:type="paragraph" w:styleId="FootnoteText">
    <w:name w:val="footnote text"/>
    <w:aliases w:val="ALTS FOOTNOTE,fn,ALTS FOOTNOTE Char,fn Char,Footnote Text Char1 Char,Footnote Text Char Char Char,Footnote Text Char2 Char Char Char,Footnote Text Char1 Char1 Char Char Char,Footnote Text Char Char Char Char Char Char,f,Footnote Text Char1"/>
    <w:basedOn w:val="Normal"/>
    <w:link w:val="FootnoteTextChar"/>
    <w:uiPriority w:val="99"/>
    <w:unhideWhenUsed/>
    <w:qFormat/>
    <w:rsid w:val="00873CF5"/>
    <w:pPr>
      <w:spacing w:after="0" w:line="240" w:lineRule="auto"/>
      <w:jc w:val="left"/>
    </w:pPr>
    <w:rPr>
      <w:sz w:val="20"/>
      <w:szCs w:val="20"/>
      <w:lang w:eastAsia="ja-JP"/>
    </w:rPr>
  </w:style>
  <w:style w:type="character" w:styleId="FootnoteTextChar" w:customStyle="1">
    <w:name w:val="Footnote Text Char"/>
    <w:aliases w:val="ALTS FOOTNOTE Char1,fn Char1,ALTS FOOTNOTE Char Char,fn Char Char,Footnote Text Char1 Char Char,Footnote Text Char Char Char Char,Footnote Text Char2 Char Char Char Char,Footnote Text Char1 Char1 Char Char Char Char,f Char"/>
    <w:basedOn w:val="DefaultParagraphFont"/>
    <w:link w:val="FootnoteText"/>
    <w:uiPriority w:val="99"/>
    <w:rsid w:val="00873CF5"/>
    <w:rPr>
      <w:sz w:val="20"/>
      <w:szCs w:val="20"/>
      <w:lang w:eastAsia="ja-JP"/>
    </w:rPr>
  </w:style>
  <w:style w:type="character" w:styleId="SubtleEmphasis">
    <w:name w:val="Subtle Emphasis"/>
    <w:basedOn w:val="DefaultParagraphFont"/>
    <w:uiPriority w:val="19"/>
    <w:qFormat/>
    <w:rsid w:val="00873CF5"/>
    <w:rPr>
      <w:i/>
      <w:iCs/>
      <w:color w:val="7F7F7F" w:themeColor="text1" w:themeTint="80"/>
    </w:rPr>
  </w:style>
  <w:style w:type="table" w:styleId="LightShading-Accent1">
    <w:name w:val="Light Shading Accent 1"/>
    <w:basedOn w:val="TableNormal"/>
    <w:uiPriority w:val="60"/>
    <w:rsid w:val="00873CF5"/>
    <w:pPr>
      <w:spacing w:after="0" w:line="240" w:lineRule="auto"/>
    </w:pPr>
    <w:rPr>
      <w:color w:val="365F91" w:themeColor="accent1" w:themeShade="BF"/>
      <w:lang w:eastAsia="ja-JP"/>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color w:val="365F91" w:themeColor="accent1" w:themeShade="BF"/>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color w:val="365F91" w:themeColor="accent1" w:themeShade="BF"/>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aliases w:val="2nd Bullet,Sub Bullet,Table/Figure Heading,texte de base,List Paragraph (numbered (a)),Normal 1,List Paragraph1,Resume Title,Citation List,Heading 41,Report Para,Number Bullets,WinDForce-Letter,Heading 2_sj,En tête 1,Indent Paragraph,lp1"/>
    <w:basedOn w:val="Normal"/>
    <w:link w:val="ListParagraphChar"/>
    <w:uiPriority w:val="34"/>
    <w:qFormat/>
    <w:rsid w:val="00BB61CC"/>
    <w:pPr>
      <w:numPr>
        <w:numId w:val="5"/>
      </w:numPr>
      <w:spacing w:after="120"/>
    </w:pPr>
  </w:style>
  <w:style w:type="character" w:styleId="FootnoteReference">
    <w:name w:val="footnote reference"/>
    <w:aliases w:val="Style 12,(NECG) Footnote Reference,Style 13,Appel note de bas de p,Style 124,fr,o,Style 3,FR,Style 17,Footnote Reference/,Style 6,titulo 2,ftref,Fußnotenzeichen DISS,16 Point,Superscript 6 Point,Footnote Reference Number,Footnote,Ref"/>
    <w:basedOn w:val="DefaultParagraphFont"/>
    <w:uiPriority w:val="99"/>
    <w:unhideWhenUsed/>
    <w:qFormat/>
    <w:rsid w:val="009C5353"/>
    <w:rPr>
      <w:vertAlign w:val="superscript"/>
    </w:rPr>
  </w:style>
  <w:style w:type="paragraph" w:styleId="BulletedList" w:customStyle="1">
    <w:name w:val="BulletedList"/>
    <w:basedOn w:val="ListParagraph"/>
    <w:qFormat/>
    <w:rsid w:val="21D508D6"/>
    <w:pPr>
      <w:numPr>
        <w:numId w:val="4"/>
      </w:numPr>
      <w:spacing w:after="160"/>
      <w:ind w:left="360"/>
      <w:jc w:val="left"/>
    </w:pPr>
    <w:rPr>
      <w:rFonts w:ascii="Tw Cen MT" w:hAnsi="Tw Cen MT"/>
      <w:sz w:val="22"/>
      <w:szCs w:val="22"/>
    </w:rPr>
  </w:style>
  <w:style w:type="character" w:styleId="ListParagraphChar" w:customStyle="1">
    <w:name w:val="List Paragraph Char"/>
    <w:aliases w:val="2nd Bullet Char,Sub Bullet Char,Table/Figure Heading Char,texte de base Char,List Paragraph (numbered (a)) Char,Normal 1 Char,List Paragraph1 Char,Resume Title Char,Citation List Char,Heading 41 Char,Report Para Char,En tête 1 Char"/>
    <w:basedOn w:val="DefaultParagraphFont"/>
    <w:link w:val="ListParagraph"/>
    <w:uiPriority w:val="34"/>
    <w:rsid w:val="00BB61CC"/>
    <w:rPr>
      <w:rFonts w:ascii="Gill Sans MT" w:hAnsi="Gill Sans MT"/>
      <w:sz w:val="24"/>
      <w:szCs w:val="24"/>
    </w:rPr>
  </w:style>
  <w:style w:type="paragraph" w:styleId="NormalWeb">
    <w:name w:val="Normal (Web)"/>
    <w:basedOn w:val="Normal"/>
    <w:uiPriority w:val="99"/>
    <w:unhideWhenUsed/>
    <w:rsid w:val="009C5353"/>
    <w:pPr>
      <w:spacing w:after="160" w:line="259" w:lineRule="auto"/>
      <w:jc w:val="left"/>
    </w:pPr>
    <w:rPr>
      <w:rFonts w:ascii="Times New Roman" w:hAnsi="Times New Roman" w:cs="Times New Roman" w:eastAsiaTheme="minorHAnsi"/>
    </w:rPr>
  </w:style>
  <w:style w:type="character" w:styleId="xn-location" w:customStyle="1">
    <w:name w:val="xn-location"/>
    <w:basedOn w:val="DefaultParagraphFont"/>
    <w:rsid w:val="009C5353"/>
  </w:style>
  <w:style w:type="character" w:styleId="UnresolvedMention">
    <w:name w:val="Unresolved Mention"/>
    <w:basedOn w:val="DefaultParagraphFont"/>
    <w:uiPriority w:val="99"/>
    <w:unhideWhenUsed/>
    <w:rsid w:val="009C5353"/>
    <w:rPr>
      <w:color w:val="808080"/>
      <w:shd w:val="clear" w:color="auto" w:fill="E6E6E6"/>
    </w:rPr>
  </w:style>
  <w:style w:type="table" w:styleId="TableGrid">
    <w:name w:val="Table Grid"/>
    <w:basedOn w:val="TableNormal"/>
    <w:uiPriority w:val="39"/>
    <w:rsid w:val="0053484B"/>
    <w:pPr>
      <w:widowControl w:val="0"/>
      <w:spacing w:after="0" w:line="240" w:lineRule="auto"/>
    </w:pPr>
    <w:rPr>
      <w:rFonts w:eastAsia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4">
    <w:name w:val="toc 4"/>
    <w:basedOn w:val="Normal"/>
    <w:next w:val="Normal"/>
    <w:autoRedefine/>
    <w:uiPriority w:val="39"/>
    <w:unhideWhenUsed/>
    <w:rsid w:val="00D72A21"/>
    <w:pPr>
      <w:spacing w:after="0"/>
      <w:ind w:left="720"/>
      <w:jc w:val="left"/>
    </w:pPr>
    <w:rPr>
      <w:rFonts w:cstheme="minorHAnsi"/>
      <w:sz w:val="20"/>
      <w:szCs w:val="20"/>
    </w:rPr>
  </w:style>
  <w:style w:type="paragraph" w:styleId="TOC5">
    <w:name w:val="toc 5"/>
    <w:basedOn w:val="Normal"/>
    <w:next w:val="Normal"/>
    <w:autoRedefine/>
    <w:uiPriority w:val="39"/>
    <w:unhideWhenUsed/>
    <w:rsid w:val="00D72A21"/>
    <w:pPr>
      <w:spacing w:after="0"/>
      <w:ind w:left="960"/>
      <w:jc w:val="left"/>
    </w:pPr>
    <w:rPr>
      <w:rFonts w:cstheme="minorHAnsi"/>
      <w:sz w:val="20"/>
      <w:szCs w:val="20"/>
    </w:rPr>
  </w:style>
  <w:style w:type="paragraph" w:styleId="TOC6">
    <w:name w:val="toc 6"/>
    <w:basedOn w:val="Normal"/>
    <w:next w:val="Normal"/>
    <w:autoRedefine/>
    <w:uiPriority w:val="39"/>
    <w:unhideWhenUsed/>
    <w:rsid w:val="00D72A21"/>
    <w:pPr>
      <w:spacing w:after="0"/>
      <w:ind w:left="1200"/>
      <w:jc w:val="left"/>
    </w:pPr>
    <w:rPr>
      <w:rFonts w:cstheme="minorHAnsi"/>
      <w:sz w:val="20"/>
      <w:szCs w:val="20"/>
    </w:rPr>
  </w:style>
  <w:style w:type="paragraph" w:styleId="TOC7">
    <w:name w:val="toc 7"/>
    <w:basedOn w:val="Normal"/>
    <w:next w:val="Normal"/>
    <w:autoRedefine/>
    <w:uiPriority w:val="39"/>
    <w:unhideWhenUsed/>
    <w:rsid w:val="00D72A21"/>
    <w:pPr>
      <w:spacing w:after="0"/>
      <w:ind w:left="1440"/>
      <w:jc w:val="left"/>
    </w:pPr>
    <w:rPr>
      <w:rFonts w:cstheme="minorHAnsi"/>
      <w:sz w:val="20"/>
      <w:szCs w:val="20"/>
    </w:rPr>
  </w:style>
  <w:style w:type="paragraph" w:styleId="TOC8">
    <w:name w:val="toc 8"/>
    <w:basedOn w:val="Normal"/>
    <w:next w:val="Normal"/>
    <w:autoRedefine/>
    <w:uiPriority w:val="39"/>
    <w:unhideWhenUsed/>
    <w:rsid w:val="00D72A21"/>
    <w:pPr>
      <w:spacing w:after="0"/>
      <w:ind w:left="1680"/>
      <w:jc w:val="left"/>
    </w:pPr>
    <w:rPr>
      <w:rFonts w:cstheme="minorHAnsi"/>
      <w:sz w:val="20"/>
      <w:szCs w:val="20"/>
    </w:rPr>
  </w:style>
  <w:style w:type="paragraph" w:styleId="TOC9">
    <w:name w:val="toc 9"/>
    <w:basedOn w:val="Normal"/>
    <w:next w:val="Normal"/>
    <w:autoRedefine/>
    <w:uiPriority w:val="39"/>
    <w:unhideWhenUsed/>
    <w:rsid w:val="00D72A21"/>
    <w:pPr>
      <w:spacing w:after="0"/>
      <w:ind w:left="1920"/>
      <w:jc w:val="left"/>
    </w:pPr>
    <w:rPr>
      <w:rFonts w:cstheme="minorHAnsi"/>
      <w:sz w:val="20"/>
      <w:szCs w:val="20"/>
    </w:rPr>
  </w:style>
  <w:style w:type="character" w:styleId="CommentReference">
    <w:name w:val="annotation reference"/>
    <w:basedOn w:val="DefaultParagraphFont"/>
    <w:uiPriority w:val="99"/>
    <w:semiHidden/>
    <w:unhideWhenUsed/>
    <w:rsid w:val="000075D5"/>
    <w:rPr>
      <w:sz w:val="16"/>
      <w:szCs w:val="16"/>
    </w:rPr>
  </w:style>
  <w:style w:type="paragraph" w:styleId="CommentText">
    <w:name w:val="annotation text"/>
    <w:basedOn w:val="Normal"/>
    <w:link w:val="CommentTextChar"/>
    <w:uiPriority w:val="99"/>
    <w:unhideWhenUsed/>
    <w:rsid w:val="000075D5"/>
    <w:pPr>
      <w:widowControl w:val="0"/>
      <w:spacing w:line="240" w:lineRule="auto"/>
      <w:jc w:val="left"/>
    </w:pPr>
    <w:rPr>
      <w:rFonts w:eastAsiaTheme="minorHAnsi"/>
      <w:sz w:val="20"/>
      <w:szCs w:val="20"/>
    </w:rPr>
  </w:style>
  <w:style w:type="character" w:styleId="CommentTextChar" w:customStyle="1">
    <w:name w:val="Comment Text Char"/>
    <w:basedOn w:val="DefaultParagraphFont"/>
    <w:link w:val="CommentText"/>
    <w:uiPriority w:val="99"/>
    <w:rsid w:val="000075D5"/>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0075D5"/>
    <w:rPr>
      <w:b/>
      <w:bCs/>
    </w:rPr>
  </w:style>
  <w:style w:type="character" w:styleId="CommentSubjectChar" w:customStyle="1">
    <w:name w:val="Comment Subject Char"/>
    <w:basedOn w:val="CommentTextChar"/>
    <w:link w:val="CommentSubject"/>
    <w:uiPriority w:val="99"/>
    <w:semiHidden/>
    <w:rsid w:val="000075D5"/>
    <w:rPr>
      <w:rFonts w:eastAsiaTheme="minorHAnsi"/>
      <w:b/>
      <w:bCs/>
      <w:sz w:val="20"/>
      <w:szCs w:val="20"/>
    </w:rPr>
  </w:style>
  <w:style w:type="paragraph" w:styleId="Title">
    <w:name w:val="Title"/>
    <w:basedOn w:val="Normal"/>
    <w:next w:val="Normal"/>
    <w:link w:val="TitleChar"/>
    <w:uiPriority w:val="10"/>
    <w:qFormat/>
    <w:rsid w:val="009109E3"/>
    <w:pPr>
      <w:keepNext/>
      <w:keepLines/>
      <w:spacing w:after="60"/>
      <w:jc w:val="left"/>
    </w:pPr>
    <w:rPr>
      <w:rFonts w:ascii="Arial" w:hAnsi="Arial" w:eastAsia="Arial" w:cs="Arial"/>
      <w:sz w:val="52"/>
      <w:szCs w:val="52"/>
      <w:lang w:val="en"/>
    </w:rPr>
  </w:style>
  <w:style w:type="character" w:styleId="TitleChar" w:customStyle="1">
    <w:name w:val="Title Char"/>
    <w:basedOn w:val="DefaultParagraphFont"/>
    <w:link w:val="Title"/>
    <w:uiPriority w:val="10"/>
    <w:rsid w:val="009109E3"/>
    <w:rPr>
      <w:rFonts w:ascii="Arial" w:hAnsi="Arial" w:eastAsia="Arial" w:cs="Arial"/>
      <w:sz w:val="52"/>
      <w:szCs w:val="52"/>
      <w:lang w:val="en"/>
    </w:rPr>
  </w:style>
  <w:style w:type="paragraph" w:styleId="Subtitle">
    <w:name w:val="Subtitle"/>
    <w:basedOn w:val="Normal"/>
    <w:next w:val="Normal"/>
    <w:link w:val="SubtitleChar"/>
    <w:uiPriority w:val="11"/>
    <w:qFormat/>
    <w:rsid w:val="009109E3"/>
    <w:pPr>
      <w:keepNext/>
      <w:keepLines/>
      <w:spacing w:after="320"/>
      <w:jc w:val="left"/>
    </w:pPr>
    <w:rPr>
      <w:rFonts w:ascii="Arial" w:hAnsi="Arial" w:eastAsia="Arial" w:cs="Arial"/>
      <w:color w:val="666666"/>
      <w:sz w:val="30"/>
      <w:szCs w:val="30"/>
      <w:lang w:val="en"/>
    </w:rPr>
  </w:style>
  <w:style w:type="character" w:styleId="SubtitleChar" w:customStyle="1">
    <w:name w:val="Subtitle Char"/>
    <w:basedOn w:val="DefaultParagraphFont"/>
    <w:link w:val="Subtitle"/>
    <w:uiPriority w:val="11"/>
    <w:rsid w:val="009109E3"/>
    <w:rPr>
      <w:rFonts w:ascii="Arial" w:hAnsi="Arial" w:eastAsia="Arial" w:cs="Arial"/>
      <w:color w:val="666666"/>
      <w:sz w:val="30"/>
      <w:szCs w:val="30"/>
      <w:lang w:val="en"/>
    </w:rPr>
  </w:style>
  <w:style w:type="paragraph" w:styleId="paragraph" w:customStyle="1">
    <w:name w:val="paragraph"/>
    <w:basedOn w:val="Normal"/>
    <w:rsid w:val="00717B01"/>
    <w:pPr>
      <w:spacing w:before="100" w:beforeAutospacing="1" w:after="100" w:afterAutospacing="1" w:line="240" w:lineRule="auto"/>
      <w:jc w:val="left"/>
    </w:pPr>
    <w:rPr>
      <w:rFonts w:ascii="Times New Roman" w:hAnsi="Times New Roman" w:eastAsia="Times New Roman" w:cs="Times New Roman"/>
    </w:rPr>
  </w:style>
  <w:style w:type="character" w:styleId="normaltextrun" w:customStyle="1">
    <w:name w:val="normaltextrun"/>
    <w:basedOn w:val="DefaultParagraphFont"/>
    <w:rsid w:val="00717B01"/>
  </w:style>
  <w:style w:type="character" w:styleId="superscript" w:customStyle="1">
    <w:name w:val="superscript"/>
    <w:basedOn w:val="DefaultParagraphFont"/>
    <w:rsid w:val="00717B01"/>
  </w:style>
  <w:style w:type="character" w:styleId="eop" w:customStyle="1">
    <w:name w:val="eop"/>
    <w:basedOn w:val="DefaultParagraphFont"/>
    <w:rsid w:val="00717B01"/>
  </w:style>
  <w:style w:type="paragraph" w:styleId="Revision">
    <w:name w:val="Revision"/>
    <w:hidden/>
    <w:uiPriority w:val="99"/>
    <w:semiHidden/>
    <w:rsid w:val="00717B01"/>
    <w:pPr>
      <w:spacing w:after="0" w:line="240" w:lineRule="auto"/>
    </w:pPr>
    <w:rPr>
      <w:rFonts w:eastAsiaTheme="minorHAnsi"/>
    </w:rPr>
  </w:style>
  <w:style w:type="character" w:styleId="FollowedHyperlink">
    <w:name w:val="FollowedHyperlink"/>
    <w:basedOn w:val="DefaultParagraphFont"/>
    <w:uiPriority w:val="99"/>
    <w:semiHidden/>
    <w:unhideWhenUsed/>
    <w:rsid w:val="00717B01"/>
    <w:rPr>
      <w:color w:val="800080" w:themeColor="followedHyperlink"/>
      <w:u w:val="single"/>
    </w:rPr>
  </w:style>
  <w:style w:type="character" w:styleId="Mention">
    <w:name w:val="Mention"/>
    <w:basedOn w:val="DefaultParagraphFont"/>
    <w:uiPriority w:val="99"/>
    <w:unhideWhenUsed/>
    <w:rsid w:val="00717B01"/>
    <w:rPr>
      <w:color w:val="2B579A"/>
      <w:shd w:val="clear" w:color="auto" w:fill="E1DFDD"/>
    </w:rPr>
  </w:style>
  <w:style w:type="table" w:styleId="ListTable4-Accent1">
    <w:name w:val="List Table 4 Accent 1"/>
    <w:basedOn w:val="TableNormal"/>
    <w:uiPriority w:val="49"/>
    <w:rsid w:val="00717B01"/>
    <w:pPr>
      <w:spacing w:after="0" w:line="240" w:lineRule="auto"/>
    </w:pPr>
    <w:tblPr>
      <w:tblStyleRowBandSize w:val="1"/>
      <w:tblStyleColBandSize w:val="1"/>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tblBorders>
    </w:tblPr>
    <w:tblStylePr w:type="firstRow">
      <w:rPr>
        <w:b/>
        <w:bCs/>
        <w:color w:val="FFFFFF" w:themeColor="background1"/>
      </w:rPr>
      <w:tbl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tcBorders>
        <w:shd w:val="clear" w:color="auto" w:fill="4F81BD" w:themeFill="accent1"/>
      </w:tcPr>
    </w:tblStylePr>
    <w:tblStylePr w:type="lastRow">
      <w:rPr>
        <w:b/>
        <w:bCs/>
      </w:rPr>
      <w:tblPr/>
      <w:tcPr>
        <w:tcBorders>
          <w:top w:val="double" w:color="95B3D7" w:themeColor="accent1" w:themeTint="99" w:sz="4" w:space="0"/>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f01" w:customStyle="1">
    <w:name w:val="cf01"/>
    <w:basedOn w:val="DefaultParagraphFont"/>
    <w:rsid w:val="00717B01"/>
    <w:rPr>
      <w:rFonts w:hint="default" w:ascii="Segoe UI" w:hAnsi="Segoe UI" w:cs="Segoe UI"/>
      <w:sz w:val="18"/>
      <w:szCs w:val="18"/>
    </w:rPr>
  </w:style>
  <w:style w:type="character" w:styleId="ui-provider" w:customStyle="1">
    <w:name w:val="ui-provider"/>
    <w:basedOn w:val="DefaultParagraphFont"/>
    <w:rsid w:val="00F4764D"/>
  </w:style>
  <w:style w:type="character" w:styleId="CaptionChar" w:customStyle="1">
    <w:name w:val="Caption Char"/>
    <w:basedOn w:val="DefaultParagraphFont"/>
    <w:link w:val="Caption"/>
    <w:uiPriority w:val="35"/>
    <w:rsid w:val="00E81CDA"/>
    <w:rPr>
      <w:rFonts w:ascii="Gill Sans MT" w:hAnsi="Gill Sans MT"/>
      <w:b/>
      <w:bCs/>
      <w:color w:val="242451"/>
      <w:szCs w:val="18"/>
    </w:rPr>
  </w:style>
  <w:style w:type="character" w:styleId="Strong">
    <w:name w:val="Strong"/>
    <w:basedOn w:val="DefaultParagraphFont"/>
    <w:uiPriority w:val="22"/>
    <w:qFormat/>
    <w:rsid w:val="00FD173D"/>
    <w:rPr>
      <w:b/>
      <w:bCs/>
    </w:rPr>
  </w:style>
  <w:style w:type="paragraph" w:styleId="xmsonormal" w:customStyle="1">
    <w:name w:val="x_msonormal"/>
    <w:basedOn w:val="Normal"/>
    <w:rsid w:val="00532C68"/>
    <w:pPr>
      <w:spacing w:before="100" w:beforeAutospacing="1" w:after="100" w:afterAutospacing="1" w:line="240" w:lineRule="auto"/>
      <w:jc w:val="left"/>
    </w:pPr>
    <w:rPr>
      <w:rFonts w:ascii="Times New Roman" w:hAnsi="Times New Roman" w:eastAsia="Times New Roman" w:cs="Times New Roman"/>
    </w:rPr>
  </w:style>
  <w:style w:type="character" w:styleId="EndnoteReference">
    <w:name w:val="endnote reference"/>
    <w:basedOn w:val="DefaultParagraphFont"/>
    <w:uiPriority w:val="99"/>
    <w:semiHidden/>
    <w:unhideWhenUsed/>
    <w:rsid w:val="007228D9"/>
    <w:rPr>
      <w:vertAlign w:val="superscript"/>
    </w:rPr>
  </w:style>
  <w:style w:type="paragraph" w:styleId="BodyText">
    <w:name w:val="Body Text"/>
    <w:basedOn w:val="Normal"/>
    <w:link w:val="BodyTextChar"/>
    <w:uiPriority w:val="1"/>
    <w:rsid w:val="00651506"/>
    <w:pPr>
      <w:spacing w:after="160" w:line="259" w:lineRule="auto"/>
      <w:jc w:val="left"/>
    </w:pPr>
    <w:rPr>
      <w:rFonts w:asciiTheme="minorHAnsi" w:hAnsiTheme="minorHAnsi"/>
      <w:sz w:val="22"/>
      <w:szCs w:val="22"/>
    </w:rPr>
  </w:style>
  <w:style w:type="character" w:styleId="BodyTextChar" w:customStyle="1">
    <w:name w:val="Body Text Char"/>
    <w:basedOn w:val="DefaultParagraphFont"/>
    <w:link w:val="BodyText"/>
    <w:uiPriority w:val="1"/>
    <w:rsid w:val="00651506"/>
  </w:style>
  <w:style w:type="paragraph" w:styleId="xxmsonormal" w:customStyle="1">
    <w:name w:val="x_xmsonormal"/>
    <w:basedOn w:val="Normal"/>
    <w:rsid w:val="00D70589"/>
    <w:pPr>
      <w:spacing w:after="0" w:line="240" w:lineRule="auto"/>
      <w:jc w:val="left"/>
    </w:pPr>
    <w:rPr>
      <w:rFonts w:ascii="Calibri" w:hAnsi="Calibri" w:cs="Calibri"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6393">
      <w:bodyDiv w:val="1"/>
      <w:marLeft w:val="0"/>
      <w:marRight w:val="0"/>
      <w:marTop w:val="0"/>
      <w:marBottom w:val="0"/>
      <w:divBdr>
        <w:top w:val="none" w:sz="0" w:space="0" w:color="auto"/>
        <w:left w:val="none" w:sz="0" w:space="0" w:color="auto"/>
        <w:bottom w:val="none" w:sz="0" w:space="0" w:color="auto"/>
        <w:right w:val="none" w:sz="0" w:space="0" w:color="auto"/>
      </w:divBdr>
    </w:div>
    <w:div w:id="326566232">
      <w:bodyDiv w:val="1"/>
      <w:marLeft w:val="0"/>
      <w:marRight w:val="0"/>
      <w:marTop w:val="0"/>
      <w:marBottom w:val="0"/>
      <w:divBdr>
        <w:top w:val="none" w:sz="0" w:space="0" w:color="auto"/>
        <w:left w:val="none" w:sz="0" w:space="0" w:color="auto"/>
        <w:bottom w:val="none" w:sz="0" w:space="0" w:color="auto"/>
        <w:right w:val="none" w:sz="0" w:space="0" w:color="auto"/>
      </w:divBdr>
    </w:div>
    <w:div w:id="342828456">
      <w:bodyDiv w:val="1"/>
      <w:marLeft w:val="0"/>
      <w:marRight w:val="0"/>
      <w:marTop w:val="0"/>
      <w:marBottom w:val="0"/>
      <w:divBdr>
        <w:top w:val="none" w:sz="0" w:space="0" w:color="auto"/>
        <w:left w:val="none" w:sz="0" w:space="0" w:color="auto"/>
        <w:bottom w:val="none" w:sz="0" w:space="0" w:color="auto"/>
        <w:right w:val="none" w:sz="0" w:space="0" w:color="auto"/>
      </w:divBdr>
    </w:div>
    <w:div w:id="545988526">
      <w:bodyDiv w:val="1"/>
      <w:marLeft w:val="0"/>
      <w:marRight w:val="0"/>
      <w:marTop w:val="0"/>
      <w:marBottom w:val="0"/>
      <w:divBdr>
        <w:top w:val="none" w:sz="0" w:space="0" w:color="auto"/>
        <w:left w:val="none" w:sz="0" w:space="0" w:color="auto"/>
        <w:bottom w:val="none" w:sz="0" w:space="0" w:color="auto"/>
        <w:right w:val="none" w:sz="0" w:space="0" w:color="auto"/>
      </w:divBdr>
    </w:div>
    <w:div w:id="612596025">
      <w:bodyDiv w:val="1"/>
      <w:marLeft w:val="0"/>
      <w:marRight w:val="0"/>
      <w:marTop w:val="0"/>
      <w:marBottom w:val="0"/>
      <w:divBdr>
        <w:top w:val="none" w:sz="0" w:space="0" w:color="auto"/>
        <w:left w:val="none" w:sz="0" w:space="0" w:color="auto"/>
        <w:bottom w:val="none" w:sz="0" w:space="0" w:color="auto"/>
        <w:right w:val="none" w:sz="0" w:space="0" w:color="auto"/>
      </w:divBdr>
    </w:div>
    <w:div w:id="732047308">
      <w:bodyDiv w:val="1"/>
      <w:marLeft w:val="0"/>
      <w:marRight w:val="0"/>
      <w:marTop w:val="0"/>
      <w:marBottom w:val="0"/>
      <w:divBdr>
        <w:top w:val="none" w:sz="0" w:space="0" w:color="auto"/>
        <w:left w:val="none" w:sz="0" w:space="0" w:color="auto"/>
        <w:bottom w:val="none" w:sz="0" w:space="0" w:color="auto"/>
        <w:right w:val="none" w:sz="0" w:space="0" w:color="auto"/>
      </w:divBdr>
    </w:div>
    <w:div w:id="760371135">
      <w:bodyDiv w:val="1"/>
      <w:marLeft w:val="0"/>
      <w:marRight w:val="0"/>
      <w:marTop w:val="0"/>
      <w:marBottom w:val="0"/>
      <w:divBdr>
        <w:top w:val="none" w:sz="0" w:space="0" w:color="auto"/>
        <w:left w:val="none" w:sz="0" w:space="0" w:color="auto"/>
        <w:bottom w:val="none" w:sz="0" w:space="0" w:color="auto"/>
        <w:right w:val="none" w:sz="0" w:space="0" w:color="auto"/>
      </w:divBdr>
    </w:div>
    <w:div w:id="808523231">
      <w:bodyDiv w:val="1"/>
      <w:marLeft w:val="0"/>
      <w:marRight w:val="0"/>
      <w:marTop w:val="0"/>
      <w:marBottom w:val="0"/>
      <w:divBdr>
        <w:top w:val="none" w:sz="0" w:space="0" w:color="auto"/>
        <w:left w:val="none" w:sz="0" w:space="0" w:color="auto"/>
        <w:bottom w:val="none" w:sz="0" w:space="0" w:color="auto"/>
        <w:right w:val="none" w:sz="0" w:space="0" w:color="auto"/>
      </w:divBdr>
    </w:div>
    <w:div w:id="809057853">
      <w:bodyDiv w:val="1"/>
      <w:marLeft w:val="0"/>
      <w:marRight w:val="0"/>
      <w:marTop w:val="0"/>
      <w:marBottom w:val="0"/>
      <w:divBdr>
        <w:top w:val="none" w:sz="0" w:space="0" w:color="auto"/>
        <w:left w:val="none" w:sz="0" w:space="0" w:color="auto"/>
        <w:bottom w:val="none" w:sz="0" w:space="0" w:color="auto"/>
        <w:right w:val="none" w:sz="0" w:space="0" w:color="auto"/>
      </w:divBdr>
    </w:div>
    <w:div w:id="817958524">
      <w:bodyDiv w:val="1"/>
      <w:marLeft w:val="0"/>
      <w:marRight w:val="0"/>
      <w:marTop w:val="0"/>
      <w:marBottom w:val="0"/>
      <w:divBdr>
        <w:top w:val="none" w:sz="0" w:space="0" w:color="auto"/>
        <w:left w:val="none" w:sz="0" w:space="0" w:color="auto"/>
        <w:bottom w:val="none" w:sz="0" w:space="0" w:color="auto"/>
        <w:right w:val="none" w:sz="0" w:space="0" w:color="auto"/>
      </w:divBdr>
    </w:div>
    <w:div w:id="877473082">
      <w:bodyDiv w:val="1"/>
      <w:marLeft w:val="0"/>
      <w:marRight w:val="0"/>
      <w:marTop w:val="0"/>
      <w:marBottom w:val="0"/>
      <w:divBdr>
        <w:top w:val="none" w:sz="0" w:space="0" w:color="auto"/>
        <w:left w:val="none" w:sz="0" w:space="0" w:color="auto"/>
        <w:bottom w:val="none" w:sz="0" w:space="0" w:color="auto"/>
        <w:right w:val="none" w:sz="0" w:space="0" w:color="auto"/>
      </w:divBdr>
    </w:div>
    <w:div w:id="945574183">
      <w:bodyDiv w:val="1"/>
      <w:marLeft w:val="0"/>
      <w:marRight w:val="0"/>
      <w:marTop w:val="0"/>
      <w:marBottom w:val="0"/>
      <w:divBdr>
        <w:top w:val="none" w:sz="0" w:space="0" w:color="auto"/>
        <w:left w:val="none" w:sz="0" w:space="0" w:color="auto"/>
        <w:bottom w:val="none" w:sz="0" w:space="0" w:color="auto"/>
        <w:right w:val="none" w:sz="0" w:space="0" w:color="auto"/>
      </w:divBdr>
    </w:div>
    <w:div w:id="1019283422">
      <w:bodyDiv w:val="1"/>
      <w:marLeft w:val="0"/>
      <w:marRight w:val="0"/>
      <w:marTop w:val="0"/>
      <w:marBottom w:val="0"/>
      <w:divBdr>
        <w:top w:val="none" w:sz="0" w:space="0" w:color="auto"/>
        <w:left w:val="none" w:sz="0" w:space="0" w:color="auto"/>
        <w:bottom w:val="none" w:sz="0" w:space="0" w:color="auto"/>
        <w:right w:val="none" w:sz="0" w:space="0" w:color="auto"/>
      </w:divBdr>
    </w:div>
    <w:div w:id="1042249831">
      <w:bodyDiv w:val="1"/>
      <w:marLeft w:val="0"/>
      <w:marRight w:val="0"/>
      <w:marTop w:val="0"/>
      <w:marBottom w:val="0"/>
      <w:divBdr>
        <w:top w:val="none" w:sz="0" w:space="0" w:color="auto"/>
        <w:left w:val="none" w:sz="0" w:space="0" w:color="auto"/>
        <w:bottom w:val="none" w:sz="0" w:space="0" w:color="auto"/>
        <w:right w:val="none" w:sz="0" w:space="0" w:color="auto"/>
      </w:divBdr>
    </w:div>
    <w:div w:id="1091778299">
      <w:bodyDiv w:val="1"/>
      <w:marLeft w:val="0"/>
      <w:marRight w:val="0"/>
      <w:marTop w:val="0"/>
      <w:marBottom w:val="0"/>
      <w:divBdr>
        <w:top w:val="none" w:sz="0" w:space="0" w:color="auto"/>
        <w:left w:val="none" w:sz="0" w:space="0" w:color="auto"/>
        <w:bottom w:val="none" w:sz="0" w:space="0" w:color="auto"/>
        <w:right w:val="none" w:sz="0" w:space="0" w:color="auto"/>
      </w:divBdr>
    </w:div>
    <w:div w:id="1212037686">
      <w:bodyDiv w:val="1"/>
      <w:marLeft w:val="0"/>
      <w:marRight w:val="0"/>
      <w:marTop w:val="0"/>
      <w:marBottom w:val="0"/>
      <w:divBdr>
        <w:top w:val="none" w:sz="0" w:space="0" w:color="auto"/>
        <w:left w:val="none" w:sz="0" w:space="0" w:color="auto"/>
        <w:bottom w:val="none" w:sz="0" w:space="0" w:color="auto"/>
        <w:right w:val="none" w:sz="0" w:space="0" w:color="auto"/>
      </w:divBdr>
    </w:div>
    <w:div w:id="1249539507">
      <w:bodyDiv w:val="1"/>
      <w:marLeft w:val="0"/>
      <w:marRight w:val="0"/>
      <w:marTop w:val="0"/>
      <w:marBottom w:val="0"/>
      <w:divBdr>
        <w:top w:val="none" w:sz="0" w:space="0" w:color="auto"/>
        <w:left w:val="none" w:sz="0" w:space="0" w:color="auto"/>
        <w:bottom w:val="none" w:sz="0" w:space="0" w:color="auto"/>
        <w:right w:val="none" w:sz="0" w:space="0" w:color="auto"/>
      </w:divBdr>
    </w:div>
    <w:div w:id="1335886763">
      <w:bodyDiv w:val="1"/>
      <w:marLeft w:val="0"/>
      <w:marRight w:val="0"/>
      <w:marTop w:val="0"/>
      <w:marBottom w:val="0"/>
      <w:divBdr>
        <w:top w:val="none" w:sz="0" w:space="0" w:color="auto"/>
        <w:left w:val="none" w:sz="0" w:space="0" w:color="auto"/>
        <w:bottom w:val="none" w:sz="0" w:space="0" w:color="auto"/>
        <w:right w:val="none" w:sz="0" w:space="0" w:color="auto"/>
      </w:divBdr>
    </w:div>
    <w:div w:id="1362048517">
      <w:bodyDiv w:val="1"/>
      <w:marLeft w:val="0"/>
      <w:marRight w:val="0"/>
      <w:marTop w:val="0"/>
      <w:marBottom w:val="0"/>
      <w:divBdr>
        <w:top w:val="none" w:sz="0" w:space="0" w:color="auto"/>
        <w:left w:val="none" w:sz="0" w:space="0" w:color="auto"/>
        <w:bottom w:val="none" w:sz="0" w:space="0" w:color="auto"/>
        <w:right w:val="none" w:sz="0" w:space="0" w:color="auto"/>
      </w:divBdr>
    </w:div>
    <w:div w:id="1621916958">
      <w:bodyDiv w:val="1"/>
      <w:marLeft w:val="0"/>
      <w:marRight w:val="0"/>
      <w:marTop w:val="0"/>
      <w:marBottom w:val="0"/>
      <w:divBdr>
        <w:top w:val="none" w:sz="0" w:space="0" w:color="auto"/>
        <w:left w:val="none" w:sz="0" w:space="0" w:color="auto"/>
        <w:bottom w:val="none" w:sz="0" w:space="0" w:color="auto"/>
        <w:right w:val="none" w:sz="0" w:space="0" w:color="auto"/>
      </w:divBdr>
    </w:div>
    <w:div w:id="1762098342">
      <w:bodyDiv w:val="1"/>
      <w:marLeft w:val="0"/>
      <w:marRight w:val="0"/>
      <w:marTop w:val="0"/>
      <w:marBottom w:val="0"/>
      <w:divBdr>
        <w:top w:val="none" w:sz="0" w:space="0" w:color="auto"/>
        <w:left w:val="none" w:sz="0" w:space="0" w:color="auto"/>
        <w:bottom w:val="none" w:sz="0" w:space="0" w:color="auto"/>
        <w:right w:val="none" w:sz="0" w:space="0" w:color="auto"/>
      </w:divBdr>
    </w:div>
    <w:div w:id="1766533774">
      <w:bodyDiv w:val="1"/>
      <w:marLeft w:val="0"/>
      <w:marRight w:val="0"/>
      <w:marTop w:val="0"/>
      <w:marBottom w:val="0"/>
      <w:divBdr>
        <w:top w:val="none" w:sz="0" w:space="0" w:color="auto"/>
        <w:left w:val="none" w:sz="0" w:space="0" w:color="auto"/>
        <w:bottom w:val="none" w:sz="0" w:space="0" w:color="auto"/>
        <w:right w:val="none" w:sz="0" w:space="0" w:color="auto"/>
      </w:divBdr>
    </w:div>
    <w:div w:id="1854955122">
      <w:bodyDiv w:val="1"/>
      <w:marLeft w:val="0"/>
      <w:marRight w:val="0"/>
      <w:marTop w:val="0"/>
      <w:marBottom w:val="0"/>
      <w:divBdr>
        <w:top w:val="none" w:sz="0" w:space="0" w:color="auto"/>
        <w:left w:val="none" w:sz="0" w:space="0" w:color="auto"/>
        <w:bottom w:val="none" w:sz="0" w:space="0" w:color="auto"/>
        <w:right w:val="none" w:sz="0" w:space="0" w:color="auto"/>
      </w:divBdr>
    </w:div>
    <w:div w:id="1957564623">
      <w:bodyDiv w:val="1"/>
      <w:marLeft w:val="0"/>
      <w:marRight w:val="0"/>
      <w:marTop w:val="0"/>
      <w:marBottom w:val="0"/>
      <w:divBdr>
        <w:top w:val="none" w:sz="0" w:space="0" w:color="auto"/>
        <w:left w:val="none" w:sz="0" w:space="0" w:color="auto"/>
        <w:bottom w:val="none" w:sz="0" w:space="0" w:color="auto"/>
        <w:right w:val="none" w:sz="0" w:space="0" w:color="auto"/>
      </w:divBdr>
    </w:div>
    <w:div w:id="1982809828">
      <w:bodyDiv w:val="1"/>
      <w:marLeft w:val="0"/>
      <w:marRight w:val="0"/>
      <w:marTop w:val="0"/>
      <w:marBottom w:val="0"/>
      <w:divBdr>
        <w:top w:val="none" w:sz="0" w:space="0" w:color="auto"/>
        <w:left w:val="none" w:sz="0" w:space="0" w:color="auto"/>
        <w:bottom w:val="none" w:sz="0" w:space="0" w:color="auto"/>
        <w:right w:val="none" w:sz="0" w:space="0" w:color="auto"/>
      </w:divBdr>
    </w:div>
    <w:div w:id="1993100311">
      <w:bodyDiv w:val="1"/>
      <w:marLeft w:val="0"/>
      <w:marRight w:val="0"/>
      <w:marTop w:val="0"/>
      <w:marBottom w:val="0"/>
      <w:divBdr>
        <w:top w:val="none" w:sz="0" w:space="0" w:color="auto"/>
        <w:left w:val="none" w:sz="0" w:space="0" w:color="auto"/>
        <w:bottom w:val="none" w:sz="0" w:space="0" w:color="auto"/>
        <w:right w:val="none" w:sz="0" w:space="0" w:color="auto"/>
      </w:divBdr>
    </w:div>
    <w:div w:id="2023236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broadband.fund@adeca.alabama.gov" TargetMode="External" Id="rId13" /><Relationship Type="http://schemas.openxmlformats.org/officeDocument/2006/relationships/hyperlink" Target="https://adeca.alabama.gov/alipv1v2/" TargetMode="External" Id="rId18" /><Relationship Type="http://schemas.openxmlformats.org/officeDocument/2006/relationships/image" Target="media/image8.jpeg" Id="rId26" /><Relationship Type="http://schemas.openxmlformats.org/officeDocument/2006/relationships/image" Target="media/image21.png" Id="rId39" /><Relationship Type="http://schemas.openxmlformats.org/officeDocument/2006/relationships/hyperlink" Target="https://adeca.alabama.gov/alipv1v2/" TargetMode="External" Id="rId21" /><Relationship Type="http://schemas.openxmlformats.org/officeDocument/2006/relationships/image" Target="media/image16.jpeg" Id="rId34" /><Relationship Type="http://schemas.openxmlformats.org/officeDocument/2006/relationships/hyperlink" Target="https://arc-sos.state.al.us/ucp/B01151AA.AST.pdf" TargetMode="External" Id="rId42" /><Relationship Type="http://schemas.openxmlformats.org/officeDocument/2006/relationships/hyperlink" Target="https://adeca.alabama.gov/alipv1v2/" TargetMode="External" Id="rId47" /><Relationship Type="http://schemas.openxmlformats.org/officeDocument/2006/relationships/fontTable" Target="fontTable.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image" Target="media/image11.jpeg" Id="rId29" /><Relationship Type="http://schemas.openxmlformats.org/officeDocument/2006/relationships/image" Target="media/image1.png" Id="rId11" /><Relationship Type="http://schemas.openxmlformats.org/officeDocument/2006/relationships/image" Target="media/image6.jpeg" Id="rId24" /><Relationship Type="http://schemas.openxmlformats.org/officeDocument/2006/relationships/image" Target="media/image14.jpeg" Id="rId32" /><Relationship Type="http://schemas.openxmlformats.org/officeDocument/2006/relationships/image" Target="media/image19.jpeg" Id="rId37" /><Relationship Type="http://schemas.openxmlformats.org/officeDocument/2006/relationships/chart" Target="charts/chart1.xml" Id="rId40" /><Relationship Type="http://schemas.openxmlformats.org/officeDocument/2006/relationships/hyperlink" Target="https://alison.legislature.state.al.us/code-of-alabama" TargetMode="External" Id="rId45" /><Relationship Type="http://schemas.openxmlformats.org/officeDocument/2006/relationships/numbering" Target="numbering.xml" Id="rId5" /><Relationship Type="http://schemas.openxmlformats.org/officeDocument/2006/relationships/hyperlink" Target="https://adeca.alabama.gov/alipv1v2/" TargetMode="External" Id="rId15" /><Relationship Type="http://schemas.openxmlformats.org/officeDocument/2006/relationships/image" Target="media/image5.png" Id="rId23" /><Relationship Type="http://schemas.openxmlformats.org/officeDocument/2006/relationships/image" Target="media/image10.jpeg" Id="rId28" /><Relationship Type="http://schemas.openxmlformats.org/officeDocument/2006/relationships/image" Target="media/image18.jpeg" Id="rId36" /><Relationship Type="http://schemas.openxmlformats.org/officeDocument/2006/relationships/header" Target="header1.xml" Id="rId49" /><Relationship Type="http://schemas.openxmlformats.org/officeDocument/2006/relationships/endnotes" Target="endnotes.xml" Id="rId10" /><Relationship Type="http://schemas.openxmlformats.org/officeDocument/2006/relationships/hyperlink" Target="https://adeca.alabama.gov/alipv1v2/" TargetMode="External" Id="rId19" /><Relationship Type="http://schemas.openxmlformats.org/officeDocument/2006/relationships/image" Target="media/image13.jpeg" Id="rId31" /><Relationship Type="http://schemas.openxmlformats.org/officeDocument/2006/relationships/hyperlink" Target="https://arc-sos.state.al.us/ucp/B19151AA.ABJ.pdf" TargetMode="External" Id="rId44" /><Relationship Type="http://schemas.openxmlformats.org/officeDocument/2006/relationships/theme" Target="theme/theme1.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yperlink" Target="https://adeca.alabama.gov/alipv1v2/" TargetMode="External" Id="rId22" /><Relationship Type="http://schemas.openxmlformats.org/officeDocument/2006/relationships/image" Target="media/image9.jpeg" Id="rId27" /><Relationship Type="http://schemas.openxmlformats.org/officeDocument/2006/relationships/image" Target="media/image12.jpeg" Id="rId30" /><Relationship Type="http://schemas.openxmlformats.org/officeDocument/2006/relationships/image" Target="media/image17.jpeg" Id="rId35" /><Relationship Type="http://schemas.openxmlformats.org/officeDocument/2006/relationships/hyperlink" Target="https://alison.legislature.state.al.us/code-of-alabama" TargetMode="External" Id="rId43" /><Relationship Type="http://schemas.openxmlformats.org/officeDocument/2006/relationships/hyperlink" Target="https://adeca.alabama.gov/alipv1v2/" TargetMode="External" Id="rId48" /><Relationship Type="http://schemas.openxmlformats.org/officeDocument/2006/relationships/webSettings" Target="webSettings.xml" Id="rId8" /><Relationship Type="http://schemas.openxmlformats.org/officeDocument/2006/relationships/glossaryDocument" Target="glossary/document.xml" Id="rId51" /><Relationship Type="http://schemas.openxmlformats.org/officeDocument/2006/relationships/customXml" Target="../customXml/item3.xml" Id="rId3" /><Relationship Type="http://schemas.openxmlformats.org/officeDocument/2006/relationships/hyperlink" Target="https://adeca.alabama.gov/alipv1v2" TargetMode="External" Id="rId12" /><Relationship Type="http://schemas.openxmlformats.org/officeDocument/2006/relationships/image" Target="media/image4.png" Id="rId17" /><Relationship Type="http://schemas.openxmlformats.org/officeDocument/2006/relationships/image" Target="media/image7.jpeg" Id="rId25" /><Relationship Type="http://schemas.openxmlformats.org/officeDocument/2006/relationships/image" Target="media/image15.jpeg" Id="rId33" /><Relationship Type="http://schemas.openxmlformats.org/officeDocument/2006/relationships/image" Target="media/image20.jpeg" Id="rId38" /><Relationship Type="http://schemas.openxmlformats.org/officeDocument/2006/relationships/hyperlink" Target="https://adeca.alabama.gov/alipv1v2/" TargetMode="External" Id="rId46" /><Relationship Type="http://schemas.openxmlformats.org/officeDocument/2006/relationships/hyperlink" Target="https://broadband.alabama.gov/profiles/" TargetMode="External" Id="rId20" /><Relationship Type="http://schemas.openxmlformats.org/officeDocument/2006/relationships/chart" Target="charts/chart2.xml" Id="rId41" /><Relationship Type="http://schemas.openxmlformats.org/officeDocument/2006/relationships/customXml" Target="../customXml/item1.xml" Id="rId1" /><Relationship Type="http://schemas.openxmlformats.org/officeDocument/2006/relationships/styles" Target="styles.xml" Id="rId6" /></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26" Type="http://schemas.openxmlformats.org/officeDocument/2006/relationships/hyperlink" Target="https://broadbandusa.ntia.gov/sites/default/files/2023-10/BEAD_LOC_Waiver_Notice_10.23.23.pdf" TargetMode="External"/><Relationship Id="rId21" Type="http://schemas.openxmlformats.org/officeDocument/2006/relationships/hyperlink" Target="https://adeca.alabama.gov/alanchormiddlemile/" TargetMode="External"/><Relationship Id="rId42" Type="http://schemas.openxmlformats.org/officeDocument/2006/relationships/hyperlink" Target="https://www.dol.gov/agencies/eta/lsa" TargetMode="External"/><Relationship Id="rId47" Type="http://schemas.openxmlformats.org/officeDocument/2006/relationships/hyperlink" Target="https://www.madeinalabama.com/business-development/small-business/" TargetMode="External"/><Relationship Id="rId63" Type="http://schemas.openxmlformats.org/officeDocument/2006/relationships/hyperlink" Target="https://statesummaries.ncics.org/chapter/al/" TargetMode="External"/><Relationship Id="rId68" Type="http://schemas.openxmlformats.org/officeDocument/2006/relationships/hyperlink" Target="https://droughtmonitor.unl.edu/" TargetMode="External"/><Relationship Id="rId84" Type="http://schemas.openxmlformats.org/officeDocument/2006/relationships/hyperlink" Target="https://adeca.alabama.gov/grant-application-and-implementation/" TargetMode="External"/><Relationship Id="rId89" Type="http://schemas.openxmlformats.org/officeDocument/2006/relationships/hyperlink" Target="https://www.fcc.gov/general/lifeline-program-low-income-consumers" TargetMode="External"/><Relationship Id="rId112" Type="http://schemas.openxmlformats.org/officeDocument/2006/relationships/hyperlink" Target="https://oit.alabama.gov/cybersecurity/" TargetMode="External"/><Relationship Id="rId16" Type="http://schemas.openxmlformats.org/officeDocument/2006/relationships/hyperlink" Target="https://aiac.alabama.gov/Tribal-Map.aspx" TargetMode="External"/><Relationship Id="rId107" Type="http://schemas.openxmlformats.org/officeDocument/2006/relationships/hyperlink" Target="https://www.oig.doc.gov/Pages/Hotline.aspx" TargetMode="External"/><Relationship Id="rId11" Type="http://schemas.openxmlformats.org/officeDocument/2006/relationships/hyperlink" Target="https://adeca.alabama.gov/asdop/" TargetMode="External"/><Relationship Id="rId32" Type="http://schemas.openxmlformats.org/officeDocument/2006/relationships/hyperlink" Target="https://www.brookings.edu/wp-content/uploads/2021/03/Federal-infrastructure-investment.pdf" TargetMode="External"/><Relationship Id="rId37" Type="http://schemas.openxmlformats.org/officeDocument/2006/relationships/hyperlink" Target="https://adeca.alabama.gov/ombe/" TargetMode="External"/><Relationship Id="rId53" Type="http://schemas.openxmlformats.org/officeDocument/2006/relationships/hyperlink" Target="https://www.dot.state.al.us/publications/Maintenance/pdf/Permits/PermitManual.pdf" TargetMode="External"/><Relationship Id="rId58" Type="http://schemas.openxmlformats.org/officeDocument/2006/relationships/hyperlink" Target="https://www.tva.com/about-tva/guidelines-and-reports" TargetMode="External"/><Relationship Id="rId74" Type="http://schemas.openxmlformats.org/officeDocument/2006/relationships/hyperlink" Target="https://hazards.fema.gov/nri/heat-wave" TargetMode="External"/><Relationship Id="rId79" Type="http://schemas.openxmlformats.org/officeDocument/2006/relationships/hyperlink" Target="https://hazards.fema.gov/nri/landslide" TargetMode="External"/><Relationship Id="rId102" Type="http://schemas.openxmlformats.org/officeDocument/2006/relationships/hyperlink" Target="https://adeca.alabama.gov/wp-content/uploads/Alabama-Capital-Projects-Fund-Program-Guide.pdf" TargetMode="External"/><Relationship Id="rId5" Type="http://schemas.openxmlformats.org/officeDocument/2006/relationships/hyperlink" Target="https://adeca.alabama.gov/asdop/" TargetMode="External"/><Relationship Id="rId90" Type="http://schemas.openxmlformats.org/officeDocument/2006/relationships/hyperlink" Target="https://www.fcc.gov/acp" TargetMode="External"/><Relationship Id="rId95" Type="http://schemas.openxmlformats.org/officeDocument/2006/relationships/hyperlink" Target="https://napawash.org/uploads/Academy_Studies/NAPA_EPA_FINAL_REPORT_110117.pdf" TargetMode="External"/><Relationship Id="rId22" Type="http://schemas.openxmlformats.org/officeDocument/2006/relationships/hyperlink" Target="https://broadbandusa.ntia.doc.gov/sites/default/files/2023-10/BEAD_Initial_Proposal_Guidance_Volumes_I_II_10-2023.pdf" TargetMode="External"/><Relationship Id="rId27" Type="http://schemas.openxmlformats.org/officeDocument/2006/relationships/hyperlink" Target="https://www.commerce.gov/sites/default/files/2023-09/BEAD%20BABA%20Waiver%20Replacement.pdf" TargetMode="External"/><Relationship Id="rId43" Type="http://schemas.openxmlformats.org/officeDocument/2006/relationships/hyperlink" Target="https://data.census.gov/all/profiles?q=Alabama+Business+and+Economy" TargetMode="External"/><Relationship Id="rId48" Type="http://schemas.openxmlformats.org/officeDocument/2006/relationships/hyperlink" Target="https://www.sba.gov/district/alabama" TargetMode="External"/><Relationship Id="rId64" Type="http://schemas.openxmlformats.org/officeDocument/2006/relationships/hyperlink" Target="https://ema.alabama.gov/" TargetMode="External"/><Relationship Id="rId69" Type="http://schemas.openxmlformats.org/officeDocument/2006/relationships/hyperlink" Target="https://droughtmonitor.unl.edu/CurrentMap/StateDroughtMonitor.aspx?AL" TargetMode="External"/><Relationship Id="rId80" Type="http://schemas.openxmlformats.org/officeDocument/2006/relationships/hyperlink" Target="https://hazards.fema.gov/nri/winter-weather" TargetMode="External"/><Relationship Id="rId85" Type="http://schemas.openxmlformats.org/officeDocument/2006/relationships/hyperlink" Target="https://adeca.alabama.gov/wp-content/uploads/2023-ABAF-Rating-Criteria.xlsx" TargetMode="External"/><Relationship Id="rId12" Type="http://schemas.openxmlformats.org/officeDocument/2006/relationships/hyperlink" Target="https://studentfreedominitiative.org/" TargetMode="External"/><Relationship Id="rId17" Type="http://schemas.openxmlformats.org/officeDocument/2006/relationships/hyperlink" Target="https://broadband.alabama.gov/broadband-maps/" TargetMode="External"/><Relationship Id="rId33" Type="http://schemas.openxmlformats.org/officeDocument/2006/relationships/hyperlink" Target="https://peri.umass.edu/publication/item/1356-impacts-of-the-reimagine-appalachia-clean-energy-transition-programs-for-ohio" TargetMode="External"/><Relationship Id="rId38" Type="http://schemas.openxmlformats.org/officeDocument/2006/relationships/hyperlink" Target="https://aoma.alabama.gov/" TargetMode="External"/><Relationship Id="rId59" Type="http://schemas.openxmlformats.org/officeDocument/2006/relationships/hyperlink" Target="https://florenceal.org/departments/planning_and_community_development/resources.php" TargetMode="External"/><Relationship Id="rId103" Type="http://schemas.openxmlformats.org/officeDocument/2006/relationships/hyperlink" Target="https://adeca.alabama.gov/wp-content/uploads/AIMM-Program-Guide.pdf" TargetMode="External"/><Relationship Id="rId108" Type="http://schemas.openxmlformats.org/officeDocument/2006/relationships/hyperlink" Target="https://adeca.alabama.gov/grant-application-and-implementation/" TargetMode="External"/><Relationship Id="rId54" Type="http://schemas.openxmlformats.org/officeDocument/2006/relationships/hyperlink" Target="https://www.dot.state.al.us/projects/regionProjects.html" TargetMode="External"/><Relationship Id="rId70" Type="http://schemas.openxmlformats.org/officeDocument/2006/relationships/hyperlink" Target="https://adeca.alabama.gov/drought/alabama-drought-plan/" TargetMode="External"/><Relationship Id="rId75" Type="http://schemas.openxmlformats.org/officeDocument/2006/relationships/hyperlink" Target="https://hazards.fema.gov/nri/cold-wave" TargetMode="External"/><Relationship Id="rId91" Type="http://schemas.openxmlformats.org/officeDocument/2006/relationships/hyperlink" Target="https://www.fcc.gov/economics-analytics/industry-analysis-division/urban-rate-survey-data-resources" TargetMode="External"/><Relationship Id="rId96" Type="http://schemas.openxmlformats.org/officeDocument/2006/relationships/hyperlink" Target="https://www.awwa.org/Portals/0/AWWA/ETS/Resources/AffordabilityAssessmentTool.pdf" TargetMode="External"/><Relationship Id="rId1" Type="http://schemas.openxmlformats.org/officeDocument/2006/relationships/hyperlink" Target="https://broadbandusa.ntia.doc.gov/sites/default/files/2022-05/BEAD%20NOFO.pdf" TargetMode="External"/><Relationship Id="rId6" Type="http://schemas.openxmlformats.org/officeDocument/2006/relationships/hyperlink" Target="https://www.congress.gov/bill/117th-congress/house-bill/3684/text" TargetMode="External"/><Relationship Id="rId15" Type="http://schemas.openxmlformats.org/officeDocument/2006/relationships/hyperlink" Target="https://www.doi.gov/sites/doi.gov/files/uploads/12_bia_regions.pdf" TargetMode="External"/><Relationship Id="rId23" Type="http://schemas.openxmlformats.org/officeDocument/2006/relationships/hyperlink" Target="https://adeca.alabama.gov/alanchormiddlemile/" TargetMode="External"/><Relationship Id="rId28" Type="http://schemas.openxmlformats.org/officeDocument/2006/relationships/hyperlink" Target="https://governor.alabama.gov/newsroom/2023/04/governor-ivey-signs-the-game-plan-legislation-strengthening-alabamas-economic-future/" TargetMode="External"/><Relationship Id="rId36" Type="http://schemas.openxmlformats.org/officeDocument/2006/relationships/hyperlink" Target="https://doi.org/10.1111/pirs.12450" TargetMode="External"/><Relationship Id="rId49" Type="http://schemas.openxmlformats.org/officeDocument/2006/relationships/hyperlink" Target="https://www.sba.gov/district/alabama/doing-business-alabama-district" TargetMode="External"/><Relationship Id="rId57" Type="http://schemas.openxmlformats.org/officeDocument/2006/relationships/hyperlink" Target="https://tva-azr-eastus-cdn-ep-tvawcm-prd.azureedge.net/cdn-tvawcma/docs/default-source/about-tva/guidelines-reports/lpc/broadband_resolution_memo.pdf?sfvrsn=2f3d6c92_2" TargetMode="External"/><Relationship Id="rId106" Type="http://schemas.openxmlformats.org/officeDocument/2006/relationships/hyperlink" Target="https://adeca.alabama.gov/fraud/" TargetMode="External"/><Relationship Id="rId10" Type="http://schemas.openxmlformats.org/officeDocument/2006/relationships/hyperlink" Target="https://adeca.alabama.gov/broadband-webinars-and-workshops/" TargetMode="External"/><Relationship Id="rId31" Type="http://schemas.openxmlformats.org/officeDocument/2006/relationships/hyperlink" Target="https://www.economicmodeling.com/" TargetMode="External"/><Relationship Id="rId44" Type="http://schemas.openxmlformats.org/officeDocument/2006/relationships/hyperlink" Target="https://aoma.alabama.gov/" TargetMode="External"/><Relationship Id="rId52" Type="http://schemas.openxmlformats.org/officeDocument/2006/relationships/hyperlink" Target="https://www.dropbox.com/s/ei6o8rwiup9l8to/NCHRP%20RR%201053%20Decision_Support_Tool.xlsx?dl=0" TargetMode="External"/><Relationship Id="rId60" Type="http://schemas.openxmlformats.org/officeDocument/2006/relationships/hyperlink" Target="https://broadband.alabama.gov/broadband-maps/" TargetMode="External"/><Relationship Id="rId65" Type="http://schemas.openxmlformats.org/officeDocument/2006/relationships/hyperlink" Target="https://ema.alabama.gov/wp-content/uploads/2018/11/state-of-alabama_state-hazard-mitigation-plan-2018-update_final_07182018.pdf" TargetMode="External"/><Relationship Id="rId73" Type="http://schemas.openxmlformats.org/officeDocument/2006/relationships/hyperlink" Target="https://www.iea.org/commentaries/the-world-s-electricity-systems-must-be-ready-to-counter-the-growing-climate-threat" TargetMode="External"/><Relationship Id="rId78" Type="http://schemas.openxmlformats.org/officeDocument/2006/relationships/hyperlink" Target="https://hazards.fema.gov/nri/strong-wind" TargetMode="External"/><Relationship Id="rId81" Type="http://schemas.openxmlformats.org/officeDocument/2006/relationships/hyperlink" Target="https://hazards.fema.gov/nri/ice-storm" TargetMode="External"/><Relationship Id="rId86" Type="http://schemas.openxmlformats.org/officeDocument/2006/relationships/hyperlink" Target="https://adeca.alabama.gov/wp-content/uploads/CPF-Rating-Criteria.xlsx" TargetMode="External"/><Relationship Id="rId94" Type="http://schemas.openxmlformats.org/officeDocument/2006/relationships/hyperlink" Target="https://cdn2.hubspot.net/hubfs/4408380/PDF/General-Housing-Homelessness/who-can-afford.pdf" TargetMode="External"/><Relationship Id="rId99" Type="http://schemas.openxmlformats.org/officeDocument/2006/relationships/hyperlink" Target="https://www.census.gov/quickfacts/fact/table/AL,US/INC110221" TargetMode="External"/><Relationship Id="rId101" Type="http://schemas.openxmlformats.org/officeDocument/2006/relationships/hyperlink" Target="https://adeca.alabama.gov/wp-content/uploads/Alabama-Broadband-Accessibility-Act.pdf" TargetMode="External"/><Relationship Id="rId4" Type="http://schemas.openxmlformats.org/officeDocument/2006/relationships/hyperlink" Target="https://broadband.alabama.gov/broadband-maps/" TargetMode="External"/><Relationship Id="rId9" Type="http://schemas.openxmlformats.org/officeDocument/2006/relationships/hyperlink" Target="https://adeca.alabama.gov/broadband-alabama-mailing-list/" TargetMode="External"/><Relationship Id="rId13" Type="http://schemas.openxmlformats.org/officeDocument/2006/relationships/hyperlink" Target="https://choiceuniontown.org/" TargetMode="External"/><Relationship Id="rId18" Type="http://schemas.openxmlformats.org/officeDocument/2006/relationships/hyperlink" Target="https://adeca.alabama.gov/broadband-alabama-mailing-list/" TargetMode="External"/><Relationship Id="rId39" Type="http://schemas.openxmlformats.org/officeDocument/2006/relationships/hyperlink" Target="https://alabamabuys.gov/page.aspx/en/usr/login" TargetMode="External"/><Relationship Id="rId109" Type="http://schemas.openxmlformats.org/officeDocument/2006/relationships/hyperlink" Target="https://adeca.alabama.gov/wp-content/uploads/Alabama-Capital-Projects-Fund-Program-Guide.pdf" TargetMode="External"/><Relationship Id="rId34" Type="http://schemas.openxmlformats.org/officeDocument/2006/relationships/hyperlink" Target="https://www.wallace.edu/news_announcements/governor-kay-ivey-makes-statewide-broadband-access-announcement-at-wccds-dothan-campus/" TargetMode="External"/><Relationship Id="rId50" Type="http://schemas.openxmlformats.org/officeDocument/2006/relationships/hyperlink" Target="https://statescoop.com/alan-davidson-ntia-state-broadband-permits/" TargetMode="External"/><Relationship Id="rId55" Type="http://schemas.openxmlformats.org/officeDocument/2006/relationships/hyperlink" Target="https://www.fcc.gov/sites/default/files/ad-hoc-commitee-survey-04242018.pdf" TargetMode="External"/><Relationship Id="rId76" Type="http://schemas.openxmlformats.org/officeDocument/2006/relationships/hyperlink" Target="https://hazards.fema.gov/nri/riverine-flooding" TargetMode="External"/><Relationship Id="rId97" Type="http://schemas.openxmlformats.org/officeDocument/2006/relationships/hyperlink" Target="https://www.awwa.org/Portals/0/AWWA/Government/ImprovingtheEvaluationofHouseholdLevelAffordabilityinSDWARulemakingNewApproaches.pdf" TargetMode="External"/><Relationship Id="rId104" Type="http://schemas.openxmlformats.org/officeDocument/2006/relationships/hyperlink" Target="https://adeca.alabama.gov/wp-content/uploads/Alabama-Capital-Projects-Fund-Application.pdf" TargetMode="External"/><Relationship Id="rId7" Type="http://schemas.openxmlformats.org/officeDocument/2006/relationships/hyperlink" Target="https://adeca.alabama.gov/alabama-community-broadband-technical-assistance-program/" TargetMode="External"/><Relationship Id="rId71" Type="http://schemas.openxmlformats.org/officeDocument/2006/relationships/hyperlink" Target="https://community.fema.gov/ProtectiveActions/s/article/Earthquake" TargetMode="External"/><Relationship Id="rId92" Type="http://schemas.openxmlformats.org/officeDocument/2006/relationships/hyperlink" Target="https://www.fcc.gov/economics-analytics/industry-analysis-division/urban-rate-survey-data-resources" TargetMode="External"/><Relationship Id="rId2" Type="http://schemas.openxmlformats.org/officeDocument/2006/relationships/hyperlink" Target="https://adeca.alabama.gov/wp-content/uploads/Alabama-Connectivity-Plan.pdf" TargetMode="External"/><Relationship Id="rId29" Type="http://schemas.openxmlformats.org/officeDocument/2006/relationships/hyperlink" Target="https://www.brookings.edu/research/how-federal-infrastructure-investment-can-put-america-to-work/" TargetMode="External"/><Relationship Id="rId24" Type="http://schemas.openxmlformats.org/officeDocument/2006/relationships/hyperlink" Target="https://governor.alabama.gov/newsroom/2023/04/governor-ivey-signs-the-game-plan-legislation-strengthening-alabamas-economic-future/" TargetMode="External"/><Relationship Id="rId40" Type="http://schemas.openxmlformats.org/officeDocument/2006/relationships/hyperlink" Target="https://adeca.alabama.gov/wp-content/uploads/OMBE-certified-businesses.xlsx" TargetMode="External"/><Relationship Id="rId45" Type="http://schemas.openxmlformats.org/officeDocument/2006/relationships/hyperlink" Target="https://www.mbda.gov/business-center/alabama-mbda-business-center" TargetMode="External"/><Relationship Id="rId66" Type="http://schemas.openxmlformats.org/officeDocument/2006/relationships/hyperlink" Target="https://ema.alabama.gov/county-mitigation-plan/" TargetMode="External"/><Relationship Id="rId87" Type="http://schemas.openxmlformats.org/officeDocument/2006/relationships/hyperlink" Target="https://adeca.alabama.gov/wp-content/uploads/AIMM-Program-Guide.pdf" TargetMode="External"/><Relationship Id="rId110" Type="http://schemas.openxmlformats.org/officeDocument/2006/relationships/hyperlink" Target="https://adeca.alabama.gov/wp-content/uploads/AIMM-Program-Guide.pdf" TargetMode="External"/><Relationship Id="rId61" Type="http://schemas.openxmlformats.org/officeDocument/2006/relationships/hyperlink" Target="https://www.fhwa.dot.gov/policy/otps/policy_brief_dig_once.pdf" TargetMode="External"/><Relationship Id="rId82" Type="http://schemas.openxmlformats.org/officeDocument/2006/relationships/hyperlink" Target="https://adeca.alabama.gov/affordable-connectivity-program/" TargetMode="External"/><Relationship Id="rId19" Type="http://schemas.openxmlformats.org/officeDocument/2006/relationships/hyperlink" Target="https://adeca.alabama.gov/grant-application-and-implementation/" TargetMode="External"/><Relationship Id="rId14" Type="http://schemas.openxmlformats.org/officeDocument/2006/relationships/hyperlink" Target="https://states.aarp.org/alabama/broadband-expansion-in-alabama-make-your-voice-heard" TargetMode="External"/><Relationship Id="rId30" Type="http://schemas.openxmlformats.org/officeDocument/2006/relationships/hyperlink" Target="https://reimagineappalachia.org/wp-content/uploads/2020/10/Pollin-et-al-OHIO-Reimagine-Appalachia-and-Clean-Energy-Programs-10-19-20.pdf" TargetMode="External"/><Relationship Id="rId35" Type="http://schemas.openxmlformats.org/officeDocument/2006/relationships/hyperlink" Target="https://buildbroadbandbetter.org/system/files/2023-09/CWA-Broadband-HIgh-Road-Labor-Report-2023.pdf" TargetMode="External"/><Relationship Id="rId56" Type="http://schemas.openxmlformats.org/officeDocument/2006/relationships/hyperlink" Target="http://alisondb.legislature.state.al.us/alison/codeofalabama/1975/coatoc.htm" TargetMode="External"/><Relationship Id="rId77" Type="http://schemas.openxmlformats.org/officeDocument/2006/relationships/hyperlink" Target="https://hazards.fema.gov/nri/hail" TargetMode="External"/><Relationship Id="rId100" Type="http://schemas.openxmlformats.org/officeDocument/2006/relationships/hyperlink" Target="https://alison.legislature.state.al.us/session-information-sublanding" TargetMode="External"/><Relationship Id="rId105" Type="http://schemas.openxmlformats.org/officeDocument/2006/relationships/hyperlink" Target="https://adeca.alabama.gov/wp-content/uploads/AIMM-Application-and-Guide.pdf" TargetMode="External"/><Relationship Id="rId8" Type="http://schemas.openxmlformats.org/officeDocument/2006/relationships/hyperlink" Target="https://broadband.alabama.gov/profiles/" TargetMode="External"/><Relationship Id="rId51" Type="http://schemas.openxmlformats.org/officeDocument/2006/relationships/hyperlink" Target="https://nap.nationalacademies.org/catalog/27163/valuation-and-compensation-approaches-in-utility-accommodation-a-guide" TargetMode="External"/><Relationship Id="rId72" Type="http://schemas.openxmlformats.org/officeDocument/2006/relationships/hyperlink" Target="https://community.fema.gov/ProtectiveActions/s/article/Extreme-Heat" TargetMode="External"/><Relationship Id="rId93" Type="http://schemas.openxmlformats.org/officeDocument/2006/relationships/hyperlink" Target="https://www.itu.int/en/ITU-D/Statistics/Documents/publications/prices2022/ITU_Price_Brief_2022.pdf" TargetMode="External"/><Relationship Id="rId98" Type="http://schemas.openxmlformats.org/officeDocument/2006/relationships/hyperlink" Target="https://www.pewtrusts.org/en/research-and-analysis/articles/2023/08/30/is-broadband-affordable-for-middle-class-families" TargetMode="External"/><Relationship Id="rId3" Type="http://schemas.openxmlformats.org/officeDocument/2006/relationships/hyperlink" Target="https://adeca.alabama.gov/beadplan/" TargetMode="External"/><Relationship Id="rId25" Type="http://schemas.openxmlformats.org/officeDocument/2006/relationships/hyperlink" Target="https://www.commerce.gov/sites/default/files/2023-09/BEAD%20BABA%20Waiver%20Replacement.pdf" TargetMode="External"/><Relationship Id="rId46" Type="http://schemas.openxmlformats.org/officeDocument/2006/relationships/hyperlink" Target="https://www.mbda.gov/business-center/grant-recipient-dannon-project" TargetMode="External"/><Relationship Id="rId67" Type="http://schemas.openxmlformats.org/officeDocument/2006/relationships/hyperlink" Target="https://ema.alabama.gov/state-of-alabama-emergency-operations-plan/" TargetMode="External"/><Relationship Id="rId20" Type="http://schemas.openxmlformats.org/officeDocument/2006/relationships/hyperlink" Target="https://adeca.alabama.gov/alcapitalprojectsfund/" TargetMode="External"/><Relationship Id="rId41" Type="http://schemas.openxmlformats.org/officeDocument/2006/relationships/hyperlink" Target="https://www.archives.gov/federal-register/codification/executive-order/10582.html" TargetMode="External"/><Relationship Id="rId62" Type="http://schemas.openxmlformats.org/officeDocument/2006/relationships/hyperlink" Target="https://www.blm.gov/maps" TargetMode="External"/><Relationship Id="rId83" Type="http://schemas.openxmlformats.org/officeDocument/2006/relationships/hyperlink" Target="https://www.benton.org/blog/connecting-low-income-families-using-broadband-vouchers" TargetMode="External"/><Relationship Id="rId88" Type="http://schemas.openxmlformats.org/officeDocument/2006/relationships/hyperlink" Target="https://docs.fcc.gov/public/attachments/DA-23-194A1.pdf" TargetMode="External"/><Relationship Id="rId111" Type="http://schemas.openxmlformats.org/officeDocument/2006/relationships/hyperlink" Target="https://www.madeinalabama.com/industries/industry/cyber-securit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chulhof\Documents\CTC%20templates\CTC%20Report%20Template%202020.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'Q10'!$N$67</c:f>
              <c:strCache>
                <c:ptCount val="1"/>
                <c:pt idx="0">
                  <c:v>$0 - $19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'Q10'!$O$66:$Q$66</c:f>
              <c:strCache>
                <c:ptCount val="3"/>
                <c:pt idx="0">
                  <c:v>Less than $50,000</c:v>
                </c:pt>
                <c:pt idx="1">
                  <c:v>$50,000 to $99,999</c:v>
                </c:pt>
                <c:pt idx="2">
                  <c:v>$100,000 or more</c:v>
                </c:pt>
              </c:strCache>
            </c:strRef>
          </c:cat>
          <c:val>
            <c:numRef>
              <c:f>'Q10'!$O$67:$Q$67</c:f>
              <c:numCache>
                <c:formatCode>0%</c:formatCode>
                <c:ptCount val="3"/>
                <c:pt idx="0">
                  <c:v>9.795909310560473E-2</c:v>
                </c:pt>
                <c:pt idx="1">
                  <c:v>7.6670539476067379E-3</c:v>
                </c:pt>
                <c:pt idx="2">
                  <c:v>7.7976857628922055E-3</c:v>
                </c:pt>
              </c:numCache>
            </c:numRef>
          </c:val>
          <c:extLst>
            <c:ext xmlns:c16="http://schemas.microsoft.com/office/drawing/2014/chart" uri="{C3380CC4-5D6E-409C-BE32-E72D297353CC}">
              <c16:uniqueId val="{00000000-FE16-4D5D-ABCA-1997B7DD31F3}"/>
            </c:ext>
          </c:extLst>
        </c:ser>
        <c:ser>
          <c:idx val="1"/>
          <c:order val="1"/>
          <c:tx>
            <c:strRef>
              <c:f>'Q10'!$N$68</c:f>
              <c:strCache>
                <c:ptCount val="1"/>
                <c:pt idx="0">
                  <c:v>$20 - $39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'Q10'!$O$66:$Q$66</c:f>
              <c:strCache>
                <c:ptCount val="3"/>
                <c:pt idx="0">
                  <c:v>Less than $50,000</c:v>
                </c:pt>
                <c:pt idx="1">
                  <c:v>$50,000 to $99,999</c:v>
                </c:pt>
                <c:pt idx="2">
                  <c:v>$100,000 or more</c:v>
                </c:pt>
              </c:strCache>
            </c:strRef>
          </c:cat>
          <c:val>
            <c:numRef>
              <c:f>'Q10'!$O$68:$Q$68</c:f>
              <c:numCache>
                <c:formatCode>0%</c:formatCode>
                <c:ptCount val="3"/>
                <c:pt idx="0">
                  <c:v>8.6568820384609571E-2</c:v>
                </c:pt>
                <c:pt idx="1">
                  <c:v>1.6902162057445748E-2</c:v>
                </c:pt>
                <c:pt idx="2">
                  <c:v>1.7609356446119984E-2</c:v>
                </c:pt>
              </c:numCache>
            </c:numRef>
          </c:val>
          <c:extLst>
            <c:ext xmlns:c16="http://schemas.microsoft.com/office/drawing/2014/chart" uri="{C3380CC4-5D6E-409C-BE32-E72D297353CC}">
              <c16:uniqueId val="{00000001-FE16-4D5D-ABCA-1997B7DD31F3}"/>
            </c:ext>
          </c:extLst>
        </c:ser>
        <c:ser>
          <c:idx val="2"/>
          <c:order val="2"/>
          <c:tx>
            <c:strRef>
              <c:f>'Q10'!$N$69</c:f>
              <c:strCache>
                <c:ptCount val="1"/>
                <c:pt idx="0">
                  <c:v>$40 - $59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'Q10'!$O$66:$Q$66</c:f>
              <c:strCache>
                <c:ptCount val="3"/>
                <c:pt idx="0">
                  <c:v>Less than $50,000</c:v>
                </c:pt>
                <c:pt idx="1">
                  <c:v>$50,000 to $99,999</c:v>
                </c:pt>
                <c:pt idx="2">
                  <c:v>$100,000 or more</c:v>
                </c:pt>
              </c:strCache>
            </c:strRef>
          </c:cat>
          <c:val>
            <c:numRef>
              <c:f>'Q10'!$O$69:$Q$69</c:f>
              <c:numCache>
                <c:formatCode>0%</c:formatCode>
                <c:ptCount val="3"/>
                <c:pt idx="0">
                  <c:v>0.18871373560110333</c:v>
                </c:pt>
                <c:pt idx="1">
                  <c:v>0.12928189804767393</c:v>
                </c:pt>
                <c:pt idx="2">
                  <c:v>0.15563316673075275</c:v>
                </c:pt>
              </c:numCache>
            </c:numRef>
          </c:val>
          <c:extLst>
            <c:ext xmlns:c16="http://schemas.microsoft.com/office/drawing/2014/chart" uri="{C3380CC4-5D6E-409C-BE32-E72D297353CC}">
              <c16:uniqueId val="{00000002-FE16-4D5D-ABCA-1997B7DD31F3}"/>
            </c:ext>
          </c:extLst>
        </c:ser>
        <c:ser>
          <c:idx val="3"/>
          <c:order val="3"/>
          <c:tx>
            <c:strRef>
              <c:f>'Q10'!$N$70</c:f>
              <c:strCache>
                <c:ptCount val="1"/>
                <c:pt idx="0">
                  <c:v>$60 - $79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'Q10'!$O$66:$Q$66</c:f>
              <c:strCache>
                <c:ptCount val="3"/>
                <c:pt idx="0">
                  <c:v>Less than $50,000</c:v>
                </c:pt>
                <c:pt idx="1">
                  <c:v>$50,000 to $99,999</c:v>
                </c:pt>
                <c:pt idx="2">
                  <c:v>$100,000 or more</c:v>
                </c:pt>
              </c:strCache>
            </c:strRef>
          </c:cat>
          <c:val>
            <c:numRef>
              <c:f>'Q10'!$O$70:$Q$70</c:f>
              <c:numCache>
                <c:formatCode>0%</c:formatCode>
                <c:ptCount val="3"/>
                <c:pt idx="0">
                  <c:v>0.2822998591704618</c:v>
                </c:pt>
                <c:pt idx="1">
                  <c:v>0.34000221682892362</c:v>
                </c:pt>
                <c:pt idx="2">
                  <c:v>0.27430513078461688</c:v>
                </c:pt>
              </c:numCache>
            </c:numRef>
          </c:val>
          <c:extLst>
            <c:ext xmlns:c16="http://schemas.microsoft.com/office/drawing/2014/chart" uri="{C3380CC4-5D6E-409C-BE32-E72D297353CC}">
              <c16:uniqueId val="{00000003-FE16-4D5D-ABCA-1997B7DD31F3}"/>
            </c:ext>
          </c:extLst>
        </c:ser>
        <c:ser>
          <c:idx val="4"/>
          <c:order val="4"/>
          <c:tx>
            <c:strRef>
              <c:f>'Q10'!$N$71</c:f>
              <c:strCache>
                <c:ptCount val="1"/>
                <c:pt idx="0">
                  <c:v>$80 - $99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'Q10'!$O$66:$Q$66</c:f>
              <c:strCache>
                <c:ptCount val="3"/>
                <c:pt idx="0">
                  <c:v>Less than $50,000</c:v>
                </c:pt>
                <c:pt idx="1">
                  <c:v>$50,000 to $99,999</c:v>
                </c:pt>
                <c:pt idx="2">
                  <c:v>$100,000 or more</c:v>
                </c:pt>
              </c:strCache>
            </c:strRef>
          </c:cat>
          <c:val>
            <c:numRef>
              <c:f>'Q10'!$O$71:$Q$71</c:f>
              <c:numCache>
                <c:formatCode>0%</c:formatCode>
                <c:ptCount val="3"/>
                <c:pt idx="0">
                  <c:v>0.19535852613595739</c:v>
                </c:pt>
                <c:pt idx="1">
                  <c:v>0.30630581581133276</c:v>
                </c:pt>
                <c:pt idx="2">
                  <c:v>0.24321938832085505</c:v>
                </c:pt>
              </c:numCache>
            </c:numRef>
          </c:val>
          <c:extLst>
            <c:ext xmlns:c16="http://schemas.microsoft.com/office/drawing/2014/chart" uri="{C3380CC4-5D6E-409C-BE32-E72D297353CC}">
              <c16:uniqueId val="{00000004-FE16-4D5D-ABCA-1997B7DD31F3}"/>
            </c:ext>
          </c:extLst>
        </c:ser>
        <c:ser>
          <c:idx val="5"/>
          <c:order val="5"/>
          <c:tx>
            <c:strRef>
              <c:f>'Q10'!$N$72</c:f>
              <c:strCache>
                <c:ptCount val="1"/>
                <c:pt idx="0">
                  <c:v>$100 or more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'Q10'!$O$66:$Q$66</c:f>
              <c:strCache>
                <c:ptCount val="3"/>
                <c:pt idx="0">
                  <c:v>Less than $50,000</c:v>
                </c:pt>
                <c:pt idx="1">
                  <c:v>$50,000 to $99,999</c:v>
                </c:pt>
                <c:pt idx="2">
                  <c:v>$100,000 or more</c:v>
                </c:pt>
              </c:strCache>
            </c:strRef>
          </c:cat>
          <c:val>
            <c:numRef>
              <c:f>'Q10'!$O$72:$Q$72</c:f>
              <c:numCache>
                <c:formatCode>0%</c:formatCode>
                <c:ptCount val="3"/>
                <c:pt idx="0">
                  <c:v>0.14909996560226346</c:v>
                </c:pt>
                <c:pt idx="1">
                  <c:v>0.19984085330701518</c:v>
                </c:pt>
                <c:pt idx="2">
                  <c:v>0.30143527195475966</c:v>
                </c:pt>
              </c:numCache>
            </c:numRef>
          </c:val>
          <c:extLst>
            <c:ext xmlns:c16="http://schemas.microsoft.com/office/drawing/2014/chart" uri="{C3380CC4-5D6E-409C-BE32-E72D297353CC}">
              <c16:uniqueId val="{00000005-FE16-4D5D-ABCA-1997B7DD31F3}"/>
            </c:ext>
          </c:extLst>
        </c:ser>
        <c:dLbls>
          <c:dLblPos val="ctr"/>
          <c:showLegendKey val="0"/>
          <c:showVal val="1"/>
          <c:showCatName val="0"/>
          <c:showSerName val="0"/>
          <c:showPercent val="0"/>
          <c:showBubbleSize val="0"/>
        </c:dLbls>
        <c:gapWidth val="150"/>
        <c:overlap val="100"/>
        <c:axId val="977903016"/>
        <c:axId val="977908920"/>
      </c:barChart>
      <c:catAx>
        <c:axId val="977903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7908920"/>
        <c:crosses val="autoZero"/>
        <c:auto val="1"/>
        <c:lblAlgn val="ctr"/>
        <c:lblOffset val="100"/>
        <c:noMultiLvlLbl val="0"/>
      </c:catAx>
      <c:valAx>
        <c:axId val="977908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79030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'Q11'!$N$67</c:f>
              <c:strCache>
                <c:ptCount val="1"/>
                <c:pt idx="0">
                  <c:v>$0 - $19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'Q11'!$O$66:$Q$66</c:f>
              <c:strCache>
                <c:ptCount val="3"/>
                <c:pt idx="0">
                  <c:v>Less than $50,000</c:v>
                </c:pt>
                <c:pt idx="1">
                  <c:v>$50,000 to $99,999</c:v>
                </c:pt>
                <c:pt idx="2">
                  <c:v>$100,000 or more</c:v>
                </c:pt>
              </c:strCache>
            </c:strRef>
          </c:cat>
          <c:val>
            <c:numRef>
              <c:f>'Q11'!$O$67:$Q$67</c:f>
              <c:numCache>
                <c:formatCode>###0%</c:formatCode>
                <c:ptCount val="3"/>
                <c:pt idx="0">
                  <c:v>0.19425273737173324</c:v>
                </c:pt>
                <c:pt idx="1">
                  <c:v>0.11582782172502996</c:v>
                </c:pt>
                <c:pt idx="2">
                  <c:v>9.6217841814244323E-2</c:v>
                </c:pt>
              </c:numCache>
            </c:numRef>
          </c:val>
          <c:extLst>
            <c:ext xmlns:c16="http://schemas.microsoft.com/office/drawing/2014/chart" uri="{C3380CC4-5D6E-409C-BE32-E72D297353CC}">
              <c16:uniqueId val="{00000000-3435-4D72-B9AE-BEED31F30954}"/>
            </c:ext>
          </c:extLst>
        </c:ser>
        <c:ser>
          <c:idx val="1"/>
          <c:order val="1"/>
          <c:tx>
            <c:strRef>
              <c:f>'Q11'!$N$68</c:f>
              <c:strCache>
                <c:ptCount val="1"/>
                <c:pt idx="0">
                  <c:v>$20 - $39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'Q11'!$O$66:$Q$66</c:f>
              <c:strCache>
                <c:ptCount val="3"/>
                <c:pt idx="0">
                  <c:v>Less than $50,000</c:v>
                </c:pt>
                <c:pt idx="1">
                  <c:v>$50,000 to $99,999</c:v>
                </c:pt>
                <c:pt idx="2">
                  <c:v>$100,000 or more</c:v>
                </c:pt>
              </c:strCache>
            </c:strRef>
          </c:cat>
          <c:val>
            <c:numRef>
              <c:f>'Q11'!$O$68:$Q$68</c:f>
              <c:numCache>
                <c:formatCode>###0%</c:formatCode>
                <c:ptCount val="3"/>
                <c:pt idx="0">
                  <c:v>0.16410930821819605</c:v>
                </c:pt>
                <c:pt idx="1">
                  <c:v>0.18462832360591461</c:v>
                </c:pt>
                <c:pt idx="2">
                  <c:v>9.1637527177532152E-2</c:v>
                </c:pt>
              </c:numCache>
            </c:numRef>
          </c:val>
          <c:extLst>
            <c:ext xmlns:c16="http://schemas.microsoft.com/office/drawing/2014/chart" uri="{C3380CC4-5D6E-409C-BE32-E72D297353CC}">
              <c16:uniqueId val="{00000001-3435-4D72-B9AE-BEED31F30954}"/>
            </c:ext>
          </c:extLst>
        </c:ser>
        <c:ser>
          <c:idx val="2"/>
          <c:order val="2"/>
          <c:tx>
            <c:strRef>
              <c:f>'Q11'!$N$69</c:f>
              <c:strCache>
                <c:ptCount val="1"/>
                <c:pt idx="0">
                  <c:v>$40 - $59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'Q11'!$O$66:$Q$66</c:f>
              <c:strCache>
                <c:ptCount val="3"/>
                <c:pt idx="0">
                  <c:v>Less than $50,000</c:v>
                </c:pt>
                <c:pt idx="1">
                  <c:v>$50,000 to $99,999</c:v>
                </c:pt>
                <c:pt idx="2">
                  <c:v>$100,000 or more</c:v>
                </c:pt>
              </c:strCache>
            </c:strRef>
          </c:cat>
          <c:val>
            <c:numRef>
              <c:f>'Q11'!$O$69:$Q$69</c:f>
              <c:numCache>
                <c:formatCode>###0%</c:formatCode>
                <c:ptCount val="3"/>
                <c:pt idx="0">
                  <c:v>0.24127789778315209</c:v>
                </c:pt>
                <c:pt idx="1">
                  <c:v>0.19758517768678976</c:v>
                </c:pt>
                <c:pt idx="2">
                  <c:v>0.20491764019857656</c:v>
                </c:pt>
              </c:numCache>
            </c:numRef>
          </c:val>
          <c:extLst>
            <c:ext xmlns:c16="http://schemas.microsoft.com/office/drawing/2014/chart" uri="{C3380CC4-5D6E-409C-BE32-E72D297353CC}">
              <c16:uniqueId val="{00000002-3435-4D72-B9AE-BEED31F30954}"/>
            </c:ext>
          </c:extLst>
        </c:ser>
        <c:ser>
          <c:idx val="3"/>
          <c:order val="3"/>
          <c:tx>
            <c:strRef>
              <c:f>'Q11'!$N$70</c:f>
              <c:strCache>
                <c:ptCount val="1"/>
                <c:pt idx="0">
                  <c:v>$60 - $79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'Q11'!$O$66:$Q$66</c:f>
              <c:strCache>
                <c:ptCount val="3"/>
                <c:pt idx="0">
                  <c:v>Less than $50,000</c:v>
                </c:pt>
                <c:pt idx="1">
                  <c:v>$50,000 to $99,999</c:v>
                </c:pt>
                <c:pt idx="2">
                  <c:v>$100,000 or more</c:v>
                </c:pt>
              </c:strCache>
            </c:strRef>
          </c:cat>
          <c:val>
            <c:numRef>
              <c:f>'Q11'!$O$70:$Q$70</c:f>
              <c:numCache>
                <c:formatCode>###0%</c:formatCode>
                <c:ptCount val="3"/>
                <c:pt idx="0">
                  <c:v>0.23050353299200294</c:v>
                </c:pt>
                <c:pt idx="1">
                  <c:v>0.24314783310255556</c:v>
                </c:pt>
                <c:pt idx="2">
                  <c:v>0.26014655280380794</c:v>
                </c:pt>
              </c:numCache>
            </c:numRef>
          </c:val>
          <c:extLst>
            <c:ext xmlns:c16="http://schemas.microsoft.com/office/drawing/2014/chart" uri="{C3380CC4-5D6E-409C-BE32-E72D297353CC}">
              <c16:uniqueId val="{00000003-3435-4D72-B9AE-BEED31F30954}"/>
            </c:ext>
          </c:extLst>
        </c:ser>
        <c:ser>
          <c:idx val="4"/>
          <c:order val="4"/>
          <c:tx>
            <c:strRef>
              <c:f>'Q11'!$N$71</c:f>
              <c:strCache>
                <c:ptCount val="1"/>
                <c:pt idx="0">
                  <c:v>$80 - $99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'Q11'!$O$66:$Q$66</c:f>
              <c:strCache>
                <c:ptCount val="3"/>
                <c:pt idx="0">
                  <c:v>Less than $50,000</c:v>
                </c:pt>
                <c:pt idx="1">
                  <c:v>$50,000 to $99,999</c:v>
                </c:pt>
                <c:pt idx="2">
                  <c:v>$100,000 or more</c:v>
                </c:pt>
              </c:strCache>
            </c:strRef>
          </c:cat>
          <c:val>
            <c:numRef>
              <c:f>'Q11'!$O$71:$Q$71</c:f>
              <c:numCache>
                <c:formatCode>###0%</c:formatCode>
                <c:ptCount val="3"/>
                <c:pt idx="0">
                  <c:v>0.11635839639444694</c:v>
                </c:pt>
                <c:pt idx="1">
                  <c:v>8.3676974140566476E-2</c:v>
                </c:pt>
                <c:pt idx="2">
                  <c:v>0.12843854476467717</c:v>
                </c:pt>
              </c:numCache>
            </c:numRef>
          </c:val>
          <c:extLst>
            <c:ext xmlns:c16="http://schemas.microsoft.com/office/drawing/2014/chart" uri="{C3380CC4-5D6E-409C-BE32-E72D297353CC}">
              <c16:uniqueId val="{00000004-3435-4D72-B9AE-BEED31F30954}"/>
            </c:ext>
          </c:extLst>
        </c:ser>
        <c:ser>
          <c:idx val="5"/>
          <c:order val="5"/>
          <c:tx>
            <c:strRef>
              <c:f>'Q11'!$N$72</c:f>
              <c:strCache>
                <c:ptCount val="1"/>
                <c:pt idx="0">
                  <c:v>$100 or more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'Q11'!$O$66:$Q$66</c:f>
              <c:strCache>
                <c:ptCount val="3"/>
                <c:pt idx="0">
                  <c:v>Less than $50,000</c:v>
                </c:pt>
                <c:pt idx="1">
                  <c:v>$50,000 to $99,999</c:v>
                </c:pt>
                <c:pt idx="2">
                  <c:v>$100,000 or more</c:v>
                </c:pt>
              </c:strCache>
            </c:strRef>
          </c:cat>
          <c:val>
            <c:numRef>
              <c:f>'Q11'!$O$72:$Q$72</c:f>
              <c:numCache>
                <c:formatCode>###0%</c:formatCode>
                <c:ptCount val="3"/>
                <c:pt idx="0">
                  <c:v>5.3498127240469338E-2</c:v>
                </c:pt>
                <c:pt idx="1">
                  <c:v>0.17513386973914197</c:v>
                </c:pt>
                <c:pt idx="2">
                  <c:v>0.21864189324115815</c:v>
                </c:pt>
              </c:numCache>
            </c:numRef>
          </c:val>
          <c:extLst>
            <c:ext xmlns:c16="http://schemas.microsoft.com/office/drawing/2014/chart" uri="{C3380CC4-5D6E-409C-BE32-E72D297353CC}">
              <c16:uniqueId val="{00000005-3435-4D72-B9AE-BEED31F30954}"/>
            </c:ext>
          </c:extLst>
        </c:ser>
        <c:dLbls>
          <c:dLblPos val="ctr"/>
          <c:showLegendKey val="0"/>
          <c:showVal val="1"/>
          <c:showCatName val="0"/>
          <c:showSerName val="0"/>
          <c:showPercent val="0"/>
          <c:showBubbleSize val="0"/>
        </c:dLbls>
        <c:gapWidth val="150"/>
        <c:overlap val="100"/>
        <c:axId val="977903016"/>
        <c:axId val="977908920"/>
      </c:barChart>
      <c:catAx>
        <c:axId val="977903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7908920"/>
        <c:crosses val="autoZero"/>
        <c:auto val="1"/>
        <c:lblAlgn val="ctr"/>
        <c:lblOffset val="100"/>
        <c:noMultiLvlLbl val="0"/>
      </c:catAx>
      <c:valAx>
        <c:axId val="977908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79030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492B1D844A84910ACFE8267DFD8260F"/>
        <w:category>
          <w:name w:val="General"/>
          <w:gallery w:val="placeholder"/>
        </w:category>
        <w:types>
          <w:type w:val="bbPlcHdr"/>
        </w:types>
        <w:behaviors>
          <w:behavior w:val="content"/>
        </w:behaviors>
        <w:guid w:val="{CA1C0EE7-5C60-4987-A708-85BB6821F7C9}"/>
      </w:docPartPr>
      <w:docPartBody>
        <w:p w:rsidR="00F637DB" w:rsidRDefault="00F637D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Calibri"/>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w Cen MT">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Nova">
    <w:altName w:val="Calibri"/>
    <w:charset w:val="00"/>
    <w:family w:val="swiss"/>
    <w:pitch w:val="variable"/>
    <w:sig w:usb0="80000287" w:usb1="00000002" w:usb2="00000000" w:usb3="00000000" w:csb0="0000009F" w:csb1="00000000"/>
  </w:font>
  <w:font w:name="Open Sans">
    <w:charset w:val="00"/>
    <w:family w:val="swiss"/>
    <w:pitch w:val="variable"/>
    <w:sig w:usb0="E00002EF" w:usb1="4000205B" w:usb2="00000028" w:usb3="00000000" w:csb0="0000019F" w:csb1="00000000"/>
  </w:font>
  <w:font w:name="Wingdings 2">
    <w:charset w:val="02"/>
    <w:family w:val="roman"/>
    <w:pitch w:val="variable"/>
    <w:sig w:usb0="00000000" w:usb1="10000000" w:usb2="00000000" w:usb3="00000000" w:csb0="80000000" w:csb1="00000000"/>
  </w:font>
  <w:font w:name="Roboto Slab">
    <w:charset w:val="00"/>
    <w:family w:val="auto"/>
    <w:pitch w:val="variable"/>
    <w:sig w:usb0="000004FF" w:usb1="8000405F" w:usb2="00000022" w:usb3="00000000" w:csb0="000001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471"/>
    <w:rsid w:val="00275471"/>
    <w:rsid w:val="00295436"/>
    <w:rsid w:val="006A3E0D"/>
    <w:rsid w:val="006E7C1A"/>
    <w:rsid w:val="00797504"/>
    <w:rsid w:val="00F244FD"/>
    <w:rsid w:val="00F637D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16276CF"/>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ad14a2b-0901-4851-9135-e440dd1a60d2">
      <Terms xmlns="http://schemas.microsoft.com/office/infopath/2007/PartnerControls"/>
    </lcf76f155ced4ddcb4097134ff3c332f>
    <TaxCatchAll xmlns="bc761791-33a0-47b7-8145-9d3c2515a3a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25F50E3F8B8C44D9EA5BD2549956CF2" ma:contentTypeVersion="13" ma:contentTypeDescription="Create a new document." ma:contentTypeScope="" ma:versionID="b2b9d73acf982db44a3f29558a232d2e">
  <xsd:schema xmlns:xsd="http://www.w3.org/2001/XMLSchema" xmlns:xs="http://www.w3.org/2001/XMLSchema" xmlns:p="http://schemas.microsoft.com/office/2006/metadata/properties" xmlns:ns2="ead14a2b-0901-4851-9135-e440dd1a60d2" xmlns:ns3="bc761791-33a0-47b7-8145-9d3c2515a3a0" targetNamespace="http://schemas.microsoft.com/office/2006/metadata/properties" ma:root="true" ma:fieldsID="49673addfb051296036e07133082c8ef" ns2:_="" ns3:_="">
    <xsd:import namespace="ead14a2b-0901-4851-9135-e440dd1a60d2"/>
    <xsd:import namespace="bc761791-33a0-47b7-8145-9d3c2515a3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14a2b-0901-4851-9135-e440dd1a60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5dbdce9-60e9-41e5-8608-85a453d288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761791-33a0-47b7-8145-9d3c2515a3a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8985699-f427-45a7-93a3-105b7de166ff}" ma:internalName="TaxCatchAll" ma:showField="CatchAllData" ma:web="bc761791-33a0-47b7-8145-9d3c2515a3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BAD271-2966-4638-B9F3-6AAA4F738291}">
  <ds:schemaRefs>
    <ds:schemaRef ds:uri="http://schemas.openxmlformats.org/officeDocument/2006/bibliography"/>
  </ds:schemaRefs>
</ds:datastoreItem>
</file>

<file path=customXml/itemProps2.xml><?xml version="1.0" encoding="utf-8"?>
<ds:datastoreItem xmlns:ds="http://schemas.openxmlformats.org/officeDocument/2006/customXml" ds:itemID="{3790F21C-C535-4F08-A8A8-F7A32322E788}">
  <ds:schemaRefs>
    <ds:schemaRef ds:uri="http://schemas.microsoft.com/office/2006/metadata/properties"/>
    <ds:schemaRef ds:uri="http://schemas.microsoft.com/office/infopath/2007/PartnerControls"/>
    <ds:schemaRef ds:uri="5d87095d-ff1e-4808-9408-91d24e4452db"/>
    <ds:schemaRef ds:uri="e5ab66c7-856c-4cc8-ad3c-55c7e68619f9"/>
    <ds:schemaRef ds:uri="http://schemas.microsoft.com/sharepoint/v3"/>
  </ds:schemaRefs>
</ds:datastoreItem>
</file>

<file path=customXml/itemProps3.xml><?xml version="1.0" encoding="utf-8"?>
<ds:datastoreItem xmlns:ds="http://schemas.openxmlformats.org/officeDocument/2006/customXml" ds:itemID="{7E70F377-E3AD-4E77-82D7-28C09C7A1DEC}"/>
</file>

<file path=customXml/itemProps4.xml><?xml version="1.0" encoding="utf-8"?>
<ds:datastoreItem xmlns:ds="http://schemas.openxmlformats.org/officeDocument/2006/customXml" ds:itemID="{E04CB0CF-2E07-495F-9EBD-011F15F8F85A}">
  <ds:schemaRefs>
    <ds:schemaRef ds:uri="http://schemas.microsoft.com/sharepoint/v3/contenttype/forms"/>
  </ds:schemaRefs>
</ds:datastoreItem>
</file>

<file path=docMetadata/LabelInfo.xml><?xml version="1.0" encoding="utf-8"?>
<clbl:labelList xmlns:clbl="http://schemas.microsoft.com/office/2020/mipLabelMetadata">
  <clbl:label id="{bedd5d6f-bcfc-46d4-918d-7fb210e57897}" enabled="0" method="" siteId="{bedd5d6f-bcfc-46d4-918d-7fb210e57897}" removed="1"/>
</clbl:labelList>
</file>

<file path=docProps/app.xml><?xml version="1.0" encoding="utf-8"?>
<Properties xmlns="http://schemas.openxmlformats.org/officeDocument/2006/extended-properties" xmlns:vt="http://schemas.openxmlformats.org/officeDocument/2006/docPropsVTypes">
  <Template>CTC Report Template 2020.dotx</Template>
  <TotalTime>4894</TotalTime>
  <Pages>1</Pages>
  <Words>52167</Words>
  <Characters>297357</Characters>
  <Application>Microsoft Office Word</Application>
  <DocSecurity>4</DocSecurity>
  <Lines>2477</Lines>
  <Paragraphs>697</Paragraphs>
  <ScaleCrop>false</ScaleCrop>
  <Company/>
  <LinksUpToDate>false</LinksUpToDate>
  <CharactersWithSpaces>348827</CharactersWithSpaces>
  <SharedDoc>false</SharedDoc>
  <HLinks>
    <vt:vector size="1884" baseType="variant">
      <vt:variant>
        <vt:i4>2752572</vt:i4>
      </vt:variant>
      <vt:variant>
        <vt:i4>1323</vt:i4>
      </vt:variant>
      <vt:variant>
        <vt:i4>0</vt:i4>
      </vt:variant>
      <vt:variant>
        <vt:i4>5</vt:i4>
      </vt:variant>
      <vt:variant>
        <vt:lpwstr>https://adeca.alabama.gov/alipv1v2/</vt:lpwstr>
      </vt:variant>
      <vt:variant>
        <vt:lpwstr/>
      </vt:variant>
      <vt:variant>
        <vt:i4>2752572</vt:i4>
      </vt:variant>
      <vt:variant>
        <vt:i4>1320</vt:i4>
      </vt:variant>
      <vt:variant>
        <vt:i4>0</vt:i4>
      </vt:variant>
      <vt:variant>
        <vt:i4>5</vt:i4>
      </vt:variant>
      <vt:variant>
        <vt:lpwstr>https://adeca.alabama.gov/alipv1v2/</vt:lpwstr>
      </vt:variant>
      <vt:variant>
        <vt:lpwstr/>
      </vt:variant>
      <vt:variant>
        <vt:i4>2752572</vt:i4>
      </vt:variant>
      <vt:variant>
        <vt:i4>1317</vt:i4>
      </vt:variant>
      <vt:variant>
        <vt:i4>0</vt:i4>
      </vt:variant>
      <vt:variant>
        <vt:i4>5</vt:i4>
      </vt:variant>
      <vt:variant>
        <vt:lpwstr>https://adeca.alabama.gov/alipv1v2/</vt:lpwstr>
      </vt:variant>
      <vt:variant>
        <vt:lpwstr/>
      </vt:variant>
      <vt:variant>
        <vt:i4>7209074</vt:i4>
      </vt:variant>
      <vt:variant>
        <vt:i4>1314</vt:i4>
      </vt:variant>
      <vt:variant>
        <vt:i4>0</vt:i4>
      </vt:variant>
      <vt:variant>
        <vt:i4>5</vt:i4>
      </vt:variant>
      <vt:variant>
        <vt:lpwstr>https://alison.legislature.state.al.us/code-of-alabama</vt:lpwstr>
      </vt:variant>
      <vt:variant>
        <vt:lpwstr/>
      </vt:variant>
      <vt:variant>
        <vt:i4>1441797</vt:i4>
      </vt:variant>
      <vt:variant>
        <vt:i4>1311</vt:i4>
      </vt:variant>
      <vt:variant>
        <vt:i4>0</vt:i4>
      </vt:variant>
      <vt:variant>
        <vt:i4>5</vt:i4>
      </vt:variant>
      <vt:variant>
        <vt:lpwstr>https://arc-sos.state.al.us/ucp/B19151AA.ABJ.pdf</vt:lpwstr>
      </vt:variant>
      <vt:variant>
        <vt:lpwstr/>
      </vt:variant>
      <vt:variant>
        <vt:i4>7209074</vt:i4>
      </vt:variant>
      <vt:variant>
        <vt:i4>1308</vt:i4>
      </vt:variant>
      <vt:variant>
        <vt:i4>0</vt:i4>
      </vt:variant>
      <vt:variant>
        <vt:i4>5</vt:i4>
      </vt:variant>
      <vt:variant>
        <vt:lpwstr>https://alison.legislature.state.al.us/code-of-alabama</vt:lpwstr>
      </vt:variant>
      <vt:variant>
        <vt:lpwstr/>
      </vt:variant>
      <vt:variant>
        <vt:i4>589852</vt:i4>
      </vt:variant>
      <vt:variant>
        <vt:i4>1305</vt:i4>
      </vt:variant>
      <vt:variant>
        <vt:i4>0</vt:i4>
      </vt:variant>
      <vt:variant>
        <vt:i4>5</vt:i4>
      </vt:variant>
      <vt:variant>
        <vt:lpwstr>https://arc-sos.state.al.us/ucp/B01151AA.AST.pdf</vt:lpwstr>
      </vt:variant>
      <vt:variant>
        <vt:lpwstr/>
      </vt:variant>
      <vt:variant>
        <vt:i4>2752572</vt:i4>
      </vt:variant>
      <vt:variant>
        <vt:i4>1182</vt:i4>
      </vt:variant>
      <vt:variant>
        <vt:i4>0</vt:i4>
      </vt:variant>
      <vt:variant>
        <vt:i4>5</vt:i4>
      </vt:variant>
      <vt:variant>
        <vt:lpwstr>https://adeca.alabama.gov/alipv1v2/</vt:lpwstr>
      </vt:variant>
      <vt:variant>
        <vt:lpwstr/>
      </vt:variant>
      <vt:variant>
        <vt:i4>2752572</vt:i4>
      </vt:variant>
      <vt:variant>
        <vt:i4>1158</vt:i4>
      </vt:variant>
      <vt:variant>
        <vt:i4>0</vt:i4>
      </vt:variant>
      <vt:variant>
        <vt:i4>5</vt:i4>
      </vt:variant>
      <vt:variant>
        <vt:lpwstr>https://adeca.alabama.gov/alipv1v2/</vt:lpwstr>
      </vt:variant>
      <vt:variant>
        <vt:lpwstr/>
      </vt:variant>
      <vt:variant>
        <vt:i4>2490414</vt:i4>
      </vt:variant>
      <vt:variant>
        <vt:i4>1155</vt:i4>
      </vt:variant>
      <vt:variant>
        <vt:i4>0</vt:i4>
      </vt:variant>
      <vt:variant>
        <vt:i4>5</vt:i4>
      </vt:variant>
      <vt:variant>
        <vt:lpwstr>https://broadband.alabama.gov/profiles/</vt:lpwstr>
      </vt:variant>
      <vt:variant>
        <vt:lpwstr/>
      </vt:variant>
      <vt:variant>
        <vt:i4>2752572</vt:i4>
      </vt:variant>
      <vt:variant>
        <vt:i4>1152</vt:i4>
      </vt:variant>
      <vt:variant>
        <vt:i4>0</vt:i4>
      </vt:variant>
      <vt:variant>
        <vt:i4>5</vt:i4>
      </vt:variant>
      <vt:variant>
        <vt:lpwstr>https://adeca.alabama.gov/alipv1v2/</vt:lpwstr>
      </vt:variant>
      <vt:variant>
        <vt:lpwstr/>
      </vt:variant>
      <vt:variant>
        <vt:i4>2752572</vt:i4>
      </vt:variant>
      <vt:variant>
        <vt:i4>1149</vt:i4>
      </vt:variant>
      <vt:variant>
        <vt:i4>0</vt:i4>
      </vt:variant>
      <vt:variant>
        <vt:i4>5</vt:i4>
      </vt:variant>
      <vt:variant>
        <vt:lpwstr>https://adeca.alabama.gov/alipv1v2/</vt:lpwstr>
      </vt:variant>
      <vt:variant>
        <vt:lpwstr/>
      </vt:variant>
      <vt:variant>
        <vt:i4>2752572</vt:i4>
      </vt:variant>
      <vt:variant>
        <vt:i4>1140</vt:i4>
      </vt:variant>
      <vt:variant>
        <vt:i4>0</vt:i4>
      </vt:variant>
      <vt:variant>
        <vt:i4>5</vt:i4>
      </vt:variant>
      <vt:variant>
        <vt:lpwstr>https://adeca.alabama.gov/alipv1v2/</vt:lpwstr>
      </vt:variant>
      <vt:variant>
        <vt:lpwstr/>
      </vt:variant>
      <vt:variant>
        <vt:i4>1114163</vt:i4>
      </vt:variant>
      <vt:variant>
        <vt:i4>1130</vt:i4>
      </vt:variant>
      <vt:variant>
        <vt:i4>0</vt:i4>
      </vt:variant>
      <vt:variant>
        <vt:i4>5</vt:i4>
      </vt:variant>
      <vt:variant>
        <vt:lpwstr/>
      </vt:variant>
      <vt:variant>
        <vt:lpwstr>_Toc150852797</vt:lpwstr>
      </vt:variant>
      <vt:variant>
        <vt:i4>1114163</vt:i4>
      </vt:variant>
      <vt:variant>
        <vt:i4>1124</vt:i4>
      </vt:variant>
      <vt:variant>
        <vt:i4>0</vt:i4>
      </vt:variant>
      <vt:variant>
        <vt:i4>5</vt:i4>
      </vt:variant>
      <vt:variant>
        <vt:lpwstr/>
      </vt:variant>
      <vt:variant>
        <vt:lpwstr>_Toc150852796</vt:lpwstr>
      </vt:variant>
      <vt:variant>
        <vt:i4>1114163</vt:i4>
      </vt:variant>
      <vt:variant>
        <vt:i4>1118</vt:i4>
      </vt:variant>
      <vt:variant>
        <vt:i4>0</vt:i4>
      </vt:variant>
      <vt:variant>
        <vt:i4>5</vt:i4>
      </vt:variant>
      <vt:variant>
        <vt:lpwstr/>
      </vt:variant>
      <vt:variant>
        <vt:lpwstr>_Toc150852795</vt:lpwstr>
      </vt:variant>
      <vt:variant>
        <vt:i4>1114163</vt:i4>
      </vt:variant>
      <vt:variant>
        <vt:i4>1112</vt:i4>
      </vt:variant>
      <vt:variant>
        <vt:i4>0</vt:i4>
      </vt:variant>
      <vt:variant>
        <vt:i4>5</vt:i4>
      </vt:variant>
      <vt:variant>
        <vt:lpwstr/>
      </vt:variant>
      <vt:variant>
        <vt:lpwstr>_Toc150852794</vt:lpwstr>
      </vt:variant>
      <vt:variant>
        <vt:i4>1114163</vt:i4>
      </vt:variant>
      <vt:variant>
        <vt:i4>1106</vt:i4>
      </vt:variant>
      <vt:variant>
        <vt:i4>0</vt:i4>
      </vt:variant>
      <vt:variant>
        <vt:i4>5</vt:i4>
      </vt:variant>
      <vt:variant>
        <vt:lpwstr/>
      </vt:variant>
      <vt:variant>
        <vt:lpwstr>_Toc150852793</vt:lpwstr>
      </vt:variant>
      <vt:variant>
        <vt:i4>1114163</vt:i4>
      </vt:variant>
      <vt:variant>
        <vt:i4>1100</vt:i4>
      </vt:variant>
      <vt:variant>
        <vt:i4>0</vt:i4>
      </vt:variant>
      <vt:variant>
        <vt:i4>5</vt:i4>
      </vt:variant>
      <vt:variant>
        <vt:lpwstr/>
      </vt:variant>
      <vt:variant>
        <vt:lpwstr>_Toc150852792</vt:lpwstr>
      </vt:variant>
      <vt:variant>
        <vt:i4>1114163</vt:i4>
      </vt:variant>
      <vt:variant>
        <vt:i4>1094</vt:i4>
      </vt:variant>
      <vt:variant>
        <vt:i4>0</vt:i4>
      </vt:variant>
      <vt:variant>
        <vt:i4>5</vt:i4>
      </vt:variant>
      <vt:variant>
        <vt:lpwstr/>
      </vt:variant>
      <vt:variant>
        <vt:lpwstr>_Toc150852791</vt:lpwstr>
      </vt:variant>
      <vt:variant>
        <vt:i4>1114163</vt:i4>
      </vt:variant>
      <vt:variant>
        <vt:i4>1088</vt:i4>
      </vt:variant>
      <vt:variant>
        <vt:i4>0</vt:i4>
      </vt:variant>
      <vt:variant>
        <vt:i4>5</vt:i4>
      </vt:variant>
      <vt:variant>
        <vt:lpwstr/>
      </vt:variant>
      <vt:variant>
        <vt:lpwstr>_Toc150852790</vt:lpwstr>
      </vt:variant>
      <vt:variant>
        <vt:i4>1048627</vt:i4>
      </vt:variant>
      <vt:variant>
        <vt:i4>1082</vt:i4>
      </vt:variant>
      <vt:variant>
        <vt:i4>0</vt:i4>
      </vt:variant>
      <vt:variant>
        <vt:i4>5</vt:i4>
      </vt:variant>
      <vt:variant>
        <vt:lpwstr/>
      </vt:variant>
      <vt:variant>
        <vt:lpwstr>_Toc150852789</vt:lpwstr>
      </vt:variant>
      <vt:variant>
        <vt:i4>1048627</vt:i4>
      </vt:variant>
      <vt:variant>
        <vt:i4>1076</vt:i4>
      </vt:variant>
      <vt:variant>
        <vt:i4>0</vt:i4>
      </vt:variant>
      <vt:variant>
        <vt:i4>5</vt:i4>
      </vt:variant>
      <vt:variant>
        <vt:lpwstr/>
      </vt:variant>
      <vt:variant>
        <vt:lpwstr>_Toc150852788</vt:lpwstr>
      </vt:variant>
      <vt:variant>
        <vt:i4>1048627</vt:i4>
      </vt:variant>
      <vt:variant>
        <vt:i4>1070</vt:i4>
      </vt:variant>
      <vt:variant>
        <vt:i4>0</vt:i4>
      </vt:variant>
      <vt:variant>
        <vt:i4>5</vt:i4>
      </vt:variant>
      <vt:variant>
        <vt:lpwstr/>
      </vt:variant>
      <vt:variant>
        <vt:lpwstr>_Toc150852787</vt:lpwstr>
      </vt:variant>
      <vt:variant>
        <vt:i4>1048627</vt:i4>
      </vt:variant>
      <vt:variant>
        <vt:i4>1064</vt:i4>
      </vt:variant>
      <vt:variant>
        <vt:i4>0</vt:i4>
      </vt:variant>
      <vt:variant>
        <vt:i4>5</vt:i4>
      </vt:variant>
      <vt:variant>
        <vt:lpwstr/>
      </vt:variant>
      <vt:variant>
        <vt:lpwstr>_Toc150852786</vt:lpwstr>
      </vt:variant>
      <vt:variant>
        <vt:i4>1048627</vt:i4>
      </vt:variant>
      <vt:variant>
        <vt:i4>1058</vt:i4>
      </vt:variant>
      <vt:variant>
        <vt:i4>0</vt:i4>
      </vt:variant>
      <vt:variant>
        <vt:i4>5</vt:i4>
      </vt:variant>
      <vt:variant>
        <vt:lpwstr/>
      </vt:variant>
      <vt:variant>
        <vt:lpwstr>_Toc150852785</vt:lpwstr>
      </vt:variant>
      <vt:variant>
        <vt:i4>1048627</vt:i4>
      </vt:variant>
      <vt:variant>
        <vt:i4>1052</vt:i4>
      </vt:variant>
      <vt:variant>
        <vt:i4>0</vt:i4>
      </vt:variant>
      <vt:variant>
        <vt:i4>5</vt:i4>
      </vt:variant>
      <vt:variant>
        <vt:lpwstr/>
      </vt:variant>
      <vt:variant>
        <vt:lpwstr>_Toc150852784</vt:lpwstr>
      </vt:variant>
      <vt:variant>
        <vt:i4>1048627</vt:i4>
      </vt:variant>
      <vt:variant>
        <vt:i4>1046</vt:i4>
      </vt:variant>
      <vt:variant>
        <vt:i4>0</vt:i4>
      </vt:variant>
      <vt:variant>
        <vt:i4>5</vt:i4>
      </vt:variant>
      <vt:variant>
        <vt:lpwstr/>
      </vt:variant>
      <vt:variant>
        <vt:lpwstr>_Toc150852783</vt:lpwstr>
      </vt:variant>
      <vt:variant>
        <vt:i4>1048627</vt:i4>
      </vt:variant>
      <vt:variant>
        <vt:i4>1040</vt:i4>
      </vt:variant>
      <vt:variant>
        <vt:i4>0</vt:i4>
      </vt:variant>
      <vt:variant>
        <vt:i4>5</vt:i4>
      </vt:variant>
      <vt:variant>
        <vt:lpwstr/>
      </vt:variant>
      <vt:variant>
        <vt:lpwstr>_Toc150852782</vt:lpwstr>
      </vt:variant>
      <vt:variant>
        <vt:i4>1048627</vt:i4>
      </vt:variant>
      <vt:variant>
        <vt:i4>1034</vt:i4>
      </vt:variant>
      <vt:variant>
        <vt:i4>0</vt:i4>
      </vt:variant>
      <vt:variant>
        <vt:i4>5</vt:i4>
      </vt:variant>
      <vt:variant>
        <vt:lpwstr/>
      </vt:variant>
      <vt:variant>
        <vt:lpwstr>_Toc150852781</vt:lpwstr>
      </vt:variant>
      <vt:variant>
        <vt:i4>1048627</vt:i4>
      </vt:variant>
      <vt:variant>
        <vt:i4>1028</vt:i4>
      </vt:variant>
      <vt:variant>
        <vt:i4>0</vt:i4>
      </vt:variant>
      <vt:variant>
        <vt:i4>5</vt:i4>
      </vt:variant>
      <vt:variant>
        <vt:lpwstr/>
      </vt:variant>
      <vt:variant>
        <vt:lpwstr>_Toc150852780</vt:lpwstr>
      </vt:variant>
      <vt:variant>
        <vt:i4>2031667</vt:i4>
      </vt:variant>
      <vt:variant>
        <vt:i4>1022</vt:i4>
      </vt:variant>
      <vt:variant>
        <vt:i4>0</vt:i4>
      </vt:variant>
      <vt:variant>
        <vt:i4>5</vt:i4>
      </vt:variant>
      <vt:variant>
        <vt:lpwstr/>
      </vt:variant>
      <vt:variant>
        <vt:lpwstr>_Toc150852779</vt:lpwstr>
      </vt:variant>
      <vt:variant>
        <vt:i4>2031667</vt:i4>
      </vt:variant>
      <vt:variant>
        <vt:i4>1016</vt:i4>
      </vt:variant>
      <vt:variant>
        <vt:i4>0</vt:i4>
      </vt:variant>
      <vt:variant>
        <vt:i4>5</vt:i4>
      </vt:variant>
      <vt:variant>
        <vt:lpwstr/>
      </vt:variant>
      <vt:variant>
        <vt:lpwstr>_Toc150852778</vt:lpwstr>
      </vt:variant>
      <vt:variant>
        <vt:i4>2031667</vt:i4>
      </vt:variant>
      <vt:variant>
        <vt:i4>1010</vt:i4>
      </vt:variant>
      <vt:variant>
        <vt:i4>0</vt:i4>
      </vt:variant>
      <vt:variant>
        <vt:i4>5</vt:i4>
      </vt:variant>
      <vt:variant>
        <vt:lpwstr/>
      </vt:variant>
      <vt:variant>
        <vt:lpwstr>_Toc150852777</vt:lpwstr>
      </vt:variant>
      <vt:variant>
        <vt:i4>2031667</vt:i4>
      </vt:variant>
      <vt:variant>
        <vt:i4>1004</vt:i4>
      </vt:variant>
      <vt:variant>
        <vt:i4>0</vt:i4>
      </vt:variant>
      <vt:variant>
        <vt:i4>5</vt:i4>
      </vt:variant>
      <vt:variant>
        <vt:lpwstr/>
      </vt:variant>
      <vt:variant>
        <vt:lpwstr>_Toc150852776</vt:lpwstr>
      </vt:variant>
      <vt:variant>
        <vt:i4>2031667</vt:i4>
      </vt:variant>
      <vt:variant>
        <vt:i4>995</vt:i4>
      </vt:variant>
      <vt:variant>
        <vt:i4>0</vt:i4>
      </vt:variant>
      <vt:variant>
        <vt:i4>5</vt:i4>
      </vt:variant>
      <vt:variant>
        <vt:lpwstr/>
      </vt:variant>
      <vt:variant>
        <vt:lpwstr>_Toc150852775</vt:lpwstr>
      </vt:variant>
      <vt:variant>
        <vt:i4>2031667</vt:i4>
      </vt:variant>
      <vt:variant>
        <vt:i4>989</vt:i4>
      </vt:variant>
      <vt:variant>
        <vt:i4>0</vt:i4>
      </vt:variant>
      <vt:variant>
        <vt:i4>5</vt:i4>
      </vt:variant>
      <vt:variant>
        <vt:lpwstr/>
      </vt:variant>
      <vt:variant>
        <vt:lpwstr>_Toc150852774</vt:lpwstr>
      </vt:variant>
      <vt:variant>
        <vt:i4>2031667</vt:i4>
      </vt:variant>
      <vt:variant>
        <vt:i4>983</vt:i4>
      </vt:variant>
      <vt:variant>
        <vt:i4>0</vt:i4>
      </vt:variant>
      <vt:variant>
        <vt:i4>5</vt:i4>
      </vt:variant>
      <vt:variant>
        <vt:lpwstr/>
      </vt:variant>
      <vt:variant>
        <vt:lpwstr>_Toc150852773</vt:lpwstr>
      </vt:variant>
      <vt:variant>
        <vt:i4>2031667</vt:i4>
      </vt:variant>
      <vt:variant>
        <vt:i4>977</vt:i4>
      </vt:variant>
      <vt:variant>
        <vt:i4>0</vt:i4>
      </vt:variant>
      <vt:variant>
        <vt:i4>5</vt:i4>
      </vt:variant>
      <vt:variant>
        <vt:lpwstr/>
      </vt:variant>
      <vt:variant>
        <vt:lpwstr>_Toc150852772</vt:lpwstr>
      </vt:variant>
      <vt:variant>
        <vt:i4>2031667</vt:i4>
      </vt:variant>
      <vt:variant>
        <vt:i4>971</vt:i4>
      </vt:variant>
      <vt:variant>
        <vt:i4>0</vt:i4>
      </vt:variant>
      <vt:variant>
        <vt:i4>5</vt:i4>
      </vt:variant>
      <vt:variant>
        <vt:lpwstr/>
      </vt:variant>
      <vt:variant>
        <vt:lpwstr>_Toc150852771</vt:lpwstr>
      </vt:variant>
      <vt:variant>
        <vt:i4>2031667</vt:i4>
      </vt:variant>
      <vt:variant>
        <vt:i4>965</vt:i4>
      </vt:variant>
      <vt:variant>
        <vt:i4>0</vt:i4>
      </vt:variant>
      <vt:variant>
        <vt:i4>5</vt:i4>
      </vt:variant>
      <vt:variant>
        <vt:lpwstr/>
      </vt:variant>
      <vt:variant>
        <vt:lpwstr>_Toc150852770</vt:lpwstr>
      </vt:variant>
      <vt:variant>
        <vt:i4>1966131</vt:i4>
      </vt:variant>
      <vt:variant>
        <vt:i4>959</vt:i4>
      </vt:variant>
      <vt:variant>
        <vt:i4>0</vt:i4>
      </vt:variant>
      <vt:variant>
        <vt:i4>5</vt:i4>
      </vt:variant>
      <vt:variant>
        <vt:lpwstr/>
      </vt:variant>
      <vt:variant>
        <vt:lpwstr>_Toc150852769</vt:lpwstr>
      </vt:variant>
      <vt:variant>
        <vt:i4>1966131</vt:i4>
      </vt:variant>
      <vt:variant>
        <vt:i4>953</vt:i4>
      </vt:variant>
      <vt:variant>
        <vt:i4>0</vt:i4>
      </vt:variant>
      <vt:variant>
        <vt:i4>5</vt:i4>
      </vt:variant>
      <vt:variant>
        <vt:lpwstr/>
      </vt:variant>
      <vt:variant>
        <vt:lpwstr>_Toc150852768</vt:lpwstr>
      </vt:variant>
      <vt:variant>
        <vt:i4>1966131</vt:i4>
      </vt:variant>
      <vt:variant>
        <vt:i4>947</vt:i4>
      </vt:variant>
      <vt:variant>
        <vt:i4>0</vt:i4>
      </vt:variant>
      <vt:variant>
        <vt:i4>5</vt:i4>
      </vt:variant>
      <vt:variant>
        <vt:lpwstr/>
      </vt:variant>
      <vt:variant>
        <vt:lpwstr>_Toc150852767</vt:lpwstr>
      </vt:variant>
      <vt:variant>
        <vt:i4>1966131</vt:i4>
      </vt:variant>
      <vt:variant>
        <vt:i4>941</vt:i4>
      </vt:variant>
      <vt:variant>
        <vt:i4>0</vt:i4>
      </vt:variant>
      <vt:variant>
        <vt:i4>5</vt:i4>
      </vt:variant>
      <vt:variant>
        <vt:lpwstr/>
      </vt:variant>
      <vt:variant>
        <vt:lpwstr>_Toc150852766</vt:lpwstr>
      </vt:variant>
      <vt:variant>
        <vt:i4>1966131</vt:i4>
      </vt:variant>
      <vt:variant>
        <vt:i4>935</vt:i4>
      </vt:variant>
      <vt:variant>
        <vt:i4>0</vt:i4>
      </vt:variant>
      <vt:variant>
        <vt:i4>5</vt:i4>
      </vt:variant>
      <vt:variant>
        <vt:lpwstr/>
      </vt:variant>
      <vt:variant>
        <vt:lpwstr>_Toc150852765</vt:lpwstr>
      </vt:variant>
      <vt:variant>
        <vt:i4>1966131</vt:i4>
      </vt:variant>
      <vt:variant>
        <vt:i4>929</vt:i4>
      </vt:variant>
      <vt:variant>
        <vt:i4>0</vt:i4>
      </vt:variant>
      <vt:variant>
        <vt:i4>5</vt:i4>
      </vt:variant>
      <vt:variant>
        <vt:lpwstr/>
      </vt:variant>
      <vt:variant>
        <vt:lpwstr>_Toc150852764</vt:lpwstr>
      </vt:variant>
      <vt:variant>
        <vt:i4>1966131</vt:i4>
      </vt:variant>
      <vt:variant>
        <vt:i4>923</vt:i4>
      </vt:variant>
      <vt:variant>
        <vt:i4>0</vt:i4>
      </vt:variant>
      <vt:variant>
        <vt:i4>5</vt:i4>
      </vt:variant>
      <vt:variant>
        <vt:lpwstr/>
      </vt:variant>
      <vt:variant>
        <vt:lpwstr>_Toc150852763</vt:lpwstr>
      </vt:variant>
      <vt:variant>
        <vt:i4>1966131</vt:i4>
      </vt:variant>
      <vt:variant>
        <vt:i4>917</vt:i4>
      </vt:variant>
      <vt:variant>
        <vt:i4>0</vt:i4>
      </vt:variant>
      <vt:variant>
        <vt:i4>5</vt:i4>
      </vt:variant>
      <vt:variant>
        <vt:lpwstr/>
      </vt:variant>
      <vt:variant>
        <vt:lpwstr>_Toc150852762</vt:lpwstr>
      </vt:variant>
      <vt:variant>
        <vt:i4>1966131</vt:i4>
      </vt:variant>
      <vt:variant>
        <vt:i4>911</vt:i4>
      </vt:variant>
      <vt:variant>
        <vt:i4>0</vt:i4>
      </vt:variant>
      <vt:variant>
        <vt:i4>5</vt:i4>
      </vt:variant>
      <vt:variant>
        <vt:lpwstr/>
      </vt:variant>
      <vt:variant>
        <vt:lpwstr>_Toc150852761</vt:lpwstr>
      </vt:variant>
      <vt:variant>
        <vt:i4>1966131</vt:i4>
      </vt:variant>
      <vt:variant>
        <vt:i4>905</vt:i4>
      </vt:variant>
      <vt:variant>
        <vt:i4>0</vt:i4>
      </vt:variant>
      <vt:variant>
        <vt:i4>5</vt:i4>
      </vt:variant>
      <vt:variant>
        <vt:lpwstr/>
      </vt:variant>
      <vt:variant>
        <vt:lpwstr>_Toc150852760</vt:lpwstr>
      </vt:variant>
      <vt:variant>
        <vt:i4>1900595</vt:i4>
      </vt:variant>
      <vt:variant>
        <vt:i4>899</vt:i4>
      </vt:variant>
      <vt:variant>
        <vt:i4>0</vt:i4>
      </vt:variant>
      <vt:variant>
        <vt:i4>5</vt:i4>
      </vt:variant>
      <vt:variant>
        <vt:lpwstr/>
      </vt:variant>
      <vt:variant>
        <vt:lpwstr>_Toc150852759</vt:lpwstr>
      </vt:variant>
      <vt:variant>
        <vt:i4>1900595</vt:i4>
      </vt:variant>
      <vt:variant>
        <vt:i4>893</vt:i4>
      </vt:variant>
      <vt:variant>
        <vt:i4>0</vt:i4>
      </vt:variant>
      <vt:variant>
        <vt:i4>5</vt:i4>
      </vt:variant>
      <vt:variant>
        <vt:lpwstr/>
      </vt:variant>
      <vt:variant>
        <vt:lpwstr>_Toc150852758</vt:lpwstr>
      </vt:variant>
      <vt:variant>
        <vt:i4>1900595</vt:i4>
      </vt:variant>
      <vt:variant>
        <vt:i4>887</vt:i4>
      </vt:variant>
      <vt:variant>
        <vt:i4>0</vt:i4>
      </vt:variant>
      <vt:variant>
        <vt:i4>5</vt:i4>
      </vt:variant>
      <vt:variant>
        <vt:lpwstr/>
      </vt:variant>
      <vt:variant>
        <vt:lpwstr>_Toc150852757</vt:lpwstr>
      </vt:variant>
      <vt:variant>
        <vt:i4>1900595</vt:i4>
      </vt:variant>
      <vt:variant>
        <vt:i4>881</vt:i4>
      </vt:variant>
      <vt:variant>
        <vt:i4>0</vt:i4>
      </vt:variant>
      <vt:variant>
        <vt:i4>5</vt:i4>
      </vt:variant>
      <vt:variant>
        <vt:lpwstr/>
      </vt:variant>
      <vt:variant>
        <vt:lpwstr>_Toc150852756</vt:lpwstr>
      </vt:variant>
      <vt:variant>
        <vt:i4>1900595</vt:i4>
      </vt:variant>
      <vt:variant>
        <vt:i4>875</vt:i4>
      </vt:variant>
      <vt:variant>
        <vt:i4>0</vt:i4>
      </vt:variant>
      <vt:variant>
        <vt:i4>5</vt:i4>
      </vt:variant>
      <vt:variant>
        <vt:lpwstr/>
      </vt:variant>
      <vt:variant>
        <vt:lpwstr>_Toc150852755</vt:lpwstr>
      </vt:variant>
      <vt:variant>
        <vt:i4>1900595</vt:i4>
      </vt:variant>
      <vt:variant>
        <vt:i4>866</vt:i4>
      </vt:variant>
      <vt:variant>
        <vt:i4>0</vt:i4>
      </vt:variant>
      <vt:variant>
        <vt:i4>5</vt:i4>
      </vt:variant>
      <vt:variant>
        <vt:lpwstr/>
      </vt:variant>
      <vt:variant>
        <vt:lpwstr>_Toc150852754</vt:lpwstr>
      </vt:variant>
      <vt:variant>
        <vt:i4>1900595</vt:i4>
      </vt:variant>
      <vt:variant>
        <vt:i4>860</vt:i4>
      </vt:variant>
      <vt:variant>
        <vt:i4>0</vt:i4>
      </vt:variant>
      <vt:variant>
        <vt:i4>5</vt:i4>
      </vt:variant>
      <vt:variant>
        <vt:lpwstr/>
      </vt:variant>
      <vt:variant>
        <vt:lpwstr>_Toc150852753</vt:lpwstr>
      </vt:variant>
      <vt:variant>
        <vt:i4>1900595</vt:i4>
      </vt:variant>
      <vt:variant>
        <vt:i4>854</vt:i4>
      </vt:variant>
      <vt:variant>
        <vt:i4>0</vt:i4>
      </vt:variant>
      <vt:variant>
        <vt:i4>5</vt:i4>
      </vt:variant>
      <vt:variant>
        <vt:lpwstr/>
      </vt:variant>
      <vt:variant>
        <vt:lpwstr>_Toc150852752</vt:lpwstr>
      </vt:variant>
      <vt:variant>
        <vt:i4>1900595</vt:i4>
      </vt:variant>
      <vt:variant>
        <vt:i4>848</vt:i4>
      </vt:variant>
      <vt:variant>
        <vt:i4>0</vt:i4>
      </vt:variant>
      <vt:variant>
        <vt:i4>5</vt:i4>
      </vt:variant>
      <vt:variant>
        <vt:lpwstr/>
      </vt:variant>
      <vt:variant>
        <vt:lpwstr>_Toc150852751</vt:lpwstr>
      </vt:variant>
      <vt:variant>
        <vt:i4>1900595</vt:i4>
      </vt:variant>
      <vt:variant>
        <vt:i4>842</vt:i4>
      </vt:variant>
      <vt:variant>
        <vt:i4>0</vt:i4>
      </vt:variant>
      <vt:variant>
        <vt:i4>5</vt:i4>
      </vt:variant>
      <vt:variant>
        <vt:lpwstr/>
      </vt:variant>
      <vt:variant>
        <vt:lpwstr>_Toc150852750</vt:lpwstr>
      </vt:variant>
      <vt:variant>
        <vt:i4>1835059</vt:i4>
      </vt:variant>
      <vt:variant>
        <vt:i4>836</vt:i4>
      </vt:variant>
      <vt:variant>
        <vt:i4>0</vt:i4>
      </vt:variant>
      <vt:variant>
        <vt:i4>5</vt:i4>
      </vt:variant>
      <vt:variant>
        <vt:lpwstr/>
      </vt:variant>
      <vt:variant>
        <vt:lpwstr>_Toc150852749</vt:lpwstr>
      </vt:variant>
      <vt:variant>
        <vt:i4>1835059</vt:i4>
      </vt:variant>
      <vt:variant>
        <vt:i4>830</vt:i4>
      </vt:variant>
      <vt:variant>
        <vt:i4>0</vt:i4>
      </vt:variant>
      <vt:variant>
        <vt:i4>5</vt:i4>
      </vt:variant>
      <vt:variant>
        <vt:lpwstr/>
      </vt:variant>
      <vt:variant>
        <vt:lpwstr>_Toc150852748</vt:lpwstr>
      </vt:variant>
      <vt:variant>
        <vt:i4>1835059</vt:i4>
      </vt:variant>
      <vt:variant>
        <vt:i4>824</vt:i4>
      </vt:variant>
      <vt:variant>
        <vt:i4>0</vt:i4>
      </vt:variant>
      <vt:variant>
        <vt:i4>5</vt:i4>
      </vt:variant>
      <vt:variant>
        <vt:lpwstr/>
      </vt:variant>
      <vt:variant>
        <vt:lpwstr>_Toc150852747</vt:lpwstr>
      </vt:variant>
      <vt:variant>
        <vt:i4>1835059</vt:i4>
      </vt:variant>
      <vt:variant>
        <vt:i4>818</vt:i4>
      </vt:variant>
      <vt:variant>
        <vt:i4>0</vt:i4>
      </vt:variant>
      <vt:variant>
        <vt:i4>5</vt:i4>
      </vt:variant>
      <vt:variant>
        <vt:lpwstr/>
      </vt:variant>
      <vt:variant>
        <vt:lpwstr>_Toc150852746</vt:lpwstr>
      </vt:variant>
      <vt:variant>
        <vt:i4>1835059</vt:i4>
      </vt:variant>
      <vt:variant>
        <vt:i4>812</vt:i4>
      </vt:variant>
      <vt:variant>
        <vt:i4>0</vt:i4>
      </vt:variant>
      <vt:variant>
        <vt:i4>5</vt:i4>
      </vt:variant>
      <vt:variant>
        <vt:lpwstr/>
      </vt:variant>
      <vt:variant>
        <vt:lpwstr>_Toc150852745</vt:lpwstr>
      </vt:variant>
      <vt:variant>
        <vt:i4>1835059</vt:i4>
      </vt:variant>
      <vt:variant>
        <vt:i4>806</vt:i4>
      </vt:variant>
      <vt:variant>
        <vt:i4>0</vt:i4>
      </vt:variant>
      <vt:variant>
        <vt:i4>5</vt:i4>
      </vt:variant>
      <vt:variant>
        <vt:lpwstr/>
      </vt:variant>
      <vt:variant>
        <vt:lpwstr>_Toc150852744</vt:lpwstr>
      </vt:variant>
      <vt:variant>
        <vt:i4>1835059</vt:i4>
      </vt:variant>
      <vt:variant>
        <vt:i4>800</vt:i4>
      </vt:variant>
      <vt:variant>
        <vt:i4>0</vt:i4>
      </vt:variant>
      <vt:variant>
        <vt:i4>5</vt:i4>
      </vt:variant>
      <vt:variant>
        <vt:lpwstr/>
      </vt:variant>
      <vt:variant>
        <vt:lpwstr>_Toc150852743</vt:lpwstr>
      </vt:variant>
      <vt:variant>
        <vt:i4>1835059</vt:i4>
      </vt:variant>
      <vt:variant>
        <vt:i4>794</vt:i4>
      </vt:variant>
      <vt:variant>
        <vt:i4>0</vt:i4>
      </vt:variant>
      <vt:variant>
        <vt:i4>5</vt:i4>
      </vt:variant>
      <vt:variant>
        <vt:lpwstr/>
      </vt:variant>
      <vt:variant>
        <vt:lpwstr>_Toc150852742</vt:lpwstr>
      </vt:variant>
      <vt:variant>
        <vt:i4>1835059</vt:i4>
      </vt:variant>
      <vt:variant>
        <vt:i4>788</vt:i4>
      </vt:variant>
      <vt:variant>
        <vt:i4>0</vt:i4>
      </vt:variant>
      <vt:variant>
        <vt:i4>5</vt:i4>
      </vt:variant>
      <vt:variant>
        <vt:lpwstr/>
      </vt:variant>
      <vt:variant>
        <vt:lpwstr>_Toc150852741</vt:lpwstr>
      </vt:variant>
      <vt:variant>
        <vt:i4>1835059</vt:i4>
      </vt:variant>
      <vt:variant>
        <vt:i4>782</vt:i4>
      </vt:variant>
      <vt:variant>
        <vt:i4>0</vt:i4>
      </vt:variant>
      <vt:variant>
        <vt:i4>5</vt:i4>
      </vt:variant>
      <vt:variant>
        <vt:lpwstr/>
      </vt:variant>
      <vt:variant>
        <vt:lpwstr>_Toc150852740</vt:lpwstr>
      </vt:variant>
      <vt:variant>
        <vt:i4>1769523</vt:i4>
      </vt:variant>
      <vt:variant>
        <vt:i4>776</vt:i4>
      </vt:variant>
      <vt:variant>
        <vt:i4>0</vt:i4>
      </vt:variant>
      <vt:variant>
        <vt:i4>5</vt:i4>
      </vt:variant>
      <vt:variant>
        <vt:lpwstr/>
      </vt:variant>
      <vt:variant>
        <vt:lpwstr>_Toc150852739</vt:lpwstr>
      </vt:variant>
      <vt:variant>
        <vt:i4>1769523</vt:i4>
      </vt:variant>
      <vt:variant>
        <vt:i4>770</vt:i4>
      </vt:variant>
      <vt:variant>
        <vt:i4>0</vt:i4>
      </vt:variant>
      <vt:variant>
        <vt:i4>5</vt:i4>
      </vt:variant>
      <vt:variant>
        <vt:lpwstr/>
      </vt:variant>
      <vt:variant>
        <vt:lpwstr>_Toc150852738</vt:lpwstr>
      </vt:variant>
      <vt:variant>
        <vt:i4>1769523</vt:i4>
      </vt:variant>
      <vt:variant>
        <vt:i4>764</vt:i4>
      </vt:variant>
      <vt:variant>
        <vt:i4>0</vt:i4>
      </vt:variant>
      <vt:variant>
        <vt:i4>5</vt:i4>
      </vt:variant>
      <vt:variant>
        <vt:lpwstr/>
      </vt:variant>
      <vt:variant>
        <vt:lpwstr>_Toc150852737</vt:lpwstr>
      </vt:variant>
      <vt:variant>
        <vt:i4>1769523</vt:i4>
      </vt:variant>
      <vt:variant>
        <vt:i4>758</vt:i4>
      </vt:variant>
      <vt:variant>
        <vt:i4>0</vt:i4>
      </vt:variant>
      <vt:variant>
        <vt:i4>5</vt:i4>
      </vt:variant>
      <vt:variant>
        <vt:lpwstr/>
      </vt:variant>
      <vt:variant>
        <vt:lpwstr>_Toc150852736</vt:lpwstr>
      </vt:variant>
      <vt:variant>
        <vt:i4>1769523</vt:i4>
      </vt:variant>
      <vt:variant>
        <vt:i4>752</vt:i4>
      </vt:variant>
      <vt:variant>
        <vt:i4>0</vt:i4>
      </vt:variant>
      <vt:variant>
        <vt:i4>5</vt:i4>
      </vt:variant>
      <vt:variant>
        <vt:lpwstr/>
      </vt:variant>
      <vt:variant>
        <vt:lpwstr>_Toc150852735</vt:lpwstr>
      </vt:variant>
      <vt:variant>
        <vt:i4>1769523</vt:i4>
      </vt:variant>
      <vt:variant>
        <vt:i4>746</vt:i4>
      </vt:variant>
      <vt:variant>
        <vt:i4>0</vt:i4>
      </vt:variant>
      <vt:variant>
        <vt:i4>5</vt:i4>
      </vt:variant>
      <vt:variant>
        <vt:lpwstr/>
      </vt:variant>
      <vt:variant>
        <vt:lpwstr>_Toc150852734</vt:lpwstr>
      </vt:variant>
      <vt:variant>
        <vt:i4>1769523</vt:i4>
      </vt:variant>
      <vt:variant>
        <vt:i4>740</vt:i4>
      </vt:variant>
      <vt:variant>
        <vt:i4>0</vt:i4>
      </vt:variant>
      <vt:variant>
        <vt:i4>5</vt:i4>
      </vt:variant>
      <vt:variant>
        <vt:lpwstr/>
      </vt:variant>
      <vt:variant>
        <vt:lpwstr>_Toc150852733</vt:lpwstr>
      </vt:variant>
      <vt:variant>
        <vt:i4>1769523</vt:i4>
      </vt:variant>
      <vt:variant>
        <vt:i4>734</vt:i4>
      </vt:variant>
      <vt:variant>
        <vt:i4>0</vt:i4>
      </vt:variant>
      <vt:variant>
        <vt:i4>5</vt:i4>
      </vt:variant>
      <vt:variant>
        <vt:lpwstr/>
      </vt:variant>
      <vt:variant>
        <vt:lpwstr>_Toc150852732</vt:lpwstr>
      </vt:variant>
      <vt:variant>
        <vt:i4>1769523</vt:i4>
      </vt:variant>
      <vt:variant>
        <vt:i4>728</vt:i4>
      </vt:variant>
      <vt:variant>
        <vt:i4>0</vt:i4>
      </vt:variant>
      <vt:variant>
        <vt:i4>5</vt:i4>
      </vt:variant>
      <vt:variant>
        <vt:lpwstr/>
      </vt:variant>
      <vt:variant>
        <vt:lpwstr>_Toc150852731</vt:lpwstr>
      </vt:variant>
      <vt:variant>
        <vt:i4>1769523</vt:i4>
      </vt:variant>
      <vt:variant>
        <vt:i4>722</vt:i4>
      </vt:variant>
      <vt:variant>
        <vt:i4>0</vt:i4>
      </vt:variant>
      <vt:variant>
        <vt:i4>5</vt:i4>
      </vt:variant>
      <vt:variant>
        <vt:lpwstr/>
      </vt:variant>
      <vt:variant>
        <vt:lpwstr>_Toc150852730</vt:lpwstr>
      </vt:variant>
      <vt:variant>
        <vt:i4>1703987</vt:i4>
      </vt:variant>
      <vt:variant>
        <vt:i4>716</vt:i4>
      </vt:variant>
      <vt:variant>
        <vt:i4>0</vt:i4>
      </vt:variant>
      <vt:variant>
        <vt:i4>5</vt:i4>
      </vt:variant>
      <vt:variant>
        <vt:lpwstr/>
      </vt:variant>
      <vt:variant>
        <vt:lpwstr>_Toc150852729</vt:lpwstr>
      </vt:variant>
      <vt:variant>
        <vt:i4>1703987</vt:i4>
      </vt:variant>
      <vt:variant>
        <vt:i4>710</vt:i4>
      </vt:variant>
      <vt:variant>
        <vt:i4>0</vt:i4>
      </vt:variant>
      <vt:variant>
        <vt:i4>5</vt:i4>
      </vt:variant>
      <vt:variant>
        <vt:lpwstr/>
      </vt:variant>
      <vt:variant>
        <vt:lpwstr>_Toc150852728</vt:lpwstr>
      </vt:variant>
      <vt:variant>
        <vt:i4>1703987</vt:i4>
      </vt:variant>
      <vt:variant>
        <vt:i4>704</vt:i4>
      </vt:variant>
      <vt:variant>
        <vt:i4>0</vt:i4>
      </vt:variant>
      <vt:variant>
        <vt:i4>5</vt:i4>
      </vt:variant>
      <vt:variant>
        <vt:lpwstr/>
      </vt:variant>
      <vt:variant>
        <vt:lpwstr>_Toc150852727</vt:lpwstr>
      </vt:variant>
      <vt:variant>
        <vt:i4>1703987</vt:i4>
      </vt:variant>
      <vt:variant>
        <vt:i4>698</vt:i4>
      </vt:variant>
      <vt:variant>
        <vt:i4>0</vt:i4>
      </vt:variant>
      <vt:variant>
        <vt:i4>5</vt:i4>
      </vt:variant>
      <vt:variant>
        <vt:lpwstr/>
      </vt:variant>
      <vt:variant>
        <vt:lpwstr>_Toc150852726</vt:lpwstr>
      </vt:variant>
      <vt:variant>
        <vt:i4>1703987</vt:i4>
      </vt:variant>
      <vt:variant>
        <vt:i4>692</vt:i4>
      </vt:variant>
      <vt:variant>
        <vt:i4>0</vt:i4>
      </vt:variant>
      <vt:variant>
        <vt:i4>5</vt:i4>
      </vt:variant>
      <vt:variant>
        <vt:lpwstr/>
      </vt:variant>
      <vt:variant>
        <vt:lpwstr>_Toc150852725</vt:lpwstr>
      </vt:variant>
      <vt:variant>
        <vt:i4>1703987</vt:i4>
      </vt:variant>
      <vt:variant>
        <vt:i4>686</vt:i4>
      </vt:variant>
      <vt:variant>
        <vt:i4>0</vt:i4>
      </vt:variant>
      <vt:variant>
        <vt:i4>5</vt:i4>
      </vt:variant>
      <vt:variant>
        <vt:lpwstr/>
      </vt:variant>
      <vt:variant>
        <vt:lpwstr>_Toc150852724</vt:lpwstr>
      </vt:variant>
      <vt:variant>
        <vt:i4>1703987</vt:i4>
      </vt:variant>
      <vt:variant>
        <vt:i4>680</vt:i4>
      </vt:variant>
      <vt:variant>
        <vt:i4>0</vt:i4>
      </vt:variant>
      <vt:variant>
        <vt:i4>5</vt:i4>
      </vt:variant>
      <vt:variant>
        <vt:lpwstr/>
      </vt:variant>
      <vt:variant>
        <vt:lpwstr>_Toc150852723</vt:lpwstr>
      </vt:variant>
      <vt:variant>
        <vt:i4>1703987</vt:i4>
      </vt:variant>
      <vt:variant>
        <vt:i4>674</vt:i4>
      </vt:variant>
      <vt:variant>
        <vt:i4>0</vt:i4>
      </vt:variant>
      <vt:variant>
        <vt:i4>5</vt:i4>
      </vt:variant>
      <vt:variant>
        <vt:lpwstr/>
      </vt:variant>
      <vt:variant>
        <vt:lpwstr>_Toc150852722</vt:lpwstr>
      </vt:variant>
      <vt:variant>
        <vt:i4>1703987</vt:i4>
      </vt:variant>
      <vt:variant>
        <vt:i4>668</vt:i4>
      </vt:variant>
      <vt:variant>
        <vt:i4>0</vt:i4>
      </vt:variant>
      <vt:variant>
        <vt:i4>5</vt:i4>
      </vt:variant>
      <vt:variant>
        <vt:lpwstr/>
      </vt:variant>
      <vt:variant>
        <vt:lpwstr>_Toc150852721</vt:lpwstr>
      </vt:variant>
      <vt:variant>
        <vt:i4>1703987</vt:i4>
      </vt:variant>
      <vt:variant>
        <vt:i4>662</vt:i4>
      </vt:variant>
      <vt:variant>
        <vt:i4>0</vt:i4>
      </vt:variant>
      <vt:variant>
        <vt:i4>5</vt:i4>
      </vt:variant>
      <vt:variant>
        <vt:lpwstr/>
      </vt:variant>
      <vt:variant>
        <vt:lpwstr>_Toc150852720</vt:lpwstr>
      </vt:variant>
      <vt:variant>
        <vt:i4>1638451</vt:i4>
      </vt:variant>
      <vt:variant>
        <vt:i4>656</vt:i4>
      </vt:variant>
      <vt:variant>
        <vt:i4>0</vt:i4>
      </vt:variant>
      <vt:variant>
        <vt:i4>5</vt:i4>
      </vt:variant>
      <vt:variant>
        <vt:lpwstr/>
      </vt:variant>
      <vt:variant>
        <vt:lpwstr>_Toc150852719</vt:lpwstr>
      </vt:variant>
      <vt:variant>
        <vt:i4>1638451</vt:i4>
      </vt:variant>
      <vt:variant>
        <vt:i4>650</vt:i4>
      </vt:variant>
      <vt:variant>
        <vt:i4>0</vt:i4>
      </vt:variant>
      <vt:variant>
        <vt:i4>5</vt:i4>
      </vt:variant>
      <vt:variant>
        <vt:lpwstr/>
      </vt:variant>
      <vt:variant>
        <vt:lpwstr>_Toc150852718</vt:lpwstr>
      </vt:variant>
      <vt:variant>
        <vt:i4>1638451</vt:i4>
      </vt:variant>
      <vt:variant>
        <vt:i4>644</vt:i4>
      </vt:variant>
      <vt:variant>
        <vt:i4>0</vt:i4>
      </vt:variant>
      <vt:variant>
        <vt:i4>5</vt:i4>
      </vt:variant>
      <vt:variant>
        <vt:lpwstr/>
      </vt:variant>
      <vt:variant>
        <vt:lpwstr>_Toc150852717</vt:lpwstr>
      </vt:variant>
      <vt:variant>
        <vt:i4>1638451</vt:i4>
      </vt:variant>
      <vt:variant>
        <vt:i4>638</vt:i4>
      </vt:variant>
      <vt:variant>
        <vt:i4>0</vt:i4>
      </vt:variant>
      <vt:variant>
        <vt:i4>5</vt:i4>
      </vt:variant>
      <vt:variant>
        <vt:lpwstr/>
      </vt:variant>
      <vt:variant>
        <vt:lpwstr>_Toc150852716</vt:lpwstr>
      </vt:variant>
      <vt:variant>
        <vt:i4>1638451</vt:i4>
      </vt:variant>
      <vt:variant>
        <vt:i4>632</vt:i4>
      </vt:variant>
      <vt:variant>
        <vt:i4>0</vt:i4>
      </vt:variant>
      <vt:variant>
        <vt:i4>5</vt:i4>
      </vt:variant>
      <vt:variant>
        <vt:lpwstr/>
      </vt:variant>
      <vt:variant>
        <vt:lpwstr>_Toc150852715</vt:lpwstr>
      </vt:variant>
      <vt:variant>
        <vt:i4>1638451</vt:i4>
      </vt:variant>
      <vt:variant>
        <vt:i4>626</vt:i4>
      </vt:variant>
      <vt:variant>
        <vt:i4>0</vt:i4>
      </vt:variant>
      <vt:variant>
        <vt:i4>5</vt:i4>
      </vt:variant>
      <vt:variant>
        <vt:lpwstr/>
      </vt:variant>
      <vt:variant>
        <vt:lpwstr>_Toc150852714</vt:lpwstr>
      </vt:variant>
      <vt:variant>
        <vt:i4>1638451</vt:i4>
      </vt:variant>
      <vt:variant>
        <vt:i4>620</vt:i4>
      </vt:variant>
      <vt:variant>
        <vt:i4>0</vt:i4>
      </vt:variant>
      <vt:variant>
        <vt:i4>5</vt:i4>
      </vt:variant>
      <vt:variant>
        <vt:lpwstr/>
      </vt:variant>
      <vt:variant>
        <vt:lpwstr>_Toc150852713</vt:lpwstr>
      </vt:variant>
      <vt:variant>
        <vt:i4>1638451</vt:i4>
      </vt:variant>
      <vt:variant>
        <vt:i4>614</vt:i4>
      </vt:variant>
      <vt:variant>
        <vt:i4>0</vt:i4>
      </vt:variant>
      <vt:variant>
        <vt:i4>5</vt:i4>
      </vt:variant>
      <vt:variant>
        <vt:lpwstr/>
      </vt:variant>
      <vt:variant>
        <vt:lpwstr>_Toc150852712</vt:lpwstr>
      </vt:variant>
      <vt:variant>
        <vt:i4>1638451</vt:i4>
      </vt:variant>
      <vt:variant>
        <vt:i4>608</vt:i4>
      </vt:variant>
      <vt:variant>
        <vt:i4>0</vt:i4>
      </vt:variant>
      <vt:variant>
        <vt:i4>5</vt:i4>
      </vt:variant>
      <vt:variant>
        <vt:lpwstr/>
      </vt:variant>
      <vt:variant>
        <vt:lpwstr>_Toc150852711</vt:lpwstr>
      </vt:variant>
      <vt:variant>
        <vt:i4>1638451</vt:i4>
      </vt:variant>
      <vt:variant>
        <vt:i4>602</vt:i4>
      </vt:variant>
      <vt:variant>
        <vt:i4>0</vt:i4>
      </vt:variant>
      <vt:variant>
        <vt:i4>5</vt:i4>
      </vt:variant>
      <vt:variant>
        <vt:lpwstr/>
      </vt:variant>
      <vt:variant>
        <vt:lpwstr>_Toc150852710</vt:lpwstr>
      </vt:variant>
      <vt:variant>
        <vt:i4>1572915</vt:i4>
      </vt:variant>
      <vt:variant>
        <vt:i4>596</vt:i4>
      </vt:variant>
      <vt:variant>
        <vt:i4>0</vt:i4>
      </vt:variant>
      <vt:variant>
        <vt:i4>5</vt:i4>
      </vt:variant>
      <vt:variant>
        <vt:lpwstr/>
      </vt:variant>
      <vt:variant>
        <vt:lpwstr>_Toc150852709</vt:lpwstr>
      </vt:variant>
      <vt:variant>
        <vt:i4>1572915</vt:i4>
      </vt:variant>
      <vt:variant>
        <vt:i4>590</vt:i4>
      </vt:variant>
      <vt:variant>
        <vt:i4>0</vt:i4>
      </vt:variant>
      <vt:variant>
        <vt:i4>5</vt:i4>
      </vt:variant>
      <vt:variant>
        <vt:lpwstr/>
      </vt:variant>
      <vt:variant>
        <vt:lpwstr>_Toc150852708</vt:lpwstr>
      </vt:variant>
      <vt:variant>
        <vt:i4>1572915</vt:i4>
      </vt:variant>
      <vt:variant>
        <vt:i4>584</vt:i4>
      </vt:variant>
      <vt:variant>
        <vt:i4>0</vt:i4>
      </vt:variant>
      <vt:variant>
        <vt:i4>5</vt:i4>
      </vt:variant>
      <vt:variant>
        <vt:lpwstr/>
      </vt:variant>
      <vt:variant>
        <vt:lpwstr>_Toc150852707</vt:lpwstr>
      </vt:variant>
      <vt:variant>
        <vt:i4>1572915</vt:i4>
      </vt:variant>
      <vt:variant>
        <vt:i4>578</vt:i4>
      </vt:variant>
      <vt:variant>
        <vt:i4>0</vt:i4>
      </vt:variant>
      <vt:variant>
        <vt:i4>5</vt:i4>
      </vt:variant>
      <vt:variant>
        <vt:lpwstr/>
      </vt:variant>
      <vt:variant>
        <vt:lpwstr>_Toc150852706</vt:lpwstr>
      </vt:variant>
      <vt:variant>
        <vt:i4>1572915</vt:i4>
      </vt:variant>
      <vt:variant>
        <vt:i4>572</vt:i4>
      </vt:variant>
      <vt:variant>
        <vt:i4>0</vt:i4>
      </vt:variant>
      <vt:variant>
        <vt:i4>5</vt:i4>
      </vt:variant>
      <vt:variant>
        <vt:lpwstr/>
      </vt:variant>
      <vt:variant>
        <vt:lpwstr>_Toc150852705</vt:lpwstr>
      </vt:variant>
      <vt:variant>
        <vt:i4>1572915</vt:i4>
      </vt:variant>
      <vt:variant>
        <vt:i4>566</vt:i4>
      </vt:variant>
      <vt:variant>
        <vt:i4>0</vt:i4>
      </vt:variant>
      <vt:variant>
        <vt:i4>5</vt:i4>
      </vt:variant>
      <vt:variant>
        <vt:lpwstr/>
      </vt:variant>
      <vt:variant>
        <vt:lpwstr>_Toc150852704</vt:lpwstr>
      </vt:variant>
      <vt:variant>
        <vt:i4>1572915</vt:i4>
      </vt:variant>
      <vt:variant>
        <vt:i4>560</vt:i4>
      </vt:variant>
      <vt:variant>
        <vt:i4>0</vt:i4>
      </vt:variant>
      <vt:variant>
        <vt:i4>5</vt:i4>
      </vt:variant>
      <vt:variant>
        <vt:lpwstr/>
      </vt:variant>
      <vt:variant>
        <vt:lpwstr>_Toc150852703</vt:lpwstr>
      </vt:variant>
      <vt:variant>
        <vt:i4>1572915</vt:i4>
      </vt:variant>
      <vt:variant>
        <vt:i4>554</vt:i4>
      </vt:variant>
      <vt:variant>
        <vt:i4>0</vt:i4>
      </vt:variant>
      <vt:variant>
        <vt:i4>5</vt:i4>
      </vt:variant>
      <vt:variant>
        <vt:lpwstr/>
      </vt:variant>
      <vt:variant>
        <vt:lpwstr>_Toc150852702</vt:lpwstr>
      </vt:variant>
      <vt:variant>
        <vt:i4>1572915</vt:i4>
      </vt:variant>
      <vt:variant>
        <vt:i4>548</vt:i4>
      </vt:variant>
      <vt:variant>
        <vt:i4>0</vt:i4>
      </vt:variant>
      <vt:variant>
        <vt:i4>5</vt:i4>
      </vt:variant>
      <vt:variant>
        <vt:lpwstr/>
      </vt:variant>
      <vt:variant>
        <vt:lpwstr>_Toc150852701</vt:lpwstr>
      </vt:variant>
      <vt:variant>
        <vt:i4>1572915</vt:i4>
      </vt:variant>
      <vt:variant>
        <vt:i4>542</vt:i4>
      </vt:variant>
      <vt:variant>
        <vt:i4>0</vt:i4>
      </vt:variant>
      <vt:variant>
        <vt:i4>5</vt:i4>
      </vt:variant>
      <vt:variant>
        <vt:lpwstr/>
      </vt:variant>
      <vt:variant>
        <vt:lpwstr>_Toc150852700</vt:lpwstr>
      </vt:variant>
      <vt:variant>
        <vt:i4>1114162</vt:i4>
      </vt:variant>
      <vt:variant>
        <vt:i4>536</vt:i4>
      </vt:variant>
      <vt:variant>
        <vt:i4>0</vt:i4>
      </vt:variant>
      <vt:variant>
        <vt:i4>5</vt:i4>
      </vt:variant>
      <vt:variant>
        <vt:lpwstr/>
      </vt:variant>
      <vt:variant>
        <vt:lpwstr>_Toc150852699</vt:lpwstr>
      </vt:variant>
      <vt:variant>
        <vt:i4>1114162</vt:i4>
      </vt:variant>
      <vt:variant>
        <vt:i4>530</vt:i4>
      </vt:variant>
      <vt:variant>
        <vt:i4>0</vt:i4>
      </vt:variant>
      <vt:variant>
        <vt:i4>5</vt:i4>
      </vt:variant>
      <vt:variant>
        <vt:lpwstr/>
      </vt:variant>
      <vt:variant>
        <vt:lpwstr>_Toc150852698</vt:lpwstr>
      </vt:variant>
      <vt:variant>
        <vt:i4>1114162</vt:i4>
      </vt:variant>
      <vt:variant>
        <vt:i4>524</vt:i4>
      </vt:variant>
      <vt:variant>
        <vt:i4>0</vt:i4>
      </vt:variant>
      <vt:variant>
        <vt:i4>5</vt:i4>
      </vt:variant>
      <vt:variant>
        <vt:lpwstr/>
      </vt:variant>
      <vt:variant>
        <vt:lpwstr>_Toc150852697</vt:lpwstr>
      </vt:variant>
      <vt:variant>
        <vt:i4>1114162</vt:i4>
      </vt:variant>
      <vt:variant>
        <vt:i4>518</vt:i4>
      </vt:variant>
      <vt:variant>
        <vt:i4>0</vt:i4>
      </vt:variant>
      <vt:variant>
        <vt:i4>5</vt:i4>
      </vt:variant>
      <vt:variant>
        <vt:lpwstr/>
      </vt:variant>
      <vt:variant>
        <vt:lpwstr>_Toc150852696</vt:lpwstr>
      </vt:variant>
      <vt:variant>
        <vt:i4>1114162</vt:i4>
      </vt:variant>
      <vt:variant>
        <vt:i4>512</vt:i4>
      </vt:variant>
      <vt:variant>
        <vt:i4>0</vt:i4>
      </vt:variant>
      <vt:variant>
        <vt:i4>5</vt:i4>
      </vt:variant>
      <vt:variant>
        <vt:lpwstr/>
      </vt:variant>
      <vt:variant>
        <vt:lpwstr>_Toc150852695</vt:lpwstr>
      </vt:variant>
      <vt:variant>
        <vt:i4>1114162</vt:i4>
      </vt:variant>
      <vt:variant>
        <vt:i4>506</vt:i4>
      </vt:variant>
      <vt:variant>
        <vt:i4>0</vt:i4>
      </vt:variant>
      <vt:variant>
        <vt:i4>5</vt:i4>
      </vt:variant>
      <vt:variant>
        <vt:lpwstr/>
      </vt:variant>
      <vt:variant>
        <vt:lpwstr>_Toc150852694</vt:lpwstr>
      </vt:variant>
      <vt:variant>
        <vt:i4>1114162</vt:i4>
      </vt:variant>
      <vt:variant>
        <vt:i4>500</vt:i4>
      </vt:variant>
      <vt:variant>
        <vt:i4>0</vt:i4>
      </vt:variant>
      <vt:variant>
        <vt:i4>5</vt:i4>
      </vt:variant>
      <vt:variant>
        <vt:lpwstr/>
      </vt:variant>
      <vt:variant>
        <vt:lpwstr>_Toc150852693</vt:lpwstr>
      </vt:variant>
      <vt:variant>
        <vt:i4>1114162</vt:i4>
      </vt:variant>
      <vt:variant>
        <vt:i4>494</vt:i4>
      </vt:variant>
      <vt:variant>
        <vt:i4>0</vt:i4>
      </vt:variant>
      <vt:variant>
        <vt:i4>5</vt:i4>
      </vt:variant>
      <vt:variant>
        <vt:lpwstr/>
      </vt:variant>
      <vt:variant>
        <vt:lpwstr>_Toc150852692</vt:lpwstr>
      </vt:variant>
      <vt:variant>
        <vt:i4>1114162</vt:i4>
      </vt:variant>
      <vt:variant>
        <vt:i4>488</vt:i4>
      </vt:variant>
      <vt:variant>
        <vt:i4>0</vt:i4>
      </vt:variant>
      <vt:variant>
        <vt:i4>5</vt:i4>
      </vt:variant>
      <vt:variant>
        <vt:lpwstr/>
      </vt:variant>
      <vt:variant>
        <vt:lpwstr>_Toc150852691</vt:lpwstr>
      </vt:variant>
      <vt:variant>
        <vt:i4>1114162</vt:i4>
      </vt:variant>
      <vt:variant>
        <vt:i4>482</vt:i4>
      </vt:variant>
      <vt:variant>
        <vt:i4>0</vt:i4>
      </vt:variant>
      <vt:variant>
        <vt:i4>5</vt:i4>
      </vt:variant>
      <vt:variant>
        <vt:lpwstr/>
      </vt:variant>
      <vt:variant>
        <vt:lpwstr>_Toc150852690</vt:lpwstr>
      </vt:variant>
      <vt:variant>
        <vt:i4>1048626</vt:i4>
      </vt:variant>
      <vt:variant>
        <vt:i4>476</vt:i4>
      </vt:variant>
      <vt:variant>
        <vt:i4>0</vt:i4>
      </vt:variant>
      <vt:variant>
        <vt:i4>5</vt:i4>
      </vt:variant>
      <vt:variant>
        <vt:lpwstr/>
      </vt:variant>
      <vt:variant>
        <vt:lpwstr>_Toc150852689</vt:lpwstr>
      </vt:variant>
      <vt:variant>
        <vt:i4>1048626</vt:i4>
      </vt:variant>
      <vt:variant>
        <vt:i4>470</vt:i4>
      </vt:variant>
      <vt:variant>
        <vt:i4>0</vt:i4>
      </vt:variant>
      <vt:variant>
        <vt:i4>5</vt:i4>
      </vt:variant>
      <vt:variant>
        <vt:lpwstr/>
      </vt:variant>
      <vt:variant>
        <vt:lpwstr>_Toc150852688</vt:lpwstr>
      </vt:variant>
      <vt:variant>
        <vt:i4>1048626</vt:i4>
      </vt:variant>
      <vt:variant>
        <vt:i4>464</vt:i4>
      </vt:variant>
      <vt:variant>
        <vt:i4>0</vt:i4>
      </vt:variant>
      <vt:variant>
        <vt:i4>5</vt:i4>
      </vt:variant>
      <vt:variant>
        <vt:lpwstr/>
      </vt:variant>
      <vt:variant>
        <vt:lpwstr>_Toc150852687</vt:lpwstr>
      </vt:variant>
      <vt:variant>
        <vt:i4>1048626</vt:i4>
      </vt:variant>
      <vt:variant>
        <vt:i4>458</vt:i4>
      </vt:variant>
      <vt:variant>
        <vt:i4>0</vt:i4>
      </vt:variant>
      <vt:variant>
        <vt:i4>5</vt:i4>
      </vt:variant>
      <vt:variant>
        <vt:lpwstr/>
      </vt:variant>
      <vt:variant>
        <vt:lpwstr>_Toc150852686</vt:lpwstr>
      </vt:variant>
      <vt:variant>
        <vt:i4>1048626</vt:i4>
      </vt:variant>
      <vt:variant>
        <vt:i4>452</vt:i4>
      </vt:variant>
      <vt:variant>
        <vt:i4>0</vt:i4>
      </vt:variant>
      <vt:variant>
        <vt:i4>5</vt:i4>
      </vt:variant>
      <vt:variant>
        <vt:lpwstr/>
      </vt:variant>
      <vt:variant>
        <vt:lpwstr>_Toc150852685</vt:lpwstr>
      </vt:variant>
      <vt:variant>
        <vt:i4>1048626</vt:i4>
      </vt:variant>
      <vt:variant>
        <vt:i4>446</vt:i4>
      </vt:variant>
      <vt:variant>
        <vt:i4>0</vt:i4>
      </vt:variant>
      <vt:variant>
        <vt:i4>5</vt:i4>
      </vt:variant>
      <vt:variant>
        <vt:lpwstr/>
      </vt:variant>
      <vt:variant>
        <vt:lpwstr>_Toc150852684</vt:lpwstr>
      </vt:variant>
      <vt:variant>
        <vt:i4>1048626</vt:i4>
      </vt:variant>
      <vt:variant>
        <vt:i4>440</vt:i4>
      </vt:variant>
      <vt:variant>
        <vt:i4>0</vt:i4>
      </vt:variant>
      <vt:variant>
        <vt:i4>5</vt:i4>
      </vt:variant>
      <vt:variant>
        <vt:lpwstr/>
      </vt:variant>
      <vt:variant>
        <vt:lpwstr>_Toc150852683</vt:lpwstr>
      </vt:variant>
      <vt:variant>
        <vt:i4>1048626</vt:i4>
      </vt:variant>
      <vt:variant>
        <vt:i4>434</vt:i4>
      </vt:variant>
      <vt:variant>
        <vt:i4>0</vt:i4>
      </vt:variant>
      <vt:variant>
        <vt:i4>5</vt:i4>
      </vt:variant>
      <vt:variant>
        <vt:lpwstr/>
      </vt:variant>
      <vt:variant>
        <vt:lpwstr>_Toc150852682</vt:lpwstr>
      </vt:variant>
      <vt:variant>
        <vt:i4>1048626</vt:i4>
      </vt:variant>
      <vt:variant>
        <vt:i4>428</vt:i4>
      </vt:variant>
      <vt:variant>
        <vt:i4>0</vt:i4>
      </vt:variant>
      <vt:variant>
        <vt:i4>5</vt:i4>
      </vt:variant>
      <vt:variant>
        <vt:lpwstr/>
      </vt:variant>
      <vt:variant>
        <vt:lpwstr>_Toc150852681</vt:lpwstr>
      </vt:variant>
      <vt:variant>
        <vt:i4>1048626</vt:i4>
      </vt:variant>
      <vt:variant>
        <vt:i4>422</vt:i4>
      </vt:variant>
      <vt:variant>
        <vt:i4>0</vt:i4>
      </vt:variant>
      <vt:variant>
        <vt:i4>5</vt:i4>
      </vt:variant>
      <vt:variant>
        <vt:lpwstr/>
      </vt:variant>
      <vt:variant>
        <vt:lpwstr>_Toc150852680</vt:lpwstr>
      </vt:variant>
      <vt:variant>
        <vt:i4>2031666</vt:i4>
      </vt:variant>
      <vt:variant>
        <vt:i4>416</vt:i4>
      </vt:variant>
      <vt:variant>
        <vt:i4>0</vt:i4>
      </vt:variant>
      <vt:variant>
        <vt:i4>5</vt:i4>
      </vt:variant>
      <vt:variant>
        <vt:lpwstr/>
      </vt:variant>
      <vt:variant>
        <vt:lpwstr>_Toc150852679</vt:lpwstr>
      </vt:variant>
      <vt:variant>
        <vt:i4>2031666</vt:i4>
      </vt:variant>
      <vt:variant>
        <vt:i4>410</vt:i4>
      </vt:variant>
      <vt:variant>
        <vt:i4>0</vt:i4>
      </vt:variant>
      <vt:variant>
        <vt:i4>5</vt:i4>
      </vt:variant>
      <vt:variant>
        <vt:lpwstr/>
      </vt:variant>
      <vt:variant>
        <vt:lpwstr>_Toc150852678</vt:lpwstr>
      </vt:variant>
      <vt:variant>
        <vt:i4>2031666</vt:i4>
      </vt:variant>
      <vt:variant>
        <vt:i4>404</vt:i4>
      </vt:variant>
      <vt:variant>
        <vt:i4>0</vt:i4>
      </vt:variant>
      <vt:variant>
        <vt:i4>5</vt:i4>
      </vt:variant>
      <vt:variant>
        <vt:lpwstr/>
      </vt:variant>
      <vt:variant>
        <vt:lpwstr>_Toc150852677</vt:lpwstr>
      </vt:variant>
      <vt:variant>
        <vt:i4>2031666</vt:i4>
      </vt:variant>
      <vt:variant>
        <vt:i4>398</vt:i4>
      </vt:variant>
      <vt:variant>
        <vt:i4>0</vt:i4>
      </vt:variant>
      <vt:variant>
        <vt:i4>5</vt:i4>
      </vt:variant>
      <vt:variant>
        <vt:lpwstr/>
      </vt:variant>
      <vt:variant>
        <vt:lpwstr>_Toc150852676</vt:lpwstr>
      </vt:variant>
      <vt:variant>
        <vt:i4>2031666</vt:i4>
      </vt:variant>
      <vt:variant>
        <vt:i4>392</vt:i4>
      </vt:variant>
      <vt:variant>
        <vt:i4>0</vt:i4>
      </vt:variant>
      <vt:variant>
        <vt:i4>5</vt:i4>
      </vt:variant>
      <vt:variant>
        <vt:lpwstr/>
      </vt:variant>
      <vt:variant>
        <vt:lpwstr>_Toc150852675</vt:lpwstr>
      </vt:variant>
      <vt:variant>
        <vt:i4>2031666</vt:i4>
      </vt:variant>
      <vt:variant>
        <vt:i4>386</vt:i4>
      </vt:variant>
      <vt:variant>
        <vt:i4>0</vt:i4>
      </vt:variant>
      <vt:variant>
        <vt:i4>5</vt:i4>
      </vt:variant>
      <vt:variant>
        <vt:lpwstr/>
      </vt:variant>
      <vt:variant>
        <vt:lpwstr>_Toc150852674</vt:lpwstr>
      </vt:variant>
      <vt:variant>
        <vt:i4>2031666</vt:i4>
      </vt:variant>
      <vt:variant>
        <vt:i4>380</vt:i4>
      </vt:variant>
      <vt:variant>
        <vt:i4>0</vt:i4>
      </vt:variant>
      <vt:variant>
        <vt:i4>5</vt:i4>
      </vt:variant>
      <vt:variant>
        <vt:lpwstr/>
      </vt:variant>
      <vt:variant>
        <vt:lpwstr>_Toc150852673</vt:lpwstr>
      </vt:variant>
      <vt:variant>
        <vt:i4>2031666</vt:i4>
      </vt:variant>
      <vt:variant>
        <vt:i4>374</vt:i4>
      </vt:variant>
      <vt:variant>
        <vt:i4>0</vt:i4>
      </vt:variant>
      <vt:variant>
        <vt:i4>5</vt:i4>
      </vt:variant>
      <vt:variant>
        <vt:lpwstr/>
      </vt:variant>
      <vt:variant>
        <vt:lpwstr>_Toc150852672</vt:lpwstr>
      </vt:variant>
      <vt:variant>
        <vt:i4>2031666</vt:i4>
      </vt:variant>
      <vt:variant>
        <vt:i4>368</vt:i4>
      </vt:variant>
      <vt:variant>
        <vt:i4>0</vt:i4>
      </vt:variant>
      <vt:variant>
        <vt:i4>5</vt:i4>
      </vt:variant>
      <vt:variant>
        <vt:lpwstr/>
      </vt:variant>
      <vt:variant>
        <vt:lpwstr>_Toc150852671</vt:lpwstr>
      </vt:variant>
      <vt:variant>
        <vt:i4>2031666</vt:i4>
      </vt:variant>
      <vt:variant>
        <vt:i4>362</vt:i4>
      </vt:variant>
      <vt:variant>
        <vt:i4>0</vt:i4>
      </vt:variant>
      <vt:variant>
        <vt:i4>5</vt:i4>
      </vt:variant>
      <vt:variant>
        <vt:lpwstr/>
      </vt:variant>
      <vt:variant>
        <vt:lpwstr>_Toc150852670</vt:lpwstr>
      </vt:variant>
      <vt:variant>
        <vt:i4>1966130</vt:i4>
      </vt:variant>
      <vt:variant>
        <vt:i4>356</vt:i4>
      </vt:variant>
      <vt:variant>
        <vt:i4>0</vt:i4>
      </vt:variant>
      <vt:variant>
        <vt:i4>5</vt:i4>
      </vt:variant>
      <vt:variant>
        <vt:lpwstr/>
      </vt:variant>
      <vt:variant>
        <vt:lpwstr>_Toc150852669</vt:lpwstr>
      </vt:variant>
      <vt:variant>
        <vt:i4>1966130</vt:i4>
      </vt:variant>
      <vt:variant>
        <vt:i4>350</vt:i4>
      </vt:variant>
      <vt:variant>
        <vt:i4>0</vt:i4>
      </vt:variant>
      <vt:variant>
        <vt:i4>5</vt:i4>
      </vt:variant>
      <vt:variant>
        <vt:lpwstr/>
      </vt:variant>
      <vt:variant>
        <vt:lpwstr>_Toc150852668</vt:lpwstr>
      </vt:variant>
      <vt:variant>
        <vt:i4>1966130</vt:i4>
      </vt:variant>
      <vt:variant>
        <vt:i4>344</vt:i4>
      </vt:variant>
      <vt:variant>
        <vt:i4>0</vt:i4>
      </vt:variant>
      <vt:variant>
        <vt:i4>5</vt:i4>
      </vt:variant>
      <vt:variant>
        <vt:lpwstr/>
      </vt:variant>
      <vt:variant>
        <vt:lpwstr>_Toc150852667</vt:lpwstr>
      </vt:variant>
      <vt:variant>
        <vt:i4>1966130</vt:i4>
      </vt:variant>
      <vt:variant>
        <vt:i4>338</vt:i4>
      </vt:variant>
      <vt:variant>
        <vt:i4>0</vt:i4>
      </vt:variant>
      <vt:variant>
        <vt:i4>5</vt:i4>
      </vt:variant>
      <vt:variant>
        <vt:lpwstr/>
      </vt:variant>
      <vt:variant>
        <vt:lpwstr>_Toc150852666</vt:lpwstr>
      </vt:variant>
      <vt:variant>
        <vt:i4>1966130</vt:i4>
      </vt:variant>
      <vt:variant>
        <vt:i4>332</vt:i4>
      </vt:variant>
      <vt:variant>
        <vt:i4>0</vt:i4>
      </vt:variant>
      <vt:variant>
        <vt:i4>5</vt:i4>
      </vt:variant>
      <vt:variant>
        <vt:lpwstr/>
      </vt:variant>
      <vt:variant>
        <vt:lpwstr>_Toc150852665</vt:lpwstr>
      </vt:variant>
      <vt:variant>
        <vt:i4>1966130</vt:i4>
      </vt:variant>
      <vt:variant>
        <vt:i4>326</vt:i4>
      </vt:variant>
      <vt:variant>
        <vt:i4>0</vt:i4>
      </vt:variant>
      <vt:variant>
        <vt:i4>5</vt:i4>
      </vt:variant>
      <vt:variant>
        <vt:lpwstr/>
      </vt:variant>
      <vt:variant>
        <vt:lpwstr>_Toc150852664</vt:lpwstr>
      </vt:variant>
      <vt:variant>
        <vt:i4>1966130</vt:i4>
      </vt:variant>
      <vt:variant>
        <vt:i4>320</vt:i4>
      </vt:variant>
      <vt:variant>
        <vt:i4>0</vt:i4>
      </vt:variant>
      <vt:variant>
        <vt:i4>5</vt:i4>
      </vt:variant>
      <vt:variant>
        <vt:lpwstr/>
      </vt:variant>
      <vt:variant>
        <vt:lpwstr>_Toc150852663</vt:lpwstr>
      </vt:variant>
      <vt:variant>
        <vt:i4>1966130</vt:i4>
      </vt:variant>
      <vt:variant>
        <vt:i4>314</vt:i4>
      </vt:variant>
      <vt:variant>
        <vt:i4>0</vt:i4>
      </vt:variant>
      <vt:variant>
        <vt:i4>5</vt:i4>
      </vt:variant>
      <vt:variant>
        <vt:lpwstr/>
      </vt:variant>
      <vt:variant>
        <vt:lpwstr>_Toc150852662</vt:lpwstr>
      </vt:variant>
      <vt:variant>
        <vt:i4>1966130</vt:i4>
      </vt:variant>
      <vt:variant>
        <vt:i4>308</vt:i4>
      </vt:variant>
      <vt:variant>
        <vt:i4>0</vt:i4>
      </vt:variant>
      <vt:variant>
        <vt:i4>5</vt:i4>
      </vt:variant>
      <vt:variant>
        <vt:lpwstr/>
      </vt:variant>
      <vt:variant>
        <vt:lpwstr>_Toc150852661</vt:lpwstr>
      </vt:variant>
      <vt:variant>
        <vt:i4>1966130</vt:i4>
      </vt:variant>
      <vt:variant>
        <vt:i4>302</vt:i4>
      </vt:variant>
      <vt:variant>
        <vt:i4>0</vt:i4>
      </vt:variant>
      <vt:variant>
        <vt:i4>5</vt:i4>
      </vt:variant>
      <vt:variant>
        <vt:lpwstr/>
      </vt:variant>
      <vt:variant>
        <vt:lpwstr>_Toc150852660</vt:lpwstr>
      </vt:variant>
      <vt:variant>
        <vt:i4>1900594</vt:i4>
      </vt:variant>
      <vt:variant>
        <vt:i4>296</vt:i4>
      </vt:variant>
      <vt:variant>
        <vt:i4>0</vt:i4>
      </vt:variant>
      <vt:variant>
        <vt:i4>5</vt:i4>
      </vt:variant>
      <vt:variant>
        <vt:lpwstr/>
      </vt:variant>
      <vt:variant>
        <vt:lpwstr>_Toc150852659</vt:lpwstr>
      </vt:variant>
      <vt:variant>
        <vt:i4>1900594</vt:i4>
      </vt:variant>
      <vt:variant>
        <vt:i4>290</vt:i4>
      </vt:variant>
      <vt:variant>
        <vt:i4>0</vt:i4>
      </vt:variant>
      <vt:variant>
        <vt:i4>5</vt:i4>
      </vt:variant>
      <vt:variant>
        <vt:lpwstr/>
      </vt:variant>
      <vt:variant>
        <vt:lpwstr>_Toc150852658</vt:lpwstr>
      </vt:variant>
      <vt:variant>
        <vt:i4>1900594</vt:i4>
      </vt:variant>
      <vt:variant>
        <vt:i4>284</vt:i4>
      </vt:variant>
      <vt:variant>
        <vt:i4>0</vt:i4>
      </vt:variant>
      <vt:variant>
        <vt:i4>5</vt:i4>
      </vt:variant>
      <vt:variant>
        <vt:lpwstr/>
      </vt:variant>
      <vt:variant>
        <vt:lpwstr>_Toc150852657</vt:lpwstr>
      </vt:variant>
      <vt:variant>
        <vt:i4>1900594</vt:i4>
      </vt:variant>
      <vt:variant>
        <vt:i4>278</vt:i4>
      </vt:variant>
      <vt:variant>
        <vt:i4>0</vt:i4>
      </vt:variant>
      <vt:variant>
        <vt:i4>5</vt:i4>
      </vt:variant>
      <vt:variant>
        <vt:lpwstr/>
      </vt:variant>
      <vt:variant>
        <vt:lpwstr>_Toc150852656</vt:lpwstr>
      </vt:variant>
      <vt:variant>
        <vt:i4>1900594</vt:i4>
      </vt:variant>
      <vt:variant>
        <vt:i4>272</vt:i4>
      </vt:variant>
      <vt:variant>
        <vt:i4>0</vt:i4>
      </vt:variant>
      <vt:variant>
        <vt:i4>5</vt:i4>
      </vt:variant>
      <vt:variant>
        <vt:lpwstr/>
      </vt:variant>
      <vt:variant>
        <vt:lpwstr>_Toc150852655</vt:lpwstr>
      </vt:variant>
      <vt:variant>
        <vt:i4>1900594</vt:i4>
      </vt:variant>
      <vt:variant>
        <vt:i4>266</vt:i4>
      </vt:variant>
      <vt:variant>
        <vt:i4>0</vt:i4>
      </vt:variant>
      <vt:variant>
        <vt:i4>5</vt:i4>
      </vt:variant>
      <vt:variant>
        <vt:lpwstr/>
      </vt:variant>
      <vt:variant>
        <vt:lpwstr>_Toc150852654</vt:lpwstr>
      </vt:variant>
      <vt:variant>
        <vt:i4>1900594</vt:i4>
      </vt:variant>
      <vt:variant>
        <vt:i4>260</vt:i4>
      </vt:variant>
      <vt:variant>
        <vt:i4>0</vt:i4>
      </vt:variant>
      <vt:variant>
        <vt:i4>5</vt:i4>
      </vt:variant>
      <vt:variant>
        <vt:lpwstr/>
      </vt:variant>
      <vt:variant>
        <vt:lpwstr>_Toc150852653</vt:lpwstr>
      </vt:variant>
      <vt:variant>
        <vt:i4>1900594</vt:i4>
      </vt:variant>
      <vt:variant>
        <vt:i4>254</vt:i4>
      </vt:variant>
      <vt:variant>
        <vt:i4>0</vt:i4>
      </vt:variant>
      <vt:variant>
        <vt:i4>5</vt:i4>
      </vt:variant>
      <vt:variant>
        <vt:lpwstr/>
      </vt:variant>
      <vt:variant>
        <vt:lpwstr>_Toc150852652</vt:lpwstr>
      </vt:variant>
      <vt:variant>
        <vt:i4>1900594</vt:i4>
      </vt:variant>
      <vt:variant>
        <vt:i4>248</vt:i4>
      </vt:variant>
      <vt:variant>
        <vt:i4>0</vt:i4>
      </vt:variant>
      <vt:variant>
        <vt:i4>5</vt:i4>
      </vt:variant>
      <vt:variant>
        <vt:lpwstr/>
      </vt:variant>
      <vt:variant>
        <vt:lpwstr>_Toc150852651</vt:lpwstr>
      </vt:variant>
      <vt:variant>
        <vt:i4>1900594</vt:i4>
      </vt:variant>
      <vt:variant>
        <vt:i4>242</vt:i4>
      </vt:variant>
      <vt:variant>
        <vt:i4>0</vt:i4>
      </vt:variant>
      <vt:variant>
        <vt:i4>5</vt:i4>
      </vt:variant>
      <vt:variant>
        <vt:lpwstr/>
      </vt:variant>
      <vt:variant>
        <vt:lpwstr>_Toc150852650</vt:lpwstr>
      </vt:variant>
      <vt:variant>
        <vt:i4>1835058</vt:i4>
      </vt:variant>
      <vt:variant>
        <vt:i4>236</vt:i4>
      </vt:variant>
      <vt:variant>
        <vt:i4>0</vt:i4>
      </vt:variant>
      <vt:variant>
        <vt:i4>5</vt:i4>
      </vt:variant>
      <vt:variant>
        <vt:lpwstr/>
      </vt:variant>
      <vt:variant>
        <vt:lpwstr>_Toc150852649</vt:lpwstr>
      </vt:variant>
      <vt:variant>
        <vt:i4>1835058</vt:i4>
      </vt:variant>
      <vt:variant>
        <vt:i4>230</vt:i4>
      </vt:variant>
      <vt:variant>
        <vt:i4>0</vt:i4>
      </vt:variant>
      <vt:variant>
        <vt:i4>5</vt:i4>
      </vt:variant>
      <vt:variant>
        <vt:lpwstr/>
      </vt:variant>
      <vt:variant>
        <vt:lpwstr>_Toc150852648</vt:lpwstr>
      </vt:variant>
      <vt:variant>
        <vt:i4>1835058</vt:i4>
      </vt:variant>
      <vt:variant>
        <vt:i4>224</vt:i4>
      </vt:variant>
      <vt:variant>
        <vt:i4>0</vt:i4>
      </vt:variant>
      <vt:variant>
        <vt:i4>5</vt:i4>
      </vt:variant>
      <vt:variant>
        <vt:lpwstr/>
      </vt:variant>
      <vt:variant>
        <vt:lpwstr>_Toc150852647</vt:lpwstr>
      </vt:variant>
      <vt:variant>
        <vt:i4>1835058</vt:i4>
      </vt:variant>
      <vt:variant>
        <vt:i4>218</vt:i4>
      </vt:variant>
      <vt:variant>
        <vt:i4>0</vt:i4>
      </vt:variant>
      <vt:variant>
        <vt:i4>5</vt:i4>
      </vt:variant>
      <vt:variant>
        <vt:lpwstr/>
      </vt:variant>
      <vt:variant>
        <vt:lpwstr>_Toc150852646</vt:lpwstr>
      </vt:variant>
      <vt:variant>
        <vt:i4>1835058</vt:i4>
      </vt:variant>
      <vt:variant>
        <vt:i4>212</vt:i4>
      </vt:variant>
      <vt:variant>
        <vt:i4>0</vt:i4>
      </vt:variant>
      <vt:variant>
        <vt:i4>5</vt:i4>
      </vt:variant>
      <vt:variant>
        <vt:lpwstr/>
      </vt:variant>
      <vt:variant>
        <vt:lpwstr>_Toc150852645</vt:lpwstr>
      </vt:variant>
      <vt:variant>
        <vt:i4>1835058</vt:i4>
      </vt:variant>
      <vt:variant>
        <vt:i4>206</vt:i4>
      </vt:variant>
      <vt:variant>
        <vt:i4>0</vt:i4>
      </vt:variant>
      <vt:variant>
        <vt:i4>5</vt:i4>
      </vt:variant>
      <vt:variant>
        <vt:lpwstr/>
      </vt:variant>
      <vt:variant>
        <vt:lpwstr>_Toc150852644</vt:lpwstr>
      </vt:variant>
      <vt:variant>
        <vt:i4>1835058</vt:i4>
      </vt:variant>
      <vt:variant>
        <vt:i4>200</vt:i4>
      </vt:variant>
      <vt:variant>
        <vt:i4>0</vt:i4>
      </vt:variant>
      <vt:variant>
        <vt:i4>5</vt:i4>
      </vt:variant>
      <vt:variant>
        <vt:lpwstr/>
      </vt:variant>
      <vt:variant>
        <vt:lpwstr>_Toc150852643</vt:lpwstr>
      </vt:variant>
      <vt:variant>
        <vt:i4>1835058</vt:i4>
      </vt:variant>
      <vt:variant>
        <vt:i4>194</vt:i4>
      </vt:variant>
      <vt:variant>
        <vt:i4>0</vt:i4>
      </vt:variant>
      <vt:variant>
        <vt:i4>5</vt:i4>
      </vt:variant>
      <vt:variant>
        <vt:lpwstr/>
      </vt:variant>
      <vt:variant>
        <vt:lpwstr>_Toc150852642</vt:lpwstr>
      </vt:variant>
      <vt:variant>
        <vt:i4>1835058</vt:i4>
      </vt:variant>
      <vt:variant>
        <vt:i4>188</vt:i4>
      </vt:variant>
      <vt:variant>
        <vt:i4>0</vt:i4>
      </vt:variant>
      <vt:variant>
        <vt:i4>5</vt:i4>
      </vt:variant>
      <vt:variant>
        <vt:lpwstr/>
      </vt:variant>
      <vt:variant>
        <vt:lpwstr>_Toc150852641</vt:lpwstr>
      </vt:variant>
      <vt:variant>
        <vt:i4>1835058</vt:i4>
      </vt:variant>
      <vt:variant>
        <vt:i4>182</vt:i4>
      </vt:variant>
      <vt:variant>
        <vt:i4>0</vt:i4>
      </vt:variant>
      <vt:variant>
        <vt:i4>5</vt:i4>
      </vt:variant>
      <vt:variant>
        <vt:lpwstr/>
      </vt:variant>
      <vt:variant>
        <vt:lpwstr>_Toc150852640</vt:lpwstr>
      </vt:variant>
      <vt:variant>
        <vt:i4>1769522</vt:i4>
      </vt:variant>
      <vt:variant>
        <vt:i4>176</vt:i4>
      </vt:variant>
      <vt:variant>
        <vt:i4>0</vt:i4>
      </vt:variant>
      <vt:variant>
        <vt:i4>5</vt:i4>
      </vt:variant>
      <vt:variant>
        <vt:lpwstr/>
      </vt:variant>
      <vt:variant>
        <vt:lpwstr>_Toc150852639</vt:lpwstr>
      </vt:variant>
      <vt:variant>
        <vt:i4>1769522</vt:i4>
      </vt:variant>
      <vt:variant>
        <vt:i4>170</vt:i4>
      </vt:variant>
      <vt:variant>
        <vt:i4>0</vt:i4>
      </vt:variant>
      <vt:variant>
        <vt:i4>5</vt:i4>
      </vt:variant>
      <vt:variant>
        <vt:lpwstr/>
      </vt:variant>
      <vt:variant>
        <vt:lpwstr>_Toc150852638</vt:lpwstr>
      </vt:variant>
      <vt:variant>
        <vt:i4>1769522</vt:i4>
      </vt:variant>
      <vt:variant>
        <vt:i4>164</vt:i4>
      </vt:variant>
      <vt:variant>
        <vt:i4>0</vt:i4>
      </vt:variant>
      <vt:variant>
        <vt:i4>5</vt:i4>
      </vt:variant>
      <vt:variant>
        <vt:lpwstr/>
      </vt:variant>
      <vt:variant>
        <vt:lpwstr>_Toc150852637</vt:lpwstr>
      </vt:variant>
      <vt:variant>
        <vt:i4>1769522</vt:i4>
      </vt:variant>
      <vt:variant>
        <vt:i4>158</vt:i4>
      </vt:variant>
      <vt:variant>
        <vt:i4>0</vt:i4>
      </vt:variant>
      <vt:variant>
        <vt:i4>5</vt:i4>
      </vt:variant>
      <vt:variant>
        <vt:lpwstr/>
      </vt:variant>
      <vt:variant>
        <vt:lpwstr>_Toc150852636</vt:lpwstr>
      </vt:variant>
      <vt:variant>
        <vt:i4>1769522</vt:i4>
      </vt:variant>
      <vt:variant>
        <vt:i4>152</vt:i4>
      </vt:variant>
      <vt:variant>
        <vt:i4>0</vt:i4>
      </vt:variant>
      <vt:variant>
        <vt:i4>5</vt:i4>
      </vt:variant>
      <vt:variant>
        <vt:lpwstr/>
      </vt:variant>
      <vt:variant>
        <vt:lpwstr>_Toc150852635</vt:lpwstr>
      </vt:variant>
      <vt:variant>
        <vt:i4>1769522</vt:i4>
      </vt:variant>
      <vt:variant>
        <vt:i4>146</vt:i4>
      </vt:variant>
      <vt:variant>
        <vt:i4>0</vt:i4>
      </vt:variant>
      <vt:variant>
        <vt:i4>5</vt:i4>
      </vt:variant>
      <vt:variant>
        <vt:lpwstr/>
      </vt:variant>
      <vt:variant>
        <vt:lpwstr>_Toc150852634</vt:lpwstr>
      </vt:variant>
      <vt:variant>
        <vt:i4>1769522</vt:i4>
      </vt:variant>
      <vt:variant>
        <vt:i4>140</vt:i4>
      </vt:variant>
      <vt:variant>
        <vt:i4>0</vt:i4>
      </vt:variant>
      <vt:variant>
        <vt:i4>5</vt:i4>
      </vt:variant>
      <vt:variant>
        <vt:lpwstr/>
      </vt:variant>
      <vt:variant>
        <vt:lpwstr>_Toc150852633</vt:lpwstr>
      </vt:variant>
      <vt:variant>
        <vt:i4>1769522</vt:i4>
      </vt:variant>
      <vt:variant>
        <vt:i4>134</vt:i4>
      </vt:variant>
      <vt:variant>
        <vt:i4>0</vt:i4>
      </vt:variant>
      <vt:variant>
        <vt:i4>5</vt:i4>
      </vt:variant>
      <vt:variant>
        <vt:lpwstr/>
      </vt:variant>
      <vt:variant>
        <vt:lpwstr>_Toc150852632</vt:lpwstr>
      </vt:variant>
      <vt:variant>
        <vt:i4>1769522</vt:i4>
      </vt:variant>
      <vt:variant>
        <vt:i4>128</vt:i4>
      </vt:variant>
      <vt:variant>
        <vt:i4>0</vt:i4>
      </vt:variant>
      <vt:variant>
        <vt:i4>5</vt:i4>
      </vt:variant>
      <vt:variant>
        <vt:lpwstr/>
      </vt:variant>
      <vt:variant>
        <vt:lpwstr>_Toc150852631</vt:lpwstr>
      </vt:variant>
      <vt:variant>
        <vt:i4>1769522</vt:i4>
      </vt:variant>
      <vt:variant>
        <vt:i4>122</vt:i4>
      </vt:variant>
      <vt:variant>
        <vt:i4>0</vt:i4>
      </vt:variant>
      <vt:variant>
        <vt:i4>5</vt:i4>
      </vt:variant>
      <vt:variant>
        <vt:lpwstr/>
      </vt:variant>
      <vt:variant>
        <vt:lpwstr>_Toc150852630</vt:lpwstr>
      </vt:variant>
      <vt:variant>
        <vt:i4>1703986</vt:i4>
      </vt:variant>
      <vt:variant>
        <vt:i4>116</vt:i4>
      </vt:variant>
      <vt:variant>
        <vt:i4>0</vt:i4>
      </vt:variant>
      <vt:variant>
        <vt:i4>5</vt:i4>
      </vt:variant>
      <vt:variant>
        <vt:lpwstr/>
      </vt:variant>
      <vt:variant>
        <vt:lpwstr>_Toc150852629</vt:lpwstr>
      </vt:variant>
      <vt:variant>
        <vt:i4>1703986</vt:i4>
      </vt:variant>
      <vt:variant>
        <vt:i4>110</vt:i4>
      </vt:variant>
      <vt:variant>
        <vt:i4>0</vt:i4>
      </vt:variant>
      <vt:variant>
        <vt:i4>5</vt:i4>
      </vt:variant>
      <vt:variant>
        <vt:lpwstr/>
      </vt:variant>
      <vt:variant>
        <vt:lpwstr>_Toc150852628</vt:lpwstr>
      </vt:variant>
      <vt:variant>
        <vt:i4>1703986</vt:i4>
      </vt:variant>
      <vt:variant>
        <vt:i4>104</vt:i4>
      </vt:variant>
      <vt:variant>
        <vt:i4>0</vt:i4>
      </vt:variant>
      <vt:variant>
        <vt:i4>5</vt:i4>
      </vt:variant>
      <vt:variant>
        <vt:lpwstr/>
      </vt:variant>
      <vt:variant>
        <vt:lpwstr>_Toc150852627</vt:lpwstr>
      </vt:variant>
      <vt:variant>
        <vt:i4>1703986</vt:i4>
      </vt:variant>
      <vt:variant>
        <vt:i4>98</vt:i4>
      </vt:variant>
      <vt:variant>
        <vt:i4>0</vt:i4>
      </vt:variant>
      <vt:variant>
        <vt:i4>5</vt:i4>
      </vt:variant>
      <vt:variant>
        <vt:lpwstr/>
      </vt:variant>
      <vt:variant>
        <vt:lpwstr>_Toc150852626</vt:lpwstr>
      </vt:variant>
      <vt:variant>
        <vt:i4>1703986</vt:i4>
      </vt:variant>
      <vt:variant>
        <vt:i4>92</vt:i4>
      </vt:variant>
      <vt:variant>
        <vt:i4>0</vt:i4>
      </vt:variant>
      <vt:variant>
        <vt:i4>5</vt:i4>
      </vt:variant>
      <vt:variant>
        <vt:lpwstr/>
      </vt:variant>
      <vt:variant>
        <vt:lpwstr>_Toc150852625</vt:lpwstr>
      </vt:variant>
      <vt:variant>
        <vt:i4>1703986</vt:i4>
      </vt:variant>
      <vt:variant>
        <vt:i4>86</vt:i4>
      </vt:variant>
      <vt:variant>
        <vt:i4>0</vt:i4>
      </vt:variant>
      <vt:variant>
        <vt:i4>5</vt:i4>
      </vt:variant>
      <vt:variant>
        <vt:lpwstr/>
      </vt:variant>
      <vt:variant>
        <vt:lpwstr>_Toc150852624</vt:lpwstr>
      </vt:variant>
      <vt:variant>
        <vt:i4>1703986</vt:i4>
      </vt:variant>
      <vt:variant>
        <vt:i4>80</vt:i4>
      </vt:variant>
      <vt:variant>
        <vt:i4>0</vt:i4>
      </vt:variant>
      <vt:variant>
        <vt:i4>5</vt:i4>
      </vt:variant>
      <vt:variant>
        <vt:lpwstr/>
      </vt:variant>
      <vt:variant>
        <vt:lpwstr>_Toc150852623</vt:lpwstr>
      </vt:variant>
      <vt:variant>
        <vt:i4>1703986</vt:i4>
      </vt:variant>
      <vt:variant>
        <vt:i4>74</vt:i4>
      </vt:variant>
      <vt:variant>
        <vt:i4>0</vt:i4>
      </vt:variant>
      <vt:variant>
        <vt:i4>5</vt:i4>
      </vt:variant>
      <vt:variant>
        <vt:lpwstr/>
      </vt:variant>
      <vt:variant>
        <vt:lpwstr>_Toc150852622</vt:lpwstr>
      </vt:variant>
      <vt:variant>
        <vt:i4>1703986</vt:i4>
      </vt:variant>
      <vt:variant>
        <vt:i4>68</vt:i4>
      </vt:variant>
      <vt:variant>
        <vt:i4>0</vt:i4>
      </vt:variant>
      <vt:variant>
        <vt:i4>5</vt:i4>
      </vt:variant>
      <vt:variant>
        <vt:lpwstr/>
      </vt:variant>
      <vt:variant>
        <vt:lpwstr>_Toc150852621</vt:lpwstr>
      </vt:variant>
      <vt:variant>
        <vt:i4>1703986</vt:i4>
      </vt:variant>
      <vt:variant>
        <vt:i4>62</vt:i4>
      </vt:variant>
      <vt:variant>
        <vt:i4>0</vt:i4>
      </vt:variant>
      <vt:variant>
        <vt:i4>5</vt:i4>
      </vt:variant>
      <vt:variant>
        <vt:lpwstr/>
      </vt:variant>
      <vt:variant>
        <vt:lpwstr>_Toc150852620</vt:lpwstr>
      </vt:variant>
      <vt:variant>
        <vt:i4>1638450</vt:i4>
      </vt:variant>
      <vt:variant>
        <vt:i4>56</vt:i4>
      </vt:variant>
      <vt:variant>
        <vt:i4>0</vt:i4>
      </vt:variant>
      <vt:variant>
        <vt:i4>5</vt:i4>
      </vt:variant>
      <vt:variant>
        <vt:lpwstr/>
      </vt:variant>
      <vt:variant>
        <vt:lpwstr>_Toc150852619</vt:lpwstr>
      </vt:variant>
      <vt:variant>
        <vt:i4>1638450</vt:i4>
      </vt:variant>
      <vt:variant>
        <vt:i4>50</vt:i4>
      </vt:variant>
      <vt:variant>
        <vt:i4>0</vt:i4>
      </vt:variant>
      <vt:variant>
        <vt:i4>5</vt:i4>
      </vt:variant>
      <vt:variant>
        <vt:lpwstr/>
      </vt:variant>
      <vt:variant>
        <vt:lpwstr>_Toc150852618</vt:lpwstr>
      </vt:variant>
      <vt:variant>
        <vt:i4>1638450</vt:i4>
      </vt:variant>
      <vt:variant>
        <vt:i4>44</vt:i4>
      </vt:variant>
      <vt:variant>
        <vt:i4>0</vt:i4>
      </vt:variant>
      <vt:variant>
        <vt:i4>5</vt:i4>
      </vt:variant>
      <vt:variant>
        <vt:lpwstr/>
      </vt:variant>
      <vt:variant>
        <vt:lpwstr>_Toc150852617</vt:lpwstr>
      </vt:variant>
      <vt:variant>
        <vt:i4>1638450</vt:i4>
      </vt:variant>
      <vt:variant>
        <vt:i4>38</vt:i4>
      </vt:variant>
      <vt:variant>
        <vt:i4>0</vt:i4>
      </vt:variant>
      <vt:variant>
        <vt:i4>5</vt:i4>
      </vt:variant>
      <vt:variant>
        <vt:lpwstr/>
      </vt:variant>
      <vt:variant>
        <vt:lpwstr>_Toc150852616</vt:lpwstr>
      </vt:variant>
      <vt:variant>
        <vt:i4>1638450</vt:i4>
      </vt:variant>
      <vt:variant>
        <vt:i4>32</vt:i4>
      </vt:variant>
      <vt:variant>
        <vt:i4>0</vt:i4>
      </vt:variant>
      <vt:variant>
        <vt:i4>5</vt:i4>
      </vt:variant>
      <vt:variant>
        <vt:lpwstr/>
      </vt:variant>
      <vt:variant>
        <vt:lpwstr>_Toc150852615</vt:lpwstr>
      </vt:variant>
      <vt:variant>
        <vt:i4>1638450</vt:i4>
      </vt:variant>
      <vt:variant>
        <vt:i4>26</vt:i4>
      </vt:variant>
      <vt:variant>
        <vt:i4>0</vt:i4>
      </vt:variant>
      <vt:variant>
        <vt:i4>5</vt:i4>
      </vt:variant>
      <vt:variant>
        <vt:lpwstr/>
      </vt:variant>
      <vt:variant>
        <vt:lpwstr>_Toc150852614</vt:lpwstr>
      </vt:variant>
      <vt:variant>
        <vt:i4>1638450</vt:i4>
      </vt:variant>
      <vt:variant>
        <vt:i4>20</vt:i4>
      </vt:variant>
      <vt:variant>
        <vt:i4>0</vt:i4>
      </vt:variant>
      <vt:variant>
        <vt:i4>5</vt:i4>
      </vt:variant>
      <vt:variant>
        <vt:lpwstr/>
      </vt:variant>
      <vt:variant>
        <vt:lpwstr>_Toc150852613</vt:lpwstr>
      </vt:variant>
      <vt:variant>
        <vt:i4>1638450</vt:i4>
      </vt:variant>
      <vt:variant>
        <vt:i4>14</vt:i4>
      </vt:variant>
      <vt:variant>
        <vt:i4>0</vt:i4>
      </vt:variant>
      <vt:variant>
        <vt:i4>5</vt:i4>
      </vt:variant>
      <vt:variant>
        <vt:lpwstr/>
      </vt:variant>
      <vt:variant>
        <vt:lpwstr>_Toc150852612</vt:lpwstr>
      </vt:variant>
      <vt:variant>
        <vt:i4>1638450</vt:i4>
      </vt:variant>
      <vt:variant>
        <vt:i4>8</vt:i4>
      </vt:variant>
      <vt:variant>
        <vt:i4>0</vt:i4>
      </vt:variant>
      <vt:variant>
        <vt:i4>5</vt:i4>
      </vt:variant>
      <vt:variant>
        <vt:lpwstr/>
      </vt:variant>
      <vt:variant>
        <vt:lpwstr>_Toc150852611</vt:lpwstr>
      </vt:variant>
      <vt:variant>
        <vt:i4>5046376</vt:i4>
      </vt:variant>
      <vt:variant>
        <vt:i4>3</vt:i4>
      </vt:variant>
      <vt:variant>
        <vt:i4>0</vt:i4>
      </vt:variant>
      <vt:variant>
        <vt:i4>5</vt:i4>
      </vt:variant>
      <vt:variant>
        <vt:lpwstr>mailto:broadband.fund@adeca.alabama.gov</vt:lpwstr>
      </vt:variant>
      <vt:variant>
        <vt:lpwstr/>
      </vt:variant>
      <vt:variant>
        <vt:i4>2752572</vt:i4>
      </vt:variant>
      <vt:variant>
        <vt:i4>0</vt:i4>
      </vt:variant>
      <vt:variant>
        <vt:i4>0</vt:i4>
      </vt:variant>
      <vt:variant>
        <vt:i4>5</vt:i4>
      </vt:variant>
      <vt:variant>
        <vt:lpwstr>https://adeca.alabama.gov/alipv1v2</vt:lpwstr>
      </vt:variant>
      <vt:variant>
        <vt:lpwstr/>
      </vt:variant>
      <vt:variant>
        <vt:i4>8257593</vt:i4>
      </vt:variant>
      <vt:variant>
        <vt:i4>333</vt:i4>
      </vt:variant>
      <vt:variant>
        <vt:i4>0</vt:i4>
      </vt:variant>
      <vt:variant>
        <vt:i4>5</vt:i4>
      </vt:variant>
      <vt:variant>
        <vt:lpwstr>https://oit.alabama.gov/cybersecurity/</vt:lpwstr>
      </vt:variant>
      <vt:variant>
        <vt:lpwstr/>
      </vt:variant>
      <vt:variant>
        <vt:i4>4718619</vt:i4>
      </vt:variant>
      <vt:variant>
        <vt:i4>330</vt:i4>
      </vt:variant>
      <vt:variant>
        <vt:i4>0</vt:i4>
      </vt:variant>
      <vt:variant>
        <vt:i4>5</vt:i4>
      </vt:variant>
      <vt:variant>
        <vt:lpwstr>https://www.madeinalabama.com/industries/industry/cyber-security/</vt:lpwstr>
      </vt:variant>
      <vt:variant>
        <vt:lpwstr/>
      </vt:variant>
      <vt:variant>
        <vt:i4>7405695</vt:i4>
      </vt:variant>
      <vt:variant>
        <vt:i4>327</vt:i4>
      </vt:variant>
      <vt:variant>
        <vt:i4>0</vt:i4>
      </vt:variant>
      <vt:variant>
        <vt:i4>5</vt:i4>
      </vt:variant>
      <vt:variant>
        <vt:lpwstr>https://adeca.alabama.gov/wp-content/uploads/AIMM-Program-Guide.pdf</vt:lpwstr>
      </vt:variant>
      <vt:variant>
        <vt:lpwstr/>
      </vt:variant>
      <vt:variant>
        <vt:i4>1441861</vt:i4>
      </vt:variant>
      <vt:variant>
        <vt:i4>324</vt:i4>
      </vt:variant>
      <vt:variant>
        <vt:i4>0</vt:i4>
      </vt:variant>
      <vt:variant>
        <vt:i4>5</vt:i4>
      </vt:variant>
      <vt:variant>
        <vt:lpwstr>https://adeca.alabama.gov/wp-content/uploads/Alabama-Capital-Projects-Fund-Program-Guide.pdf</vt:lpwstr>
      </vt:variant>
      <vt:variant>
        <vt:lpwstr/>
      </vt:variant>
      <vt:variant>
        <vt:i4>6946859</vt:i4>
      </vt:variant>
      <vt:variant>
        <vt:i4>321</vt:i4>
      </vt:variant>
      <vt:variant>
        <vt:i4>0</vt:i4>
      </vt:variant>
      <vt:variant>
        <vt:i4>5</vt:i4>
      </vt:variant>
      <vt:variant>
        <vt:lpwstr>https://adeca.alabama.gov/grant-application-and-implementation/</vt:lpwstr>
      </vt:variant>
      <vt:variant>
        <vt:lpwstr/>
      </vt:variant>
      <vt:variant>
        <vt:i4>7143483</vt:i4>
      </vt:variant>
      <vt:variant>
        <vt:i4>318</vt:i4>
      </vt:variant>
      <vt:variant>
        <vt:i4>0</vt:i4>
      </vt:variant>
      <vt:variant>
        <vt:i4>5</vt:i4>
      </vt:variant>
      <vt:variant>
        <vt:lpwstr>https://www.oig.doc.gov/Pages/Hotline.aspx</vt:lpwstr>
      </vt:variant>
      <vt:variant>
        <vt:lpwstr/>
      </vt:variant>
      <vt:variant>
        <vt:i4>1900631</vt:i4>
      </vt:variant>
      <vt:variant>
        <vt:i4>315</vt:i4>
      </vt:variant>
      <vt:variant>
        <vt:i4>0</vt:i4>
      </vt:variant>
      <vt:variant>
        <vt:i4>5</vt:i4>
      </vt:variant>
      <vt:variant>
        <vt:lpwstr>https://adeca.alabama.gov/fraud/</vt:lpwstr>
      </vt:variant>
      <vt:variant>
        <vt:lpwstr/>
      </vt:variant>
      <vt:variant>
        <vt:i4>2228324</vt:i4>
      </vt:variant>
      <vt:variant>
        <vt:i4>312</vt:i4>
      </vt:variant>
      <vt:variant>
        <vt:i4>0</vt:i4>
      </vt:variant>
      <vt:variant>
        <vt:i4>5</vt:i4>
      </vt:variant>
      <vt:variant>
        <vt:lpwstr>https://adeca.alabama.gov/wp-content/uploads/AIMM-Application-and-Guide.pdf</vt:lpwstr>
      </vt:variant>
      <vt:variant>
        <vt:lpwstr/>
      </vt:variant>
      <vt:variant>
        <vt:i4>6488169</vt:i4>
      </vt:variant>
      <vt:variant>
        <vt:i4>309</vt:i4>
      </vt:variant>
      <vt:variant>
        <vt:i4>0</vt:i4>
      </vt:variant>
      <vt:variant>
        <vt:i4>5</vt:i4>
      </vt:variant>
      <vt:variant>
        <vt:lpwstr>https://adeca.alabama.gov/wp-content/uploads/Alabama-Capital-Projects-Fund-Application.pdf</vt:lpwstr>
      </vt:variant>
      <vt:variant>
        <vt:lpwstr/>
      </vt:variant>
      <vt:variant>
        <vt:i4>7405695</vt:i4>
      </vt:variant>
      <vt:variant>
        <vt:i4>306</vt:i4>
      </vt:variant>
      <vt:variant>
        <vt:i4>0</vt:i4>
      </vt:variant>
      <vt:variant>
        <vt:i4>5</vt:i4>
      </vt:variant>
      <vt:variant>
        <vt:lpwstr>https://adeca.alabama.gov/wp-content/uploads/AIMM-Program-Guide.pdf</vt:lpwstr>
      </vt:variant>
      <vt:variant>
        <vt:lpwstr/>
      </vt:variant>
      <vt:variant>
        <vt:i4>1441861</vt:i4>
      </vt:variant>
      <vt:variant>
        <vt:i4>303</vt:i4>
      </vt:variant>
      <vt:variant>
        <vt:i4>0</vt:i4>
      </vt:variant>
      <vt:variant>
        <vt:i4>5</vt:i4>
      </vt:variant>
      <vt:variant>
        <vt:lpwstr>https://adeca.alabama.gov/wp-content/uploads/Alabama-Capital-Projects-Fund-Program-Guide.pdf</vt:lpwstr>
      </vt:variant>
      <vt:variant>
        <vt:lpwstr/>
      </vt:variant>
      <vt:variant>
        <vt:i4>6029335</vt:i4>
      </vt:variant>
      <vt:variant>
        <vt:i4>300</vt:i4>
      </vt:variant>
      <vt:variant>
        <vt:i4>0</vt:i4>
      </vt:variant>
      <vt:variant>
        <vt:i4>5</vt:i4>
      </vt:variant>
      <vt:variant>
        <vt:lpwstr>https://adeca.alabama.gov/wp-content/uploads/Alabama-Broadband-Accessibility-Act.pdf</vt:lpwstr>
      </vt:variant>
      <vt:variant>
        <vt:lpwstr/>
      </vt:variant>
      <vt:variant>
        <vt:i4>4456521</vt:i4>
      </vt:variant>
      <vt:variant>
        <vt:i4>297</vt:i4>
      </vt:variant>
      <vt:variant>
        <vt:i4>0</vt:i4>
      </vt:variant>
      <vt:variant>
        <vt:i4>5</vt:i4>
      </vt:variant>
      <vt:variant>
        <vt:lpwstr>https://alison.legislature.state.al.us/session-information-sublanding</vt:lpwstr>
      </vt:variant>
      <vt:variant>
        <vt:lpwstr/>
      </vt:variant>
      <vt:variant>
        <vt:i4>1376341</vt:i4>
      </vt:variant>
      <vt:variant>
        <vt:i4>294</vt:i4>
      </vt:variant>
      <vt:variant>
        <vt:i4>0</vt:i4>
      </vt:variant>
      <vt:variant>
        <vt:i4>5</vt:i4>
      </vt:variant>
      <vt:variant>
        <vt:lpwstr>https://www.census.gov/quickfacts/fact/table/AL,US/INC110221</vt:lpwstr>
      </vt:variant>
      <vt:variant>
        <vt:lpwstr/>
      </vt:variant>
      <vt:variant>
        <vt:i4>5898315</vt:i4>
      </vt:variant>
      <vt:variant>
        <vt:i4>291</vt:i4>
      </vt:variant>
      <vt:variant>
        <vt:i4>0</vt:i4>
      </vt:variant>
      <vt:variant>
        <vt:i4>5</vt:i4>
      </vt:variant>
      <vt:variant>
        <vt:lpwstr>https://www.pewtrusts.org/en/research-and-analysis/articles/2023/08/30/is-broadband-affordable-for-middle-class-families</vt:lpwstr>
      </vt:variant>
      <vt:variant>
        <vt:lpwstr/>
      </vt:variant>
      <vt:variant>
        <vt:i4>7471220</vt:i4>
      </vt:variant>
      <vt:variant>
        <vt:i4>288</vt:i4>
      </vt:variant>
      <vt:variant>
        <vt:i4>0</vt:i4>
      </vt:variant>
      <vt:variant>
        <vt:i4>5</vt:i4>
      </vt:variant>
      <vt:variant>
        <vt:lpwstr>https://www.awwa.org/Portals/0/AWWA/Government/ImprovingtheEvaluationofHouseholdLevelAffordabilityinSDWARulemakingNewApproaches.pdf</vt:lpwstr>
      </vt:variant>
      <vt:variant>
        <vt:lpwstr/>
      </vt:variant>
      <vt:variant>
        <vt:i4>131164</vt:i4>
      </vt:variant>
      <vt:variant>
        <vt:i4>285</vt:i4>
      </vt:variant>
      <vt:variant>
        <vt:i4>0</vt:i4>
      </vt:variant>
      <vt:variant>
        <vt:i4>5</vt:i4>
      </vt:variant>
      <vt:variant>
        <vt:lpwstr>https://www.awwa.org/Portals/0/AWWA/ETS/Resources/AffordabilityAssessmentTool.pdf</vt:lpwstr>
      </vt:variant>
      <vt:variant>
        <vt:lpwstr/>
      </vt:variant>
      <vt:variant>
        <vt:i4>2490394</vt:i4>
      </vt:variant>
      <vt:variant>
        <vt:i4>282</vt:i4>
      </vt:variant>
      <vt:variant>
        <vt:i4>0</vt:i4>
      </vt:variant>
      <vt:variant>
        <vt:i4>5</vt:i4>
      </vt:variant>
      <vt:variant>
        <vt:lpwstr>https://napawash.org/uploads/Academy_Studies/NAPA_EPA_FINAL_REPORT_110117.pdf</vt:lpwstr>
      </vt:variant>
      <vt:variant>
        <vt:lpwstr/>
      </vt:variant>
      <vt:variant>
        <vt:i4>6619185</vt:i4>
      </vt:variant>
      <vt:variant>
        <vt:i4>279</vt:i4>
      </vt:variant>
      <vt:variant>
        <vt:i4>0</vt:i4>
      </vt:variant>
      <vt:variant>
        <vt:i4>5</vt:i4>
      </vt:variant>
      <vt:variant>
        <vt:lpwstr>https://cdn2.hubspot.net/hubfs/4408380/PDF/General-Housing-Homelessness/who-can-afford.pdf</vt:lpwstr>
      </vt:variant>
      <vt:variant>
        <vt:lpwstr/>
      </vt:variant>
      <vt:variant>
        <vt:i4>5898358</vt:i4>
      </vt:variant>
      <vt:variant>
        <vt:i4>276</vt:i4>
      </vt:variant>
      <vt:variant>
        <vt:i4>0</vt:i4>
      </vt:variant>
      <vt:variant>
        <vt:i4>5</vt:i4>
      </vt:variant>
      <vt:variant>
        <vt:lpwstr>https://www.itu.int/en/ITU-D/Statistics/Documents/publications/prices2022/ITU_Price_Brief_2022.pdf</vt:lpwstr>
      </vt:variant>
      <vt:variant>
        <vt:lpwstr/>
      </vt:variant>
      <vt:variant>
        <vt:i4>7667758</vt:i4>
      </vt:variant>
      <vt:variant>
        <vt:i4>273</vt:i4>
      </vt:variant>
      <vt:variant>
        <vt:i4>0</vt:i4>
      </vt:variant>
      <vt:variant>
        <vt:i4>5</vt:i4>
      </vt:variant>
      <vt:variant>
        <vt:lpwstr>https://www.fcc.gov/economics-analytics/industry-analysis-division/urban-rate-survey-data-resources</vt:lpwstr>
      </vt:variant>
      <vt:variant>
        <vt:lpwstr/>
      </vt:variant>
      <vt:variant>
        <vt:i4>7667758</vt:i4>
      </vt:variant>
      <vt:variant>
        <vt:i4>270</vt:i4>
      </vt:variant>
      <vt:variant>
        <vt:i4>0</vt:i4>
      </vt:variant>
      <vt:variant>
        <vt:i4>5</vt:i4>
      </vt:variant>
      <vt:variant>
        <vt:lpwstr>https://www.fcc.gov/economics-analytics/industry-analysis-division/urban-rate-survey-data-resources</vt:lpwstr>
      </vt:variant>
      <vt:variant>
        <vt:lpwstr/>
      </vt:variant>
      <vt:variant>
        <vt:i4>2490421</vt:i4>
      </vt:variant>
      <vt:variant>
        <vt:i4>267</vt:i4>
      </vt:variant>
      <vt:variant>
        <vt:i4>0</vt:i4>
      </vt:variant>
      <vt:variant>
        <vt:i4>5</vt:i4>
      </vt:variant>
      <vt:variant>
        <vt:lpwstr>https://www.fcc.gov/acp</vt:lpwstr>
      </vt:variant>
      <vt:variant>
        <vt:lpwstr/>
      </vt:variant>
      <vt:variant>
        <vt:i4>5832708</vt:i4>
      </vt:variant>
      <vt:variant>
        <vt:i4>264</vt:i4>
      </vt:variant>
      <vt:variant>
        <vt:i4>0</vt:i4>
      </vt:variant>
      <vt:variant>
        <vt:i4>5</vt:i4>
      </vt:variant>
      <vt:variant>
        <vt:lpwstr>https://www.fcc.gov/general/lifeline-program-low-income-consumers</vt:lpwstr>
      </vt:variant>
      <vt:variant>
        <vt:lpwstr/>
      </vt:variant>
      <vt:variant>
        <vt:i4>6422566</vt:i4>
      </vt:variant>
      <vt:variant>
        <vt:i4>261</vt:i4>
      </vt:variant>
      <vt:variant>
        <vt:i4>0</vt:i4>
      </vt:variant>
      <vt:variant>
        <vt:i4>5</vt:i4>
      </vt:variant>
      <vt:variant>
        <vt:lpwstr>https://docs.fcc.gov/public/attachments/DA-23-194A1.pdf</vt:lpwstr>
      </vt:variant>
      <vt:variant>
        <vt:lpwstr/>
      </vt:variant>
      <vt:variant>
        <vt:i4>7405695</vt:i4>
      </vt:variant>
      <vt:variant>
        <vt:i4>258</vt:i4>
      </vt:variant>
      <vt:variant>
        <vt:i4>0</vt:i4>
      </vt:variant>
      <vt:variant>
        <vt:i4>5</vt:i4>
      </vt:variant>
      <vt:variant>
        <vt:lpwstr>https://adeca.alabama.gov/wp-content/uploads/AIMM-Program-Guide.pdf</vt:lpwstr>
      </vt:variant>
      <vt:variant>
        <vt:lpwstr/>
      </vt:variant>
      <vt:variant>
        <vt:i4>786454</vt:i4>
      </vt:variant>
      <vt:variant>
        <vt:i4>255</vt:i4>
      </vt:variant>
      <vt:variant>
        <vt:i4>0</vt:i4>
      </vt:variant>
      <vt:variant>
        <vt:i4>5</vt:i4>
      </vt:variant>
      <vt:variant>
        <vt:lpwstr>https://adeca.alabama.gov/wp-content/uploads/CPF-Rating-Criteria.xlsx</vt:lpwstr>
      </vt:variant>
      <vt:variant>
        <vt:lpwstr/>
      </vt:variant>
      <vt:variant>
        <vt:i4>2097253</vt:i4>
      </vt:variant>
      <vt:variant>
        <vt:i4>252</vt:i4>
      </vt:variant>
      <vt:variant>
        <vt:i4>0</vt:i4>
      </vt:variant>
      <vt:variant>
        <vt:i4>5</vt:i4>
      </vt:variant>
      <vt:variant>
        <vt:lpwstr>https://adeca.alabama.gov/wp-content/uploads/2023-ABAF-Rating-Criteria.xlsx</vt:lpwstr>
      </vt:variant>
      <vt:variant>
        <vt:lpwstr/>
      </vt:variant>
      <vt:variant>
        <vt:i4>6946859</vt:i4>
      </vt:variant>
      <vt:variant>
        <vt:i4>249</vt:i4>
      </vt:variant>
      <vt:variant>
        <vt:i4>0</vt:i4>
      </vt:variant>
      <vt:variant>
        <vt:i4>5</vt:i4>
      </vt:variant>
      <vt:variant>
        <vt:lpwstr>https://adeca.alabama.gov/grant-application-and-implementation/</vt:lpwstr>
      </vt:variant>
      <vt:variant>
        <vt:lpwstr/>
      </vt:variant>
      <vt:variant>
        <vt:i4>3932262</vt:i4>
      </vt:variant>
      <vt:variant>
        <vt:i4>246</vt:i4>
      </vt:variant>
      <vt:variant>
        <vt:i4>0</vt:i4>
      </vt:variant>
      <vt:variant>
        <vt:i4>5</vt:i4>
      </vt:variant>
      <vt:variant>
        <vt:lpwstr>https://www.benton.org/blog/connecting-low-income-families-using-broadband-vouchers</vt:lpwstr>
      </vt:variant>
      <vt:variant>
        <vt:lpwstr/>
      </vt:variant>
      <vt:variant>
        <vt:i4>3604602</vt:i4>
      </vt:variant>
      <vt:variant>
        <vt:i4>243</vt:i4>
      </vt:variant>
      <vt:variant>
        <vt:i4>0</vt:i4>
      </vt:variant>
      <vt:variant>
        <vt:i4>5</vt:i4>
      </vt:variant>
      <vt:variant>
        <vt:lpwstr>https://adeca.alabama.gov/affordable-connectivity-program/</vt:lpwstr>
      </vt:variant>
      <vt:variant>
        <vt:lpwstr/>
      </vt:variant>
      <vt:variant>
        <vt:i4>3407907</vt:i4>
      </vt:variant>
      <vt:variant>
        <vt:i4>240</vt:i4>
      </vt:variant>
      <vt:variant>
        <vt:i4>0</vt:i4>
      </vt:variant>
      <vt:variant>
        <vt:i4>5</vt:i4>
      </vt:variant>
      <vt:variant>
        <vt:lpwstr>https://hazards.fema.gov/nri/ice-storm</vt:lpwstr>
      </vt:variant>
      <vt:variant>
        <vt:lpwstr/>
      </vt:variant>
      <vt:variant>
        <vt:i4>7078010</vt:i4>
      </vt:variant>
      <vt:variant>
        <vt:i4>237</vt:i4>
      </vt:variant>
      <vt:variant>
        <vt:i4>0</vt:i4>
      </vt:variant>
      <vt:variant>
        <vt:i4>5</vt:i4>
      </vt:variant>
      <vt:variant>
        <vt:lpwstr>https://hazards.fema.gov/nri/winter-weather</vt:lpwstr>
      </vt:variant>
      <vt:variant>
        <vt:lpwstr/>
      </vt:variant>
      <vt:variant>
        <vt:i4>3407974</vt:i4>
      </vt:variant>
      <vt:variant>
        <vt:i4>234</vt:i4>
      </vt:variant>
      <vt:variant>
        <vt:i4>0</vt:i4>
      </vt:variant>
      <vt:variant>
        <vt:i4>5</vt:i4>
      </vt:variant>
      <vt:variant>
        <vt:lpwstr>https://hazards.fema.gov/nri/landslide</vt:lpwstr>
      </vt:variant>
      <vt:variant>
        <vt:lpwstr/>
      </vt:variant>
      <vt:variant>
        <vt:i4>393230</vt:i4>
      </vt:variant>
      <vt:variant>
        <vt:i4>231</vt:i4>
      </vt:variant>
      <vt:variant>
        <vt:i4>0</vt:i4>
      </vt:variant>
      <vt:variant>
        <vt:i4>5</vt:i4>
      </vt:variant>
      <vt:variant>
        <vt:lpwstr>https://hazards.fema.gov/nri/strong-wind</vt:lpwstr>
      </vt:variant>
      <vt:variant>
        <vt:lpwstr/>
      </vt:variant>
      <vt:variant>
        <vt:i4>4718602</vt:i4>
      </vt:variant>
      <vt:variant>
        <vt:i4>228</vt:i4>
      </vt:variant>
      <vt:variant>
        <vt:i4>0</vt:i4>
      </vt:variant>
      <vt:variant>
        <vt:i4>5</vt:i4>
      </vt:variant>
      <vt:variant>
        <vt:lpwstr>https://hazards.fema.gov/nri/hail</vt:lpwstr>
      </vt:variant>
      <vt:variant>
        <vt:lpwstr/>
      </vt:variant>
      <vt:variant>
        <vt:i4>7405672</vt:i4>
      </vt:variant>
      <vt:variant>
        <vt:i4>225</vt:i4>
      </vt:variant>
      <vt:variant>
        <vt:i4>0</vt:i4>
      </vt:variant>
      <vt:variant>
        <vt:i4>5</vt:i4>
      </vt:variant>
      <vt:variant>
        <vt:lpwstr>https://hazards.fema.gov/nri/riverine-flooding</vt:lpwstr>
      </vt:variant>
      <vt:variant>
        <vt:lpwstr/>
      </vt:variant>
      <vt:variant>
        <vt:i4>7274593</vt:i4>
      </vt:variant>
      <vt:variant>
        <vt:i4>222</vt:i4>
      </vt:variant>
      <vt:variant>
        <vt:i4>0</vt:i4>
      </vt:variant>
      <vt:variant>
        <vt:i4>5</vt:i4>
      </vt:variant>
      <vt:variant>
        <vt:lpwstr>https://hazards.fema.gov/nri/cold-wave</vt:lpwstr>
      </vt:variant>
      <vt:variant>
        <vt:lpwstr/>
      </vt:variant>
      <vt:variant>
        <vt:i4>6881403</vt:i4>
      </vt:variant>
      <vt:variant>
        <vt:i4>219</vt:i4>
      </vt:variant>
      <vt:variant>
        <vt:i4>0</vt:i4>
      </vt:variant>
      <vt:variant>
        <vt:i4>5</vt:i4>
      </vt:variant>
      <vt:variant>
        <vt:lpwstr>https://hazards.fema.gov/nri/heat-wave</vt:lpwstr>
      </vt:variant>
      <vt:variant>
        <vt:lpwstr/>
      </vt:variant>
      <vt:variant>
        <vt:i4>6225992</vt:i4>
      </vt:variant>
      <vt:variant>
        <vt:i4>216</vt:i4>
      </vt:variant>
      <vt:variant>
        <vt:i4>0</vt:i4>
      </vt:variant>
      <vt:variant>
        <vt:i4>5</vt:i4>
      </vt:variant>
      <vt:variant>
        <vt:lpwstr>https://www.iea.org/commentaries/the-world-s-electricity-systems-must-be-ready-to-counter-the-growing-climate-threat</vt:lpwstr>
      </vt:variant>
      <vt:variant>
        <vt:lpwstr/>
      </vt:variant>
      <vt:variant>
        <vt:i4>3866676</vt:i4>
      </vt:variant>
      <vt:variant>
        <vt:i4>213</vt:i4>
      </vt:variant>
      <vt:variant>
        <vt:i4>0</vt:i4>
      </vt:variant>
      <vt:variant>
        <vt:i4>5</vt:i4>
      </vt:variant>
      <vt:variant>
        <vt:lpwstr>https://community.fema.gov/ProtectiveActions/s/article/Extreme-Heat</vt:lpwstr>
      </vt:variant>
      <vt:variant>
        <vt:lpwstr/>
      </vt:variant>
      <vt:variant>
        <vt:i4>4325406</vt:i4>
      </vt:variant>
      <vt:variant>
        <vt:i4>210</vt:i4>
      </vt:variant>
      <vt:variant>
        <vt:i4>0</vt:i4>
      </vt:variant>
      <vt:variant>
        <vt:i4>5</vt:i4>
      </vt:variant>
      <vt:variant>
        <vt:lpwstr>https://community.fema.gov/ProtectiveActions/s/article/Earthquake</vt:lpwstr>
      </vt:variant>
      <vt:variant>
        <vt:lpwstr/>
      </vt:variant>
      <vt:variant>
        <vt:i4>8060965</vt:i4>
      </vt:variant>
      <vt:variant>
        <vt:i4>207</vt:i4>
      </vt:variant>
      <vt:variant>
        <vt:i4>0</vt:i4>
      </vt:variant>
      <vt:variant>
        <vt:i4>5</vt:i4>
      </vt:variant>
      <vt:variant>
        <vt:lpwstr>https://adeca.alabama.gov/drought/alabama-drought-plan/</vt:lpwstr>
      </vt:variant>
      <vt:variant>
        <vt:lpwstr/>
      </vt:variant>
      <vt:variant>
        <vt:i4>589907</vt:i4>
      </vt:variant>
      <vt:variant>
        <vt:i4>204</vt:i4>
      </vt:variant>
      <vt:variant>
        <vt:i4>0</vt:i4>
      </vt:variant>
      <vt:variant>
        <vt:i4>5</vt:i4>
      </vt:variant>
      <vt:variant>
        <vt:lpwstr>https://droughtmonitor.unl.edu/CurrentMap/StateDroughtMonitor.aspx?AL</vt:lpwstr>
      </vt:variant>
      <vt:variant>
        <vt:lpwstr/>
      </vt:variant>
      <vt:variant>
        <vt:i4>7471163</vt:i4>
      </vt:variant>
      <vt:variant>
        <vt:i4>201</vt:i4>
      </vt:variant>
      <vt:variant>
        <vt:i4>0</vt:i4>
      </vt:variant>
      <vt:variant>
        <vt:i4>5</vt:i4>
      </vt:variant>
      <vt:variant>
        <vt:lpwstr>https://droughtmonitor.unl.edu/</vt:lpwstr>
      </vt:variant>
      <vt:variant>
        <vt:lpwstr/>
      </vt:variant>
      <vt:variant>
        <vt:i4>2556001</vt:i4>
      </vt:variant>
      <vt:variant>
        <vt:i4>198</vt:i4>
      </vt:variant>
      <vt:variant>
        <vt:i4>0</vt:i4>
      </vt:variant>
      <vt:variant>
        <vt:i4>5</vt:i4>
      </vt:variant>
      <vt:variant>
        <vt:lpwstr>https://ema.alabama.gov/state-of-alabama-emergency-operations-plan/</vt:lpwstr>
      </vt:variant>
      <vt:variant>
        <vt:lpwstr/>
      </vt:variant>
      <vt:variant>
        <vt:i4>7143533</vt:i4>
      </vt:variant>
      <vt:variant>
        <vt:i4>195</vt:i4>
      </vt:variant>
      <vt:variant>
        <vt:i4>0</vt:i4>
      </vt:variant>
      <vt:variant>
        <vt:i4>5</vt:i4>
      </vt:variant>
      <vt:variant>
        <vt:lpwstr>https://ema.alabama.gov/county-mitigation-plan/</vt:lpwstr>
      </vt:variant>
      <vt:variant>
        <vt:lpwstr/>
      </vt:variant>
      <vt:variant>
        <vt:i4>5832750</vt:i4>
      </vt:variant>
      <vt:variant>
        <vt:i4>192</vt:i4>
      </vt:variant>
      <vt:variant>
        <vt:i4>0</vt:i4>
      </vt:variant>
      <vt:variant>
        <vt:i4>5</vt:i4>
      </vt:variant>
      <vt:variant>
        <vt:lpwstr>https://ema.alabama.gov/wp-content/uploads/2018/11/state-of-alabama_state-hazard-mitigation-plan-2018-update_final_07182018.pdf</vt:lpwstr>
      </vt:variant>
      <vt:variant>
        <vt:lpwstr/>
      </vt:variant>
      <vt:variant>
        <vt:i4>6226005</vt:i4>
      </vt:variant>
      <vt:variant>
        <vt:i4>189</vt:i4>
      </vt:variant>
      <vt:variant>
        <vt:i4>0</vt:i4>
      </vt:variant>
      <vt:variant>
        <vt:i4>5</vt:i4>
      </vt:variant>
      <vt:variant>
        <vt:lpwstr>https://ema.alabama.gov/</vt:lpwstr>
      </vt:variant>
      <vt:variant>
        <vt:lpwstr/>
      </vt:variant>
      <vt:variant>
        <vt:i4>4325467</vt:i4>
      </vt:variant>
      <vt:variant>
        <vt:i4>186</vt:i4>
      </vt:variant>
      <vt:variant>
        <vt:i4>0</vt:i4>
      </vt:variant>
      <vt:variant>
        <vt:i4>5</vt:i4>
      </vt:variant>
      <vt:variant>
        <vt:lpwstr>https://statesummaries.ncics.org/chapter/al/</vt:lpwstr>
      </vt:variant>
      <vt:variant>
        <vt:lpwstr/>
      </vt:variant>
      <vt:variant>
        <vt:i4>5767235</vt:i4>
      </vt:variant>
      <vt:variant>
        <vt:i4>183</vt:i4>
      </vt:variant>
      <vt:variant>
        <vt:i4>0</vt:i4>
      </vt:variant>
      <vt:variant>
        <vt:i4>5</vt:i4>
      </vt:variant>
      <vt:variant>
        <vt:lpwstr>https://www.blm.gov/maps</vt:lpwstr>
      </vt:variant>
      <vt:variant>
        <vt:lpwstr/>
      </vt:variant>
      <vt:variant>
        <vt:i4>5505126</vt:i4>
      </vt:variant>
      <vt:variant>
        <vt:i4>180</vt:i4>
      </vt:variant>
      <vt:variant>
        <vt:i4>0</vt:i4>
      </vt:variant>
      <vt:variant>
        <vt:i4>5</vt:i4>
      </vt:variant>
      <vt:variant>
        <vt:lpwstr>https://www.fhwa.dot.gov/policy/otps/policy_brief_dig_once.pdf</vt:lpwstr>
      </vt:variant>
      <vt:variant>
        <vt:lpwstr/>
      </vt:variant>
      <vt:variant>
        <vt:i4>852044</vt:i4>
      </vt:variant>
      <vt:variant>
        <vt:i4>177</vt:i4>
      </vt:variant>
      <vt:variant>
        <vt:i4>0</vt:i4>
      </vt:variant>
      <vt:variant>
        <vt:i4>5</vt:i4>
      </vt:variant>
      <vt:variant>
        <vt:lpwstr>https://broadband.alabama.gov/broadband-maps/</vt:lpwstr>
      </vt:variant>
      <vt:variant>
        <vt:lpwstr/>
      </vt:variant>
      <vt:variant>
        <vt:i4>5636218</vt:i4>
      </vt:variant>
      <vt:variant>
        <vt:i4>174</vt:i4>
      </vt:variant>
      <vt:variant>
        <vt:i4>0</vt:i4>
      </vt:variant>
      <vt:variant>
        <vt:i4>5</vt:i4>
      </vt:variant>
      <vt:variant>
        <vt:lpwstr>https://florenceal.org/departments/planning_and_community_development/resources.php</vt:lpwstr>
      </vt:variant>
      <vt:variant>
        <vt:lpwstr/>
      </vt:variant>
      <vt:variant>
        <vt:i4>5570627</vt:i4>
      </vt:variant>
      <vt:variant>
        <vt:i4>171</vt:i4>
      </vt:variant>
      <vt:variant>
        <vt:i4>0</vt:i4>
      </vt:variant>
      <vt:variant>
        <vt:i4>5</vt:i4>
      </vt:variant>
      <vt:variant>
        <vt:lpwstr>https://www.tva.com/about-tva/guidelines-and-reports</vt:lpwstr>
      </vt:variant>
      <vt:variant>
        <vt:lpwstr/>
      </vt:variant>
      <vt:variant>
        <vt:i4>7209033</vt:i4>
      </vt:variant>
      <vt:variant>
        <vt:i4>168</vt:i4>
      </vt:variant>
      <vt:variant>
        <vt:i4>0</vt:i4>
      </vt:variant>
      <vt:variant>
        <vt:i4>5</vt:i4>
      </vt:variant>
      <vt:variant>
        <vt:lpwstr>https://tva-azr-eastus-cdn-ep-tvawcm-prd.azureedge.net/cdn-tvawcma/docs/default-source/about-tva/guidelines-reports/lpc/broadband_resolution_memo.pdf?sfvrsn=2f3d6c92_2</vt:lpwstr>
      </vt:variant>
      <vt:variant>
        <vt:lpwstr/>
      </vt:variant>
      <vt:variant>
        <vt:i4>1769483</vt:i4>
      </vt:variant>
      <vt:variant>
        <vt:i4>165</vt:i4>
      </vt:variant>
      <vt:variant>
        <vt:i4>0</vt:i4>
      </vt:variant>
      <vt:variant>
        <vt:i4>5</vt:i4>
      </vt:variant>
      <vt:variant>
        <vt:lpwstr>http://alisondb.legislature.state.al.us/alison/codeofalabama/1975/coatoc.htm</vt:lpwstr>
      </vt:variant>
      <vt:variant>
        <vt:lpwstr/>
      </vt:variant>
      <vt:variant>
        <vt:i4>7536758</vt:i4>
      </vt:variant>
      <vt:variant>
        <vt:i4>162</vt:i4>
      </vt:variant>
      <vt:variant>
        <vt:i4>0</vt:i4>
      </vt:variant>
      <vt:variant>
        <vt:i4>5</vt:i4>
      </vt:variant>
      <vt:variant>
        <vt:lpwstr>https://www.fcc.gov/sites/default/files/ad-hoc-commitee-survey-04242018.pdf</vt:lpwstr>
      </vt:variant>
      <vt:variant>
        <vt:lpwstr/>
      </vt:variant>
      <vt:variant>
        <vt:i4>5963861</vt:i4>
      </vt:variant>
      <vt:variant>
        <vt:i4>159</vt:i4>
      </vt:variant>
      <vt:variant>
        <vt:i4>0</vt:i4>
      </vt:variant>
      <vt:variant>
        <vt:i4>5</vt:i4>
      </vt:variant>
      <vt:variant>
        <vt:lpwstr>https://www.dot.state.al.us/projects/regionProjects.html</vt:lpwstr>
      </vt:variant>
      <vt:variant>
        <vt:lpwstr/>
      </vt:variant>
      <vt:variant>
        <vt:i4>5963778</vt:i4>
      </vt:variant>
      <vt:variant>
        <vt:i4>156</vt:i4>
      </vt:variant>
      <vt:variant>
        <vt:i4>0</vt:i4>
      </vt:variant>
      <vt:variant>
        <vt:i4>5</vt:i4>
      </vt:variant>
      <vt:variant>
        <vt:lpwstr>https://www.dot.state.al.us/publications/Maintenance/pdf/Permits/PermitManual.pdf</vt:lpwstr>
      </vt:variant>
      <vt:variant>
        <vt:lpwstr/>
      </vt:variant>
      <vt:variant>
        <vt:i4>3276859</vt:i4>
      </vt:variant>
      <vt:variant>
        <vt:i4>153</vt:i4>
      </vt:variant>
      <vt:variant>
        <vt:i4>0</vt:i4>
      </vt:variant>
      <vt:variant>
        <vt:i4>5</vt:i4>
      </vt:variant>
      <vt:variant>
        <vt:lpwstr>https://www.dropbox.com/s/ei6o8rwiup9l8to/NCHRP RR 1053 Decision_Support_Tool.xlsx?dl=0</vt:lpwstr>
      </vt:variant>
      <vt:variant>
        <vt:lpwstr/>
      </vt:variant>
      <vt:variant>
        <vt:i4>7012404</vt:i4>
      </vt:variant>
      <vt:variant>
        <vt:i4>150</vt:i4>
      </vt:variant>
      <vt:variant>
        <vt:i4>0</vt:i4>
      </vt:variant>
      <vt:variant>
        <vt:i4>5</vt:i4>
      </vt:variant>
      <vt:variant>
        <vt:lpwstr>https://nap.nationalacademies.org/catalog/27163/valuation-and-compensation-approaches-in-utility-accommodation-a-guide</vt:lpwstr>
      </vt:variant>
      <vt:variant>
        <vt:lpwstr/>
      </vt:variant>
      <vt:variant>
        <vt:i4>2949237</vt:i4>
      </vt:variant>
      <vt:variant>
        <vt:i4>147</vt:i4>
      </vt:variant>
      <vt:variant>
        <vt:i4>0</vt:i4>
      </vt:variant>
      <vt:variant>
        <vt:i4>5</vt:i4>
      </vt:variant>
      <vt:variant>
        <vt:lpwstr>https://statescoop.com/alan-davidson-ntia-state-broadband-permits/</vt:lpwstr>
      </vt:variant>
      <vt:variant>
        <vt:lpwstr/>
      </vt:variant>
      <vt:variant>
        <vt:i4>4259846</vt:i4>
      </vt:variant>
      <vt:variant>
        <vt:i4>144</vt:i4>
      </vt:variant>
      <vt:variant>
        <vt:i4>0</vt:i4>
      </vt:variant>
      <vt:variant>
        <vt:i4>5</vt:i4>
      </vt:variant>
      <vt:variant>
        <vt:lpwstr>https://www.sba.gov/district/alabama/doing-business-alabama-district</vt:lpwstr>
      </vt:variant>
      <vt:variant>
        <vt:lpwstr/>
      </vt:variant>
      <vt:variant>
        <vt:i4>4456457</vt:i4>
      </vt:variant>
      <vt:variant>
        <vt:i4>141</vt:i4>
      </vt:variant>
      <vt:variant>
        <vt:i4>0</vt:i4>
      </vt:variant>
      <vt:variant>
        <vt:i4>5</vt:i4>
      </vt:variant>
      <vt:variant>
        <vt:lpwstr>https://www.sba.gov/district/alabama</vt:lpwstr>
      </vt:variant>
      <vt:variant>
        <vt:lpwstr/>
      </vt:variant>
      <vt:variant>
        <vt:i4>6750314</vt:i4>
      </vt:variant>
      <vt:variant>
        <vt:i4>138</vt:i4>
      </vt:variant>
      <vt:variant>
        <vt:i4>0</vt:i4>
      </vt:variant>
      <vt:variant>
        <vt:i4>5</vt:i4>
      </vt:variant>
      <vt:variant>
        <vt:lpwstr>https://www.madeinalabama.com/business-development/small-business/</vt:lpwstr>
      </vt:variant>
      <vt:variant>
        <vt:lpwstr/>
      </vt:variant>
      <vt:variant>
        <vt:i4>2687078</vt:i4>
      </vt:variant>
      <vt:variant>
        <vt:i4>135</vt:i4>
      </vt:variant>
      <vt:variant>
        <vt:i4>0</vt:i4>
      </vt:variant>
      <vt:variant>
        <vt:i4>5</vt:i4>
      </vt:variant>
      <vt:variant>
        <vt:lpwstr>https://www.mbda.gov/business-center/grant-recipient-dannon-project</vt:lpwstr>
      </vt:variant>
      <vt:variant>
        <vt:lpwstr/>
      </vt:variant>
      <vt:variant>
        <vt:i4>6160407</vt:i4>
      </vt:variant>
      <vt:variant>
        <vt:i4>132</vt:i4>
      </vt:variant>
      <vt:variant>
        <vt:i4>0</vt:i4>
      </vt:variant>
      <vt:variant>
        <vt:i4>5</vt:i4>
      </vt:variant>
      <vt:variant>
        <vt:lpwstr>https://www.mbda.gov/business-center/alabama-mbda-business-center</vt:lpwstr>
      </vt:variant>
      <vt:variant>
        <vt:lpwstr/>
      </vt:variant>
      <vt:variant>
        <vt:i4>917568</vt:i4>
      </vt:variant>
      <vt:variant>
        <vt:i4>129</vt:i4>
      </vt:variant>
      <vt:variant>
        <vt:i4>0</vt:i4>
      </vt:variant>
      <vt:variant>
        <vt:i4>5</vt:i4>
      </vt:variant>
      <vt:variant>
        <vt:lpwstr>https://aoma.alabama.gov/</vt:lpwstr>
      </vt:variant>
      <vt:variant>
        <vt:lpwstr/>
      </vt:variant>
      <vt:variant>
        <vt:i4>3932212</vt:i4>
      </vt:variant>
      <vt:variant>
        <vt:i4>126</vt:i4>
      </vt:variant>
      <vt:variant>
        <vt:i4>0</vt:i4>
      </vt:variant>
      <vt:variant>
        <vt:i4>5</vt:i4>
      </vt:variant>
      <vt:variant>
        <vt:lpwstr>https://data.census.gov/all/profiles?q=Alabama+Business+and+Economy</vt:lpwstr>
      </vt:variant>
      <vt:variant>
        <vt:lpwstr/>
      </vt:variant>
      <vt:variant>
        <vt:i4>5439580</vt:i4>
      </vt:variant>
      <vt:variant>
        <vt:i4>123</vt:i4>
      </vt:variant>
      <vt:variant>
        <vt:i4>0</vt:i4>
      </vt:variant>
      <vt:variant>
        <vt:i4>5</vt:i4>
      </vt:variant>
      <vt:variant>
        <vt:lpwstr>https://www.dol.gov/agencies/eta/lsa</vt:lpwstr>
      </vt:variant>
      <vt:variant>
        <vt:lpwstr/>
      </vt:variant>
      <vt:variant>
        <vt:i4>4980750</vt:i4>
      </vt:variant>
      <vt:variant>
        <vt:i4>120</vt:i4>
      </vt:variant>
      <vt:variant>
        <vt:i4>0</vt:i4>
      </vt:variant>
      <vt:variant>
        <vt:i4>5</vt:i4>
      </vt:variant>
      <vt:variant>
        <vt:lpwstr>https://www.archives.gov/federal-register/codification/executive-order/10582.html</vt:lpwstr>
      </vt:variant>
      <vt:variant>
        <vt:lpwstr/>
      </vt:variant>
      <vt:variant>
        <vt:i4>4128822</vt:i4>
      </vt:variant>
      <vt:variant>
        <vt:i4>117</vt:i4>
      </vt:variant>
      <vt:variant>
        <vt:i4>0</vt:i4>
      </vt:variant>
      <vt:variant>
        <vt:i4>5</vt:i4>
      </vt:variant>
      <vt:variant>
        <vt:lpwstr>https://adeca.alabama.gov/wp-content/uploads/OMBE-certified-businesses.xlsx</vt:lpwstr>
      </vt:variant>
      <vt:variant>
        <vt:lpwstr/>
      </vt:variant>
      <vt:variant>
        <vt:i4>3211381</vt:i4>
      </vt:variant>
      <vt:variant>
        <vt:i4>114</vt:i4>
      </vt:variant>
      <vt:variant>
        <vt:i4>0</vt:i4>
      </vt:variant>
      <vt:variant>
        <vt:i4>5</vt:i4>
      </vt:variant>
      <vt:variant>
        <vt:lpwstr>https://alabamabuys.gov/page.aspx/en/usr/login</vt:lpwstr>
      </vt:variant>
      <vt:variant>
        <vt:lpwstr/>
      </vt:variant>
      <vt:variant>
        <vt:i4>917568</vt:i4>
      </vt:variant>
      <vt:variant>
        <vt:i4>111</vt:i4>
      </vt:variant>
      <vt:variant>
        <vt:i4>0</vt:i4>
      </vt:variant>
      <vt:variant>
        <vt:i4>5</vt:i4>
      </vt:variant>
      <vt:variant>
        <vt:lpwstr>https://aoma.alabama.gov/</vt:lpwstr>
      </vt:variant>
      <vt:variant>
        <vt:lpwstr/>
      </vt:variant>
      <vt:variant>
        <vt:i4>3997753</vt:i4>
      </vt:variant>
      <vt:variant>
        <vt:i4>108</vt:i4>
      </vt:variant>
      <vt:variant>
        <vt:i4>0</vt:i4>
      </vt:variant>
      <vt:variant>
        <vt:i4>5</vt:i4>
      </vt:variant>
      <vt:variant>
        <vt:lpwstr>https://adeca.alabama.gov/ombe/</vt:lpwstr>
      </vt:variant>
      <vt:variant>
        <vt:lpwstr/>
      </vt:variant>
      <vt:variant>
        <vt:i4>3997809</vt:i4>
      </vt:variant>
      <vt:variant>
        <vt:i4>105</vt:i4>
      </vt:variant>
      <vt:variant>
        <vt:i4>0</vt:i4>
      </vt:variant>
      <vt:variant>
        <vt:i4>5</vt:i4>
      </vt:variant>
      <vt:variant>
        <vt:lpwstr>https://doi.org/10.1111/pirs.12450</vt:lpwstr>
      </vt:variant>
      <vt:variant>
        <vt:lpwstr/>
      </vt:variant>
      <vt:variant>
        <vt:i4>3801128</vt:i4>
      </vt:variant>
      <vt:variant>
        <vt:i4>102</vt:i4>
      </vt:variant>
      <vt:variant>
        <vt:i4>0</vt:i4>
      </vt:variant>
      <vt:variant>
        <vt:i4>5</vt:i4>
      </vt:variant>
      <vt:variant>
        <vt:lpwstr>https://buildbroadbandbetter.org/system/files/2023-09/CWA-Broadband-HIgh-Road-Labor-Report-2023.pdf</vt:lpwstr>
      </vt:variant>
      <vt:variant>
        <vt:lpwstr/>
      </vt:variant>
      <vt:variant>
        <vt:i4>1638504</vt:i4>
      </vt:variant>
      <vt:variant>
        <vt:i4>99</vt:i4>
      </vt:variant>
      <vt:variant>
        <vt:i4>0</vt:i4>
      </vt:variant>
      <vt:variant>
        <vt:i4>5</vt:i4>
      </vt:variant>
      <vt:variant>
        <vt:lpwstr>https://www.wallace.edu/news_announcements/governor-kay-ivey-makes-statewide-broadband-access-announcement-at-wccds-dothan-campus/</vt:lpwstr>
      </vt:variant>
      <vt:variant>
        <vt:lpwstr>:~:text=Skills%20for%20Success%2C%20the%20rapid,at%20no%20cost%20to%20participants</vt:lpwstr>
      </vt:variant>
      <vt:variant>
        <vt:i4>3276903</vt:i4>
      </vt:variant>
      <vt:variant>
        <vt:i4>96</vt:i4>
      </vt:variant>
      <vt:variant>
        <vt:i4>0</vt:i4>
      </vt:variant>
      <vt:variant>
        <vt:i4>5</vt:i4>
      </vt:variant>
      <vt:variant>
        <vt:lpwstr>https://peri.umass.edu/publication/item/1356-impacts-of-the-reimagine-appalachia-clean-energy-transition-programs-for-ohio</vt:lpwstr>
      </vt:variant>
      <vt:variant>
        <vt:lpwstr/>
      </vt:variant>
      <vt:variant>
        <vt:i4>6619238</vt:i4>
      </vt:variant>
      <vt:variant>
        <vt:i4>93</vt:i4>
      </vt:variant>
      <vt:variant>
        <vt:i4>0</vt:i4>
      </vt:variant>
      <vt:variant>
        <vt:i4>5</vt:i4>
      </vt:variant>
      <vt:variant>
        <vt:lpwstr>https://www.brookings.edu/wp-content/uploads/2021/03/Federal-infrastructure-investment.pdf</vt:lpwstr>
      </vt:variant>
      <vt:variant>
        <vt:lpwstr/>
      </vt:variant>
      <vt:variant>
        <vt:i4>4259846</vt:i4>
      </vt:variant>
      <vt:variant>
        <vt:i4>90</vt:i4>
      </vt:variant>
      <vt:variant>
        <vt:i4>0</vt:i4>
      </vt:variant>
      <vt:variant>
        <vt:i4>5</vt:i4>
      </vt:variant>
      <vt:variant>
        <vt:lpwstr>https://www.economicmodeling.com/</vt:lpwstr>
      </vt:variant>
      <vt:variant>
        <vt:lpwstr/>
      </vt:variant>
      <vt:variant>
        <vt:i4>393287</vt:i4>
      </vt:variant>
      <vt:variant>
        <vt:i4>87</vt:i4>
      </vt:variant>
      <vt:variant>
        <vt:i4>0</vt:i4>
      </vt:variant>
      <vt:variant>
        <vt:i4>5</vt:i4>
      </vt:variant>
      <vt:variant>
        <vt:lpwstr>https://reimagineappalachia.org/wp-content/uploads/2020/10/Pollin-et-al-OHIO-Reimagine-Appalachia-and-Clean-Energy-Programs-10-19-20.pdf</vt:lpwstr>
      </vt:variant>
      <vt:variant>
        <vt:lpwstr/>
      </vt:variant>
      <vt:variant>
        <vt:i4>5570570</vt:i4>
      </vt:variant>
      <vt:variant>
        <vt:i4>84</vt:i4>
      </vt:variant>
      <vt:variant>
        <vt:i4>0</vt:i4>
      </vt:variant>
      <vt:variant>
        <vt:i4>5</vt:i4>
      </vt:variant>
      <vt:variant>
        <vt:lpwstr>https://www.brookings.edu/research/how-federal-infrastructure-investment-can-put-america-to-work/</vt:lpwstr>
      </vt:variant>
      <vt:variant>
        <vt:lpwstr/>
      </vt:variant>
      <vt:variant>
        <vt:i4>7340093</vt:i4>
      </vt:variant>
      <vt:variant>
        <vt:i4>81</vt:i4>
      </vt:variant>
      <vt:variant>
        <vt:i4>0</vt:i4>
      </vt:variant>
      <vt:variant>
        <vt:i4>5</vt:i4>
      </vt:variant>
      <vt:variant>
        <vt:lpwstr>https://governor.alabama.gov/newsroom/2023/04/governor-ivey-signs-the-game-plan-legislation-strengthening-alabamas-economic-future/</vt:lpwstr>
      </vt:variant>
      <vt:variant>
        <vt:lpwstr/>
      </vt:variant>
      <vt:variant>
        <vt:i4>852062</vt:i4>
      </vt:variant>
      <vt:variant>
        <vt:i4>78</vt:i4>
      </vt:variant>
      <vt:variant>
        <vt:i4>0</vt:i4>
      </vt:variant>
      <vt:variant>
        <vt:i4>5</vt:i4>
      </vt:variant>
      <vt:variant>
        <vt:lpwstr>https://www.commerce.gov/sites/default/files/2023-09/BEAD BABA Waiver Replacement.pdf</vt:lpwstr>
      </vt:variant>
      <vt:variant>
        <vt:lpwstr/>
      </vt:variant>
      <vt:variant>
        <vt:i4>3407910</vt:i4>
      </vt:variant>
      <vt:variant>
        <vt:i4>75</vt:i4>
      </vt:variant>
      <vt:variant>
        <vt:i4>0</vt:i4>
      </vt:variant>
      <vt:variant>
        <vt:i4>5</vt:i4>
      </vt:variant>
      <vt:variant>
        <vt:lpwstr>https://broadbandusa.ntia.gov/sites/default/files/2023-10/BEAD_LOC_Waiver_Notice_10.23.23.pdf</vt:lpwstr>
      </vt:variant>
      <vt:variant>
        <vt:lpwstr/>
      </vt:variant>
      <vt:variant>
        <vt:i4>852062</vt:i4>
      </vt:variant>
      <vt:variant>
        <vt:i4>72</vt:i4>
      </vt:variant>
      <vt:variant>
        <vt:i4>0</vt:i4>
      </vt:variant>
      <vt:variant>
        <vt:i4>5</vt:i4>
      </vt:variant>
      <vt:variant>
        <vt:lpwstr>https://www.commerce.gov/sites/default/files/2023-09/BEAD BABA Waiver Replacement.pdf</vt:lpwstr>
      </vt:variant>
      <vt:variant>
        <vt:lpwstr/>
      </vt:variant>
      <vt:variant>
        <vt:i4>7340093</vt:i4>
      </vt:variant>
      <vt:variant>
        <vt:i4>69</vt:i4>
      </vt:variant>
      <vt:variant>
        <vt:i4>0</vt:i4>
      </vt:variant>
      <vt:variant>
        <vt:i4>5</vt:i4>
      </vt:variant>
      <vt:variant>
        <vt:lpwstr>https://governor.alabama.gov/newsroom/2023/04/governor-ivey-signs-the-game-plan-legislation-strengthening-alabamas-economic-future/</vt:lpwstr>
      </vt:variant>
      <vt:variant>
        <vt:lpwstr/>
      </vt:variant>
      <vt:variant>
        <vt:i4>4784220</vt:i4>
      </vt:variant>
      <vt:variant>
        <vt:i4>66</vt:i4>
      </vt:variant>
      <vt:variant>
        <vt:i4>0</vt:i4>
      </vt:variant>
      <vt:variant>
        <vt:i4>5</vt:i4>
      </vt:variant>
      <vt:variant>
        <vt:lpwstr>https://adeca.alabama.gov/alanchormiddlemile/</vt:lpwstr>
      </vt:variant>
      <vt:variant>
        <vt:lpwstr/>
      </vt:variant>
      <vt:variant>
        <vt:i4>1638446</vt:i4>
      </vt:variant>
      <vt:variant>
        <vt:i4>63</vt:i4>
      </vt:variant>
      <vt:variant>
        <vt:i4>0</vt:i4>
      </vt:variant>
      <vt:variant>
        <vt:i4>5</vt:i4>
      </vt:variant>
      <vt:variant>
        <vt:lpwstr>https://broadbandusa.ntia.doc.gov/sites/default/files/2023-10/BEAD_Initial_Proposal_Guidance_Volumes_I_II_10-2023.pdf</vt:lpwstr>
      </vt:variant>
      <vt:variant>
        <vt:lpwstr/>
      </vt:variant>
      <vt:variant>
        <vt:i4>4784220</vt:i4>
      </vt:variant>
      <vt:variant>
        <vt:i4>60</vt:i4>
      </vt:variant>
      <vt:variant>
        <vt:i4>0</vt:i4>
      </vt:variant>
      <vt:variant>
        <vt:i4>5</vt:i4>
      </vt:variant>
      <vt:variant>
        <vt:lpwstr>https://adeca.alabama.gov/alanchormiddlemile/</vt:lpwstr>
      </vt:variant>
      <vt:variant>
        <vt:lpwstr/>
      </vt:variant>
      <vt:variant>
        <vt:i4>1638471</vt:i4>
      </vt:variant>
      <vt:variant>
        <vt:i4>57</vt:i4>
      </vt:variant>
      <vt:variant>
        <vt:i4>0</vt:i4>
      </vt:variant>
      <vt:variant>
        <vt:i4>5</vt:i4>
      </vt:variant>
      <vt:variant>
        <vt:lpwstr>https://adeca.alabama.gov/alcapitalprojectsfund/</vt:lpwstr>
      </vt:variant>
      <vt:variant>
        <vt:lpwstr/>
      </vt:variant>
      <vt:variant>
        <vt:i4>6946859</vt:i4>
      </vt:variant>
      <vt:variant>
        <vt:i4>54</vt:i4>
      </vt:variant>
      <vt:variant>
        <vt:i4>0</vt:i4>
      </vt:variant>
      <vt:variant>
        <vt:i4>5</vt:i4>
      </vt:variant>
      <vt:variant>
        <vt:lpwstr>https://adeca.alabama.gov/grant-application-and-implementation/</vt:lpwstr>
      </vt:variant>
      <vt:variant>
        <vt:lpwstr/>
      </vt:variant>
      <vt:variant>
        <vt:i4>1704013</vt:i4>
      </vt:variant>
      <vt:variant>
        <vt:i4>51</vt:i4>
      </vt:variant>
      <vt:variant>
        <vt:i4>0</vt:i4>
      </vt:variant>
      <vt:variant>
        <vt:i4>5</vt:i4>
      </vt:variant>
      <vt:variant>
        <vt:lpwstr>https://adeca.alabama.gov/broadband-alabama-mailing-list/</vt:lpwstr>
      </vt:variant>
      <vt:variant>
        <vt:lpwstr/>
      </vt:variant>
      <vt:variant>
        <vt:i4>852044</vt:i4>
      </vt:variant>
      <vt:variant>
        <vt:i4>48</vt:i4>
      </vt:variant>
      <vt:variant>
        <vt:i4>0</vt:i4>
      </vt:variant>
      <vt:variant>
        <vt:i4>5</vt:i4>
      </vt:variant>
      <vt:variant>
        <vt:lpwstr>https://broadband.alabama.gov/broadband-maps/</vt:lpwstr>
      </vt:variant>
      <vt:variant>
        <vt:lpwstr/>
      </vt:variant>
      <vt:variant>
        <vt:i4>2031635</vt:i4>
      </vt:variant>
      <vt:variant>
        <vt:i4>45</vt:i4>
      </vt:variant>
      <vt:variant>
        <vt:i4>0</vt:i4>
      </vt:variant>
      <vt:variant>
        <vt:i4>5</vt:i4>
      </vt:variant>
      <vt:variant>
        <vt:lpwstr>https://aiac.alabama.gov/Tribal-Map.aspx</vt:lpwstr>
      </vt:variant>
      <vt:variant>
        <vt:lpwstr/>
      </vt:variant>
      <vt:variant>
        <vt:i4>3276854</vt:i4>
      </vt:variant>
      <vt:variant>
        <vt:i4>42</vt:i4>
      </vt:variant>
      <vt:variant>
        <vt:i4>0</vt:i4>
      </vt:variant>
      <vt:variant>
        <vt:i4>5</vt:i4>
      </vt:variant>
      <vt:variant>
        <vt:lpwstr>https://www.doi.gov/sites/doi.gov/files/uploads/12_bia_regions.pdf</vt:lpwstr>
      </vt:variant>
      <vt:variant>
        <vt:lpwstr/>
      </vt:variant>
      <vt:variant>
        <vt:i4>1769481</vt:i4>
      </vt:variant>
      <vt:variant>
        <vt:i4>39</vt:i4>
      </vt:variant>
      <vt:variant>
        <vt:i4>0</vt:i4>
      </vt:variant>
      <vt:variant>
        <vt:i4>5</vt:i4>
      </vt:variant>
      <vt:variant>
        <vt:lpwstr>https://states.aarp.org/alabama/broadband-expansion-in-alabama-make-your-voice-heard</vt:lpwstr>
      </vt:variant>
      <vt:variant>
        <vt:lpwstr/>
      </vt:variant>
      <vt:variant>
        <vt:i4>262228</vt:i4>
      </vt:variant>
      <vt:variant>
        <vt:i4>36</vt:i4>
      </vt:variant>
      <vt:variant>
        <vt:i4>0</vt:i4>
      </vt:variant>
      <vt:variant>
        <vt:i4>5</vt:i4>
      </vt:variant>
      <vt:variant>
        <vt:lpwstr>https://choiceuniontown.org/</vt:lpwstr>
      </vt:variant>
      <vt:variant>
        <vt:lpwstr/>
      </vt:variant>
      <vt:variant>
        <vt:i4>1703960</vt:i4>
      </vt:variant>
      <vt:variant>
        <vt:i4>33</vt:i4>
      </vt:variant>
      <vt:variant>
        <vt:i4>0</vt:i4>
      </vt:variant>
      <vt:variant>
        <vt:i4>5</vt:i4>
      </vt:variant>
      <vt:variant>
        <vt:lpwstr>https://studentfreedominitiative.org/</vt:lpwstr>
      </vt:variant>
      <vt:variant>
        <vt:lpwstr/>
      </vt:variant>
      <vt:variant>
        <vt:i4>393281</vt:i4>
      </vt:variant>
      <vt:variant>
        <vt:i4>30</vt:i4>
      </vt:variant>
      <vt:variant>
        <vt:i4>0</vt:i4>
      </vt:variant>
      <vt:variant>
        <vt:i4>5</vt:i4>
      </vt:variant>
      <vt:variant>
        <vt:lpwstr>https://adeca.alabama.gov/asdop/</vt:lpwstr>
      </vt:variant>
      <vt:variant>
        <vt:lpwstr/>
      </vt:variant>
      <vt:variant>
        <vt:i4>7733283</vt:i4>
      </vt:variant>
      <vt:variant>
        <vt:i4>27</vt:i4>
      </vt:variant>
      <vt:variant>
        <vt:i4>0</vt:i4>
      </vt:variant>
      <vt:variant>
        <vt:i4>5</vt:i4>
      </vt:variant>
      <vt:variant>
        <vt:lpwstr>https://adeca.alabama.gov/broadband-webinars-and-workshops/</vt:lpwstr>
      </vt:variant>
      <vt:variant>
        <vt:lpwstr/>
      </vt:variant>
      <vt:variant>
        <vt:i4>1704013</vt:i4>
      </vt:variant>
      <vt:variant>
        <vt:i4>24</vt:i4>
      </vt:variant>
      <vt:variant>
        <vt:i4>0</vt:i4>
      </vt:variant>
      <vt:variant>
        <vt:i4>5</vt:i4>
      </vt:variant>
      <vt:variant>
        <vt:lpwstr>https://adeca.alabama.gov/broadband-alabama-mailing-list/</vt:lpwstr>
      </vt:variant>
      <vt:variant>
        <vt:lpwstr/>
      </vt:variant>
      <vt:variant>
        <vt:i4>2490414</vt:i4>
      </vt:variant>
      <vt:variant>
        <vt:i4>21</vt:i4>
      </vt:variant>
      <vt:variant>
        <vt:i4>0</vt:i4>
      </vt:variant>
      <vt:variant>
        <vt:i4>5</vt:i4>
      </vt:variant>
      <vt:variant>
        <vt:lpwstr>https://broadband.alabama.gov/profiles/</vt:lpwstr>
      </vt:variant>
      <vt:variant>
        <vt:lpwstr/>
      </vt:variant>
      <vt:variant>
        <vt:i4>3211391</vt:i4>
      </vt:variant>
      <vt:variant>
        <vt:i4>18</vt:i4>
      </vt:variant>
      <vt:variant>
        <vt:i4>0</vt:i4>
      </vt:variant>
      <vt:variant>
        <vt:i4>5</vt:i4>
      </vt:variant>
      <vt:variant>
        <vt:lpwstr>https://adeca.alabama.gov/alabama-community-broadband-technical-assistance-program/</vt:lpwstr>
      </vt:variant>
      <vt:variant>
        <vt:lpwstr/>
      </vt:variant>
      <vt:variant>
        <vt:i4>4653087</vt:i4>
      </vt:variant>
      <vt:variant>
        <vt:i4>15</vt:i4>
      </vt:variant>
      <vt:variant>
        <vt:i4>0</vt:i4>
      </vt:variant>
      <vt:variant>
        <vt:i4>5</vt:i4>
      </vt:variant>
      <vt:variant>
        <vt:lpwstr>https://www.congress.gov/bill/117th-congress/house-bill/3684/text</vt:lpwstr>
      </vt:variant>
      <vt:variant>
        <vt:lpwstr/>
      </vt:variant>
      <vt:variant>
        <vt:i4>393281</vt:i4>
      </vt:variant>
      <vt:variant>
        <vt:i4>12</vt:i4>
      </vt:variant>
      <vt:variant>
        <vt:i4>0</vt:i4>
      </vt:variant>
      <vt:variant>
        <vt:i4>5</vt:i4>
      </vt:variant>
      <vt:variant>
        <vt:lpwstr>https://adeca.alabama.gov/asdop/</vt:lpwstr>
      </vt:variant>
      <vt:variant>
        <vt:lpwstr/>
      </vt:variant>
      <vt:variant>
        <vt:i4>852044</vt:i4>
      </vt:variant>
      <vt:variant>
        <vt:i4>9</vt:i4>
      </vt:variant>
      <vt:variant>
        <vt:i4>0</vt:i4>
      </vt:variant>
      <vt:variant>
        <vt:i4>5</vt:i4>
      </vt:variant>
      <vt:variant>
        <vt:lpwstr>https://broadband.alabama.gov/broadband-maps/</vt:lpwstr>
      </vt:variant>
      <vt:variant>
        <vt:lpwstr/>
      </vt:variant>
      <vt:variant>
        <vt:i4>3538982</vt:i4>
      </vt:variant>
      <vt:variant>
        <vt:i4>6</vt:i4>
      </vt:variant>
      <vt:variant>
        <vt:i4>0</vt:i4>
      </vt:variant>
      <vt:variant>
        <vt:i4>5</vt:i4>
      </vt:variant>
      <vt:variant>
        <vt:lpwstr>https://adeca.alabama.gov/beadplan/</vt:lpwstr>
      </vt:variant>
      <vt:variant>
        <vt:lpwstr/>
      </vt:variant>
      <vt:variant>
        <vt:i4>7667822</vt:i4>
      </vt:variant>
      <vt:variant>
        <vt:i4>3</vt:i4>
      </vt:variant>
      <vt:variant>
        <vt:i4>0</vt:i4>
      </vt:variant>
      <vt:variant>
        <vt:i4>5</vt:i4>
      </vt:variant>
      <vt:variant>
        <vt:lpwstr>https://adeca.alabama.gov/wp-content/uploads/Alabama-Connectivity-Plan.pdf</vt:lpwstr>
      </vt:variant>
      <vt:variant>
        <vt:lpwstr/>
      </vt:variant>
      <vt:variant>
        <vt:i4>2818103</vt:i4>
      </vt:variant>
      <vt:variant>
        <vt:i4>0</vt:i4>
      </vt:variant>
      <vt:variant>
        <vt:i4>0</vt:i4>
      </vt:variant>
      <vt:variant>
        <vt:i4>5</vt:i4>
      </vt:variant>
      <vt:variant>
        <vt:lpwstr>https://broadbandusa.ntia.doc.gov/sites/default/files/2022-05/BEAD NOFO.pdf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Schulhof</dc:creator>
  <cp:keywords/>
  <cp:lastModifiedBy>Jack Burbridge</cp:lastModifiedBy>
  <cp:revision>1165</cp:revision>
  <dcterms:created xsi:type="dcterms:W3CDTF">2023-10-12T09:15:00Z</dcterms:created>
  <dcterms:modified xsi:type="dcterms:W3CDTF">2023-11-14T18:21:00Z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0x010100685714D625ED474797DB2F14F95CF86E</vt:lpwstr>
  </property>
  <property fmtid="{D5CDD505-2E9C-101B-9397-08002B2CF9AE}" pid="3" name="MediaServiceImageTags">
    <vt:lpwstr/>
  </property>
</Properties>
</file>