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60518D2F" w:rsidR="001A55F9" w:rsidRPr="00F04E1C" w:rsidRDefault="001A55F9" w:rsidP="001A55F9">
      <w:pPr>
        <w:jc w:val="center"/>
        <w:rPr>
          <w:rFonts w:ascii="Arial Narrow" w:hAnsi="Arial Narrow"/>
          <w:b/>
          <w:bCs/>
          <w:sz w:val="21"/>
          <w:szCs w:val="21"/>
        </w:rPr>
      </w:pPr>
      <w:r w:rsidRPr="00F04E1C">
        <w:rPr>
          <w:b/>
          <w:bCs/>
          <w:sz w:val="21"/>
          <w:szCs w:val="21"/>
          <w:lang w:val="es"/>
        </w:rPr>
        <w:t>Aviso temprano y revisión pública de una</w:t>
      </w:r>
      <w:r w:rsidR="00F04E1C" w:rsidRPr="00F04E1C">
        <w:rPr>
          <w:b/>
          <w:bCs/>
          <w:sz w:val="21"/>
          <w:szCs w:val="21"/>
          <w:lang w:val="es"/>
        </w:rPr>
        <w:t xml:space="preserve"> </w:t>
      </w:r>
      <w:r w:rsidRPr="00F04E1C">
        <w:rPr>
          <w:b/>
          <w:bCs/>
          <w:sz w:val="21"/>
          <w:szCs w:val="21"/>
          <w:lang w:val="es"/>
        </w:rPr>
        <w:t>actividad propuesta en una llanura de inundación o humedal de 100 años</w:t>
      </w:r>
    </w:p>
    <w:p w14:paraId="1A69830A" w14:textId="3BCEE074" w:rsidR="001A55F9" w:rsidRPr="00941089" w:rsidRDefault="00667E34" w:rsidP="001A55F9">
      <w:pPr>
        <w:jc w:val="center"/>
        <w:rPr>
          <w:rFonts w:ascii="Arial Narrow" w:hAnsi="Arial Narrow"/>
          <w:b/>
          <w:bCs/>
          <w:sz w:val="24"/>
          <w:szCs w:val="24"/>
        </w:rPr>
      </w:pPr>
      <w:r w:rsidRPr="00F04E1C">
        <w:rPr>
          <w:b/>
          <w:bCs/>
          <w:sz w:val="21"/>
          <w:szCs w:val="21"/>
          <w:lang w:val="es"/>
        </w:rPr>
        <w:t>Condado de Baldwin, AL</w:t>
      </w:r>
    </w:p>
    <w:p w14:paraId="13F9FDF6" w14:textId="77777777" w:rsidR="00667E34" w:rsidRPr="00941089" w:rsidRDefault="00667E34" w:rsidP="001A55F9">
      <w:pPr>
        <w:jc w:val="center"/>
        <w:rPr>
          <w:rFonts w:ascii="Arial Narrow" w:hAnsi="Arial Narrow"/>
          <w:b/>
          <w:sz w:val="24"/>
          <w:szCs w:val="24"/>
        </w:rPr>
      </w:pPr>
    </w:p>
    <w:p w14:paraId="5CD4D68C" w14:textId="1B8DF39B" w:rsidR="001A55F9" w:rsidRPr="00CA1FDD" w:rsidRDefault="001A55F9" w:rsidP="001A55F9">
      <w:pPr>
        <w:rPr>
          <w:rFonts w:ascii="Arial Narrow" w:hAnsi="Arial Narrow"/>
          <w:sz w:val="24"/>
          <w:szCs w:val="24"/>
        </w:rPr>
      </w:pPr>
      <w:r w:rsidRPr="00CA1FDD">
        <w:rPr>
          <w:sz w:val="24"/>
          <w:szCs w:val="24"/>
          <w:lang w:val="es"/>
        </w:rPr>
        <w:t>Para: Todas las agencias, grupos e individuos interesados</w:t>
      </w:r>
    </w:p>
    <w:p w14:paraId="6C379060" w14:textId="77777777" w:rsidR="001A55F9" w:rsidRPr="00CA1FDD" w:rsidRDefault="001A55F9" w:rsidP="001A55F9">
      <w:pPr>
        <w:rPr>
          <w:rFonts w:ascii="Arial Narrow" w:hAnsi="Arial Narrow"/>
          <w:sz w:val="24"/>
          <w:szCs w:val="24"/>
          <w:highlight w:val="yellow"/>
        </w:rPr>
      </w:pPr>
    </w:p>
    <w:p w14:paraId="27815DF9" w14:textId="5911AF23" w:rsidR="00667E34" w:rsidRPr="00CA1FDD" w:rsidRDefault="001A55F9" w:rsidP="001A55F9">
      <w:pPr>
        <w:rPr>
          <w:rFonts w:ascii="Arial Narrow" w:hAnsi="Arial Narrow"/>
          <w:bCs/>
          <w:sz w:val="24"/>
          <w:szCs w:val="24"/>
          <w:highlight w:val="yellow"/>
        </w:rPr>
      </w:pPr>
      <w:r w:rsidRPr="00CA1FDD">
        <w:rPr>
          <w:sz w:val="24"/>
          <w:szCs w:val="24"/>
          <w:lang w:val="es"/>
        </w:rPr>
        <w:t>Esto es para notificar que el Departamento de Asuntos Económicos y Comunitarios de Alabama (</w:t>
      </w:r>
      <w:r w:rsidR="00667E34" w:rsidRPr="00CA1FDD">
        <w:rPr>
          <w:sz w:val="24"/>
          <w:szCs w:val="24"/>
          <w:lang w:val="es"/>
        </w:rPr>
        <w:t>ADECA) propone emprender actividades relacionadas con el</w:t>
      </w:r>
      <w:r w:rsidRPr="00CA1FDD">
        <w:rPr>
          <w:sz w:val="24"/>
          <w:szCs w:val="24"/>
          <w:lang w:val="es"/>
        </w:rPr>
        <w:t xml:space="preserve"> </w:t>
      </w:r>
      <w:r w:rsidR="00B41792" w:rsidRPr="00CA1FDD">
        <w:rPr>
          <w:sz w:val="24"/>
          <w:szCs w:val="24"/>
          <w:lang w:val="es"/>
        </w:rPr>
        <w:t>programa de Subvención en Bloque para el Desarrollo Comunitario (CDBG-DR)</w:t>
      </w:r>
      <w:r w:rsidRPr="00CA1FDD">
        <w:rPr>
          <w:sz w:val="24"/>
          <w:szCs w:val="24"/>
          <w:lang w:val="es"/>
        </w:rPr>
        <w:t xml:space="preserve"> del Departamento de </w:t>
      </w:r>
      <w:r w:rsidR="00B41792" w:rsidRPr="00CA1FDD">
        <w:rPr>
          <w:sz w:val="24"/>
          <w:szCs w:val="24"/>
          <w:lang w:val="es"/>
        </w:rPr>
        <w:t>Vivienda y Desarrollo Urbano de</w:t>
      </w:r>
      <w:r w:rsidRPr="00CA1FDD">
        <w:rPr>
          <w:sz w:val="24"/>
          <w:szCs w:val="24"/>
          <w:lang w:val="es"/>
        </w:rPr>
        <w:t xml:space="preserve"> los Estados Unidos (HUD). </w:t>
      </w:r>
      <w:r w:rsidR="00B94A8F" w:rsidRPr="00CA1FDD">
        <w:rPr>
          <w:bCs/>
          <w:sz w:val="24"/>
          <w:szCs w:val="24"/>
          <w:lang w:val="es"/>
        </w:rPr>
        <w:t xml:space="preserve"> El Programa de Recuperación de Viviendas de Alabama (HRAP) de ADECA puede incluir sitios de proyectos ubicados en la llanura de inundación o humedal de 100 años.</w:t>
      </w:r>
      <w:r w:rsidRPr="00CA1FDD">
        <w:rPr>
          <w:sz w:val="24"/>
          <w:szCs w:val="24"/>
          <w:lang w:val="es"/>
        </w:rPr>
        <w:t xml:space="preserve"> </w:t>
      </w:r>
      <w:r w:rsidR="00DF086B" w:rsidRPr="00CA1FDD">
        <w:rPr>
          <w:bCs/>
          <w:sz w:val="24"/>
          <w:szCs w:val="24"/>
          <w:lang w:val="es"/>
        </w:rPr>
        <w:t xml:space="preserve"> El Departamento de Asuntos Económicos y Comunitarios de Alabama</w:t>
      </w:r>
      <w:r w:rsidRPr="00CA1FDD">
        <w:rPr>
          <w:bCs/>
          <w:sz w:val="24"/>
          <w:szCs w:val="24"/>
          <w:lang w:val="es"/>
        </w:rPr>
        <w:t xml:space="preserve"> identificará</w:t>
      </w:r>
      <w:r w:rsidRPr="00CA1FDD">
        <w:rPr>
          <w:sz w:val="24"/>
          <w:szCs w:val="24"/>
          <w:lang w:val="es"/>
        </w:rPr>
        <w:t xml:space="preserve"> y </w:t>
      </w:r>
      <w:r w:rsidRPr="00CA1FDD">
        <w:rPr>
          <w:bCs/>
          <w:sz w:val="24"/>
          <w:szCs w:val="24"/>
          <w:lang w:val="es"/>
        </w:rPr>
        <w:t>evaluará alternativas viables para ubicar</w:t>
      </w:r>
      <w:r w:rsidRPr="00CA1FDD">
        <w:rPr>
          <w:sz w:val="24"/>
          <w:szCs w:val="24"/>
          <w:lang w:val="es"/>
        </w:rPr>
        <w:t xml:space="preserve"> la acción en la llanura de inundación y el humedal y los posibles impactos en las llanuras aluviales </w:t>
      </w:r>
      <w:r w:rsidRPr="00CA1FDD">
        <w:rPr>
          <w:bCs/>
          <w:sz w:val="24"/>
          <w:szCs w:val="24"/>
          <w:lang w:val="es"/>
        </w:rPr>
        <w:t>o humedales de la acción propuesta, según lo requerido por las Órdenes Ejecutivas, de acuerdo con las regulaciones de HUD en 24 CFR 55.20 Subparte C Procedimientos para tomar determinaciones sobre el manejo de llanuras aluviales y la protección de humedales.</w:t>
      </w:r>
      <w:sdt>
        <w:sdtPr>
          <w:rPr>
            <w:rFonts w:ascii="Arial Narrow" w:hAnsi="Arial Narrow"/>
            <w:bCs/>
            <w:sz w:val="24"/>
            <w:szCs w:val="24"/>
          </w:rPr>
          <w:alias w:val="Executvie Order(s)"/>
          <w:tag w:val="Executvie Order(s)"/>
          <w:id w:val="-1423176155"/>
          <w:placeholder>
            <w:docPart w:val="DefaultPlaceholder_-1854013438"/>
          </w:placeholder>
          <w:comboBox>
            <w:listItem w:value="Choose an item."/>
            <w:listItem w:displayText="11988" w:value="11988"/>
            <w:listItem w:displayText="11990" w:value="11990"/>
            <w:listItem w:displayText="11988 and 11990" w:value="11988 and 11990"/>
          </w:comboBox>
        </w:sdtPr>
        <w:sdtEndPr/>
        <w:sdtContent>
          <w:r w:rsidR="00985F27" w:rsidRPr="00CA1FDD">
            <w:rPr>
              <w:bCs/>
              <w:sz w:val="24"/>
              <w:szCs w:val="24"/>
              <w:lang w:val="es"/>
            </w:rPr>
            <w:t>11988 y 11990</w:t>
          </w:r>
        </w:sdtContent>
      </w:sdt>
    </w:p>
    <w:p w14:paraId="560AF053" w14:textId="77777777" w:rsidR="00667E34" w:rsidRPr="00CA1FDD" w:rsidRDefault="00667E34" w:rsidP="001A55F9">
      <w:pPr>
        <w:rPr>
          <w:rFonts w:ascii="Arial Narrow" w:hAnsi="Arial Narrow"/>
          <w:bCs/>
          <w:sz w:val="24"/>
          <w:szCs w:val="24"/>
          <w:highlight w:val="yellow"/>
        </w:rPr>
      </w:pPr>
    </w:p>
    <w:p w14:paraId="13826BE8" w14:textId="1678BCCA" w:rsidR="00271A2F" w:rsidRPr="00CA1FDD" w:rsidRDefault="00400850" w:rsidP="001A55F9">
      <w:pPr>
        <w:rPr>
          <w:rFonts w:ascii="Arial Narrow" w:hAnsi="Arial Narrow"/>
          <w:sz w:val="24"/>
          <w:szCs w:val="24"/>
        </w:rPr>
      </w:pPr>
      <w:r w:rsidRPr="00CA1FDD">
        <w:rPr>
          <w:sz w:val="24"/>
          <w:szCs w:val="24"/>
          <w:lang w:val="es"/>
        </w:rPr>
        <w:t xml:space="preserve">El estado de Alabama recibió una subvención HUD CDBG-DR para apoyar su recuperación de los huracanes Sally y Zeta. ADECA </w:t>
      </w:r>
      <w:r w:rsidR="008A5BFD" w:rsidRPr="00CA1FDD">
        <w:rPr>
          <w:sz w:val="24"/>
          <w:szCs w:val="24"/>
          <w:lang w:val="es"/>
        </w:rPr>
        <w:t xml:space="preserve">propone utilizar los fondos CDBG-DR para crear HRAP. HRAP </w:t>
      </w:r>
      <w:r w:rsidR="002057F0" w:rsidRPr="00CA1FDD">
        <w:rPr>
          <w:sz w:val="24"/>
          <w:szCs w:val="24"/>
          <w:lang w:val="es"/>
        </w:rPr>
        <w:t>espera ayudar al menos a</w:t>
      </w:r>
      <w:r w:rsidRPr="00CA1FDD">
        <w:rPr>
          <w:sz w:val="24"/>
          <w:szCs w:val="24"/>
          <w:lang w:val="es"/>
        </w:rPr>
        <w:t xml:space="preserve"> 1,000 </w:t>
      </w:r>
      <w:r w:rsidR="008A5BFD" w:rsidRPr="00CA1FDD">
        <w:rPr>
          <w:sz w:val="24"/>
          <w:szCs w:val="24"/>
          <w:lang w:val="es"/>
        </w:rPr>
        <w:t xml:space="preserve">propietarios e inquilinos de viviendas unifamiliares (entre 1 y 4 unidades), de ingresos bajos a moderados, en nueve (9) condados de la región, para lograr viviendas seguras y que cumplan con el código que cumplan o excedan los estándares del código. Las actividades del programa incluirán reparación/rehabilitación, elevación, reconstrucción </w:t>
      </w:r>
      <w:r w:rsidR="00FA07A7" w:rsidRPr="00CA1FDD">
        <w:rPr>
          <w:sz w:val="24"/>
          <w:szCs w:val="24"/>
          <w:lang w:val="es"/>
        </w:rPr>
        <w:t xml:space="preserve">y </w:t>
      </w:r>
      <w:r w:rsidR="008A5BFD" w:rsidRPr="00CA1FDD">
        <w:rPr>
          <w:sz w:val="24"/>
          <w:szCs w:val="24"/>
          <w:lang w:val="es"/>
        </w:rPr>
        <w:t xml:space="preserve">reubicación. Los mejores datos disponibles sugieren que numerosas casas en el condado de Baldwin sufrieron daños mayores o severos debido a los huracanes Sally y Zeta y pueden buscar fondos a través de HRAP para reparar o reconstruir. Aunque la confirmación de la ubicación de los sitios está actualmente en progreso, los sitios elegibles del proyecto pueden caer dentro de una llanura de inundación o humedal de 100 años. Aproximadamente 229,386 acres en el condado de Baldwin están dentro de la llanura de inundación de 100 años (Zonas A y AE, AH, AO y VE). Las llanuras aluviales en el área se pueden encontrar en el Centro de Servicio de Mapas de Inundaciones de FEMA en </w:t>
      </w:r>
      <w:hyperlink r:id="rId11">
        <w:r w:rsidR="00DE2E2D" w:rsidRPr="00CA1FDD">
          <w:rPr>
            <w:sz w:val="24"/>
            <w:szCs w:val="24"/>
            <w:lang w:val="es"/>
          </w:rPr>
          <w:t>https://msc.fema.gov/portal/home</w:t>
        </w:r>
      </w:hyperlink>
      <w:r w:rsidR="00DE2E2D" w:rsidRPr="00CA1FDD">
        <w:rPr>
          <w:sz w:val="24"/>
          <w:szCs w:val="24"/>
          <w:lang w:val="es"/>
        </w:rPr>
        <w:t xml:space="preserve">. Aproximadamente 518,145 acres en el condado de Baldwin se encuentran dentro de un humedal, principalmente estuarinos y marinos de aguas profundas y humedales boscosos / arbustos de agua dulce. Los humedales en el área se pueden encontrar en el </w:t>
      </w:r>
      <w:proofErr w:type="spellStart"/>
      <w:r w:rsidR="00DE2E2D" w:rsidRPr="00CA1FDD">
        <w:rPr>
          <w:sz w:val="24"/>
          <w:szCs w:val="24"/>
          <w:lang w:val="es"/>
        </w:rPr>
        <w:t>mapeador</w:t>
      </w:r>
      <w:proofErr w:type="spellEnd"/>
      <w:r w:rsidR="00DE2E2D" w:rsidRPr="00CA1FDD">
        <w:rPr>
          <w:sz w:val="24"/>
          <w:szCs w:val="24"/>
          <w:lang w:val="es"/>
        </w:rPr>
        <w:t xml:space="preserve"> del Inventario Nacional de Humedales del Servicio de Pesca y Vida Silvestre de los Estados Unidos en https://fwsprimary.wim.usgs.gov/wetlands/apps/wetlands-mapper/</w:t>
      </w:r>
    </w:p>
    <w:p w14:paraId="52D1CC68" w14:textId="77777777" w:rsidR="00B81927" w:rsidRPr="00CA1FDD" w:rsidRDefault="00B81927" w:rsidP="001A55F9">
      <w:pPr>
        <w:rPr>
          <w:rFonts w:ascii="Arial Narrow" w:hAnsi="Arial Narrow"/>
          <w:sz w:val="24"/>
          <w:szCs w:val="24"/>
        </w:rPr>
      </w:pPr>
    </w:p>
    <w:p w14:paraId="452D1AAE" w14:textId="461FDB09" w:rsidR="001A55F9" w:rsidRPr="00CA1FDD" w:rsidRDefault="001A55F9" w:rsidP="001A55F9">
      <w:pPr>
        <w:rPr>
          <w:rFonts w:ascii="Arial Narrow" w:hAnsi="Arial Narrow"/>
          <w:sz w:val="24"/>
          <w:szCs w:val="24"/>
        </w:rPr>
      </w:pPr>
      <w:r w:rsidRPr="00CA1FDD">
        <w:rPr>
          <w:sz w:val="24"/>
          <w:szCs w:val="24"/>
          <w:lang w:val="es"/>
        </w:rPr>
        <w:t>Hay tres propósitos principales para este aviso.  En primer lugar, las personas que puedan verse afectadas por las actividades en las llanuras aluviales o humedales y las que tengan interés en la protección del medio ambiente natural deberían tener la oportunidad de expresar sus preocupaciones y proporcionar información sobre estas áreas.  Se alienta a los comentaristas a ofrecer sitios alternativos fuera de las llanuras aluviales o humedales, métodos alternativos para servir al mismo propósito del proyecto y métodos para minimizar y mitigar los impactos.  En segundo lugar, un programa adecuado de aviso público puede ser una herramienta educativa pública importante. La difusión de información y la solicitud de comentarios públicos sobre las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las acciones que tienen lugar en las llanuras aluviales o humedales, debe informar a aquellos que pueden estar en mayor o continuo riesgo.</w:t>
      </w:r>
    </w:p>
    <w:p w14:paraId="6E656D6F" w14:textId="77777777" w:rsidR="001A55F9" w:rsidRPr="00CA1FDD" w:rsidRDefault="001A55F9" w:rsidP="001A55F9">
      <w:pPr>
        <w:rPr>
          <w:rFonts w:ascii="Arial Narrow" w:hAnsi="Arial Narrow"/>
          <w:sz w:val="24"/>
          <w:szCs w:val="24"/>
        </w:rPr>
      </w:pPr>
    </w:p>
    <w:p w14:paraId="33AF70C3" w14:textId="08829870" w:rsidR="00306C28" w:rsidRPr="00CA1FDD" w:rsidRDefault="00120BCF" w:rsidP="00E67108">
      <w:pPr>
        <w:rPr>
          <w:rFonts w:ascii="Arial Narrow" w:hAnsi="Arial Narrow"/>
          <w:sz w:val="24"/>
          <w:szCs w:val="24"/>
        </w:rPr>
      </w:pPr>
      <w:r w:rsidRPr="00CA1FDD">
        <w:rPr>
          <w:sz w:val="24"/>
          <w:szCs w:val="24"/>
          <w:lang w:val="es"/>
        </w:rPr>
        <w:t xml:space="preserve">Se invita a todas las personas, grupos y agencias interesadas a presentar comentarios por escrito sobre el uso propuesto de fondos federales para apoyar la actividad propuesta en una llanura de inundación y humedales de 100 años. Actuando como la Entidad Responsable de la actividad propuesta, ADECA aceptará comentarios por escrito durante el horario de 9:00 AM a 5:00 PM entregados a: Alabama </w:t>
      </w:r>
      <w:proofErr w:type="spellStart"/>
      <w:r w:rsidRPr="00CA1FDD">
        <w:rPr>
          <w:sz w:val="24"/>
          <w:szCs w:val="24"/>
          <w:lang w:val="es"/>
        </w:rPr>
        <w:t>Department</w:t>
      </w:r>
      <w:proofErr w:type="spellEnd"/>
      <w:r w:rsidRPr="00CA1FDD">
        <w:rPr>
          <w:sz w:val="24"/>
          <w:szCs w:val="24"/>
          <w:lang w:val="es"/>
        </w:rPr>
        <w:t xml:space="preserve"> </w:t>
      </w:r>
      <w:proofErr w:type="spellStart"/>
      <w:r w:rsidRPr="00CA1FDD">
        <w:rPr>
          <w:sz w:val="24"/>
          <w:szCs w:val="24"/>
          <w:lang w:val="es"/>
        </w:rPr>
        <w:t>of</w:t>
      </w:r>
      <w:proofErr w:type="spellEnd"/>
      <w:r w:rsidRPr="00CA1FDD">
        <w:rPr>
          <w:sz w:val="24"/>
          <w:szCs w:val="24"/>
          <w:lang w:val="es"/>
        </w:rPr>
        <w:t xml:space="preserve"> </w:t>
      </w:r>
      <w:proofErr w:type="spellStart"/>
      <w:r w:rsidRPr="00CA1FDD">
        <w:rPr>
          <w:sz w:val="24"/>
          <w:szCs w:val="24"/>
          <w:lang w:val="es"/>
        </w:rPr>
        <w:t>Economic</w:t>
      </w:r>
      <w:proofErr w:type="spellEnd"/>
      <w:r w:rsidRPr="00CA1FDD">
        <w:rPr>
          <w:sz w:val="24"/>
          <w:szCs w:val="24"/>
          <w:lang w:val="es"/>
        </w:rPr>
        <w:t xml:space="preserve"> and </w:t>
      </w:r>
      <w:proofErr w:type="spellStart"/>
      <w:r w:rsidRPr="00CA1FDD">
        <w:rPr>
          <w:sz w:val="24"/>
          <w:szCs w:val="24"/>
          <w:lang w:val="es"/>
        </w:rPr>
        <w:lastRenderedPageBreak/>
        <w:t>Community</w:t>
      </w:r>
      <w:proofErr w:type="spellEnd"/>
      <w:r w:rsidRPr="00CA1FDD">
        <w:rPr>
          <w:sz w:val="24"/>
          <w:szCs w:val="24"/>
          <w:lang w:val="es"/>
        </w:rPr>
        <w:t xml:space="preserve"> </w:t>
      </w:r>
      <w:proofErr w:type="spellStart"/>
      <w:r w:rsidRPr="00CA1FDD">
        <w:rPr>
          <w:sz w:val="24"/>
          <w:szCs w:val="24"/>
          <w:lang w:val="es"/>
        </w:rPr>
        <w:t>Affairs</w:t>
      </w:r>
      <w:proofErr w:type="spellEnd"/>
      <w:r w:rsidRPr="00CA1FDD">
        <w:rPr>
          <w:sz w:val="24"/>
          <w:szCs w:val="24"/>
          <w:lang w:val="es"/>
        </w:rPr>
        <w:t>, P.O. Box 5690,</w:t>
      </w:r>
      <w:r w:rsidR="009A1E79" w:rsidRPr="00CA1FDD">
        <w:rPr>
          <w:sz w:val="24"/>
          <w:szCs w:val="24"/>
          <w:lang w:val="es"/>
        </w:rPr>
        <w:t xml:space="preserve"> Montgomery, AL 26103-5690</w:t>
      </w:r>
      <w:r w:rsidRPr="00CA1FDD">
        <w:rPr>
          <w:sz w:val="24"/>
          <w:szCs w:val="24"/>
          <w:lang w:val="es"/>
        </w:rPr>
        <w:t xml:space="preserve">, </w:t>
      </w:r>
      <w:proofErr w:type="spellStart"/>
      <w:r w:rsidR="001A55F9" w:rsidRPr="00CA1FDD">
        <w:rPr>
          <w:sz w:val="24"/>
          <w:szCs w:val="24"/>
          <w:lang w:val="es"/>
        </w:rPr>
        <w:t>Attention</w:t>
      </w:r>
      <w:proofErr w:type="spellEnd"/>
      <w:r w:rsidR="001A55F9" w:rsidRPr="00CA1FDD">
        <w:rPr>
          <w:sz w:val="24"/>
          <w:szCs w:val="24"/>
          <w:lang w:val="es"/>
        </w:rPr>
        <w:t xml:space="preserve">: Chris Perkins, CED Engineer/Environmental Officer. </w:t>
      </w:r>
    </w:p>
    <w:p w14:paraId="35B61CC1" w14:textId="77777777" w:rsidR="00D5743F" w:rsidRPr="00CA1FDD" w:rsidRDefault="00D5743F" w:rsidP="00E67108">
      <w:pPr>
        <w:rPr>
          <w:rFonts w:ascii="Arial Narrow" w:hAnsi="Arial Narrow"/>
          <w:sz w:val="24"/>
          <w:szCs w:val="24"/>
        </w:rPr>
      </w:pPr>
    </w:p>
    <w:p w14:paraId="09604866" w14:textId="4172908F" w:rsidR="006F29FC" w:rsidRPr="00CA1FDD" w:rsidRDefault="000B6722" w:rsidP="00E67108">
      <w:pPr>
        <w:rPr>
          <w:rFonts w:ascii="Arial Narrow" w:hAnsi="Arial Narrow"/>
          <w:sz w:val="24"/>
          <w:szCs w:val="24"/>
        </w:rPr>
      </w:pPr>
      <w:r w:rsidRPr="00CA1FDD">
        <w:rPr>
          <w:sz w:val="24"/>
          <w:szCs w:val="24"/>
          <w:lang w:val="es"/>
        </w:rPr>
        <w:t>Alternativamente, los comentarios pueden enviarse por correo electrónico a: Christopher.Perkins@adeca.alabama.gov con "Atención: Comentarios de recuperación de desastres" en la línea de asunto. El período mínimo de comentarios de 15 días calendario comenzará el día después de la publicación y finalizará el día 16 después de la publicación. Todos los comentarios deben recibirse antes del 23 de enero de 2023 para recibir consideración. Se puede encontrar más información en el sitio web del programa:</w:t>
      </w:r>
      <w:hyperlink r:id="rId12" w:history="1">
        <w:r w:rsidR="00D5743F" w:rsidRPr="00CA1FDD">
          <w:rPr>
            <w:rStyle w:val="Hyperlink"/>
            <w:sz w:val="24"/>
            <w:szCs w:val="24"/>
            <w:lang w:val="es"/>
          </w:rPr>
          <w:t xml:space="preserve"> https://adeca.alabama.gov/cdbg-disaster-recovery/hurricanes-sally-and-zeta/</w:t>
        </w:r>
      </w:hyperlink>
    </w:p>
    <w:p w14:paraId="2B97F99B" w14:textId="77777777" w:rsidR="00D5743F" w:rsidRPr="00CA1FDD" w:rsidRDefault="00D5743F" w:rsidP="00E67108">
      <w:pPr>
        <w:rPr>
          <w:rFonts w:ascii="Arial Narrow" w:hAnsi="Arial Narrow"/>
          <w:sz w:val="24"/>
          <w:szCs w:val="24"/>
        </w:rPr>
      </w:pPr>
    </w:p>
    <w:p w14:paraId="25378920" w14:textId="3318CA32" w:rsidR="00D5743F" w:rsidRPr="00CA1FDD" w:rsidRDefault="00D5743F" w:rsidP="00D5743F">
      <w:pPr>
        <w:rPr>
          <w:rFonts w:ascii="Arial Narrow" w:hAnsi="Arial Narrow"/>
          <w:sz w:val="24"/>
          <w:szCs w:val="24"/>
        </w:rPr>
      </w:pPr>
      <w:r w:rsidRPr="00CA1FDD">
        <w:rPr>
          <w:sz w:val="24"/>
          <w:szCs w:val="24"/>
          <w:lang w:val="es"/>
        </w:rPr>
        <w:t>Para una versión española de este aviso de audiencia, visite www.adeca.alabama.gov. Para traducciones al español de los documentos mencionados en este aviso, escriba al Departamento de Alabama de Asuntos económicos y de la Comunidad, PO Box 5690, Montgomery, Alabama 36103-5690, o por correo electrónico      kathleen.rasmussen@adeca.alabama.gov, o trent.williams@adeca.alabama.gov.</w:t>
      </w:r>
    </w:p>
    <w:p w14:paraId="5067624F" w14:textId="77777777" w:rsidR="00D5743F" w:rsidRPr="00CA1FDD" w:rsidRDefault="00D5743F" w:rsidP="00E67108">
      <w:pPr>
        <w:rPr>
          <w:rFonts w:ascii="Arial Narrow" w:hAnsi="Arial Narrow"/>
          <w:sz w:val="24"/>
          <w:szCs w:val="24"/>
        </w:rPr>
      </w:pPr>
    </w:p>
    <w:p w14:paraId="4754517B" w14:textId="77777777" w:rsidR="006F29FC" w:rsidRPr="00CA1FDD" w:rsidRDefault="006F29FC" w:rsidP="001A55F9">
      <w:pPr>
        <w:rPr>
          <w:rFonts w:ascii="Arial Narrow" w:hAnsi="Arial Narrow"/>
          <w:sz w:val="24"/>
          <w:szCs w:val="24"/>
        </w:rPr>
      </w:pPr>
    </w:p>
    <w:p w14:paraId="4068D60C" w14:textId="35550671" w:rsidR="000B1226" w:rsidRPr="00CA1FDD" w:rsidRDefault="00F04E1C" w:rsidP="00DF5010">
      <w:pPr>
        <w:rPr>
          <w:rFonts w:ascii="Calibri" w:hAnsi="Calibri"/>
          <w:b/>
          <w:sz w:val="24"/>
          <w:szCs w:val="24"/>
        </w:rPr>
      </w:pPr>
      <w:sdt>
        <w:sdtPr>
          <w:rPr>
            <w:rFonts w:ascii="Arial Narrow" w:hAnsi="Arial Narrow"/>
            <w:b/>
            <w:sz w:val="24"/>
            <w:szCs w:val="24"/>
          </w:rPr>
          <w:alias w:val="Date Notice is Published"/>
          <w:tag w:val="Date Notice is Published"/>
          <w:id w:val="-1487014387"/>
          <w:placeholder>
            <w:docPart w:val="DefaultPlaceholder_-1854013437"/>
          </w:placeholder>
          <w:date>
            <w:dateFormat w:val="M/d/yyyy"/>
            <w:lid w:val="en-US"/>
            <w:storeMappedDataAs w:val="dateTime"/>
            <w:calendar w:val="gregorian"/>
          </w:date>
        </w:sdtPr>
        <w:sdtEndPr/>
        <w:sdtContent>
          <w:r w:rsidR="000B1226" w:rsidRPr="00CA1FDD">
            <w:rPr>
              <w:b/>
              <w:sz w:val="24"/>
              <w:szCs w:val="24"/>
              <w:lang w:val="es"/>
            </w:rPr>
            <w:t xml:space="preserve">Fecha: </w:t>
          </w:r>
        </w:sdtContent>
      </w:sdt>
      <w:r w:rsidR="002057F0" w:rsidRPr="00CA1FDD">
        <w:rPr>
          <w:b/>
          <w:sz w:val="24"/>
          <w:szCs w:val="24"/>
          <w:lang w:val="es"/>
        </w:rPr>
        <w:t>enero 6, 2023</w:t>
      </w:r>
    </w:p>
    <w:sectPr w:rsidR="000B1226" w:rsidRPr="00CA1FDD" w:rsidSect="002B75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A0F8" w14:textId="77777777" w:rsidR="00F47408" w:rsidRDefault="00F47408">
      <w:r>
        <w:rPr>
          <w:lang w:val="es"/>
        </w:rPr>
        <w:separator/>
      </w:r>
    </w:p>
  </w:endnote>
  <w:endnote w:type="continuationSeparator" w:id="0">
    <w:p w14:paraId="6CA05520" w14:textId="77777777" w:rsidR="00F47408" w:rsidRDefault="00F47408">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35E1" w14:textId="77777777" w:rsidR="00F47408" w:rsidRDefault="00F47408">
      <w:r>
        <w:rPr>
          <w:lang w:val="es"/>
        </w:rPr>
        <w:separator/>
      </w:r>
    </w:p>
  </w:footnote>
  <w:footnote w:type="continuationSeparator" w:id="0">
    <w:p w14:paraId="018FD872" w14:textId="77777777" w:rsidR="00F47408" w:rsidRDefault="00F47408">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4356"/>
    <w:rsid w:val="000B6722"/>
    <w:rsid w:val="000E1399"/>
    <w:rsid w:val="000E7875"/>
    <w:rsid w:val="000F0BB8"/>
    <w:rsid w:val="000F3649"/>
    <w:rsid w:val="000F548B"/>
    <w:rsid w:val="000F6FA4"/>
    <w:rsid w:val="00106893"/>
    <w:rsid w:val="00120BCF"/>
    <w:rsid w:val="0012126E"/>
    <w:rsid w:val="00143B6F"/>
    <w:rsid w:val="00143C45"/>
    <w:rsid w:val="001918ED"/>
    <w:rsid w:val="001A55F9"/>
    <w:rsid w:val="001C34C8"/>
    <w:rsid w:val="001D1CE1"/>
    <w:rsid w:val="001F655B"/>
    <w:rsid w:val="002057F0"/>
    <w:rsid w:val="00223E56"/>
    <w:rsid w:val="00226888"/>
    <w:rsid w:val="00247642"/>
    <w:rsid w:val="00260DA5"/>
    <w:rsid w:val="00261A44"/>
    <w:rsid w:val="00265BCA"/>
    <w:rsid w:val="00271A2F"/>
    <w:rsid w:val="002810D5"/>
    <w:rsid w:val="00281C0F"/>
    <w:rsid w:val="002A4E14"/>
    <w:rsid w:val="002B7558"/>
    <w:rsid w:val="002D18E9"/>
    <w:rsid w:val="00306C28"/>
    <w:rsid w:val="0031487D"/>
    <w:rsid w:val="00316FB9"/>
    <w:rsid w:val="003468D1"/>
    <w:rsid w:val="0035774B"/>
    <w:rsid w:val="003805BC"/>
    <w:rsid w:val="00397559"/>
    <w:rsid w:val="003A1C7A"/>
    <w:rsid w:val="003A3A77"/>
    <w:rsid w:val="003A66BB"/>
    <w:rsid w:val="003B31FA"/>
    <w:rsid w:val="003C4DCF"/>
    <w:rsid w:val="003D7362"/>
    <w:rsid w:val="003E5E92"/>
    <w:rsid w:val="003F185F"/>
    <w:rsid w:val="00400850"/>
    <w:rsid w:val="00402BF0"/>
    <w:rsid w:val="00404666"/>
    <w:rsid w:val="004073FD"/>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D087C"/>
    <w:rsid w:val="004F60A6"/>
    <w:rsid w:val="00511F9D"/>
    <w:rsid w:val="00517448"/>
    <w:rsid w:val="00533368"/>
    <w:rsid w:val="005345DB"/>
    <w:rsid w:val="00542107"/>
    <w:rsid w:val="00551102"/>
    <w:rsid w:val="00552E43"/>
    <w:rsid w:val="005578C7"/>
    <w:rsid w:val="005B0E6F"/>
    <w:rsid w:val="005E42A2"/>
    <w:rsid w:val="005E54C5"/>
    <w:rsid w:val="005E5852"/>
    <w:rsid w:val="006005FC"/>
    <w:rsid w:val="00610C88"/>
    <w:rsid w:val="006158FE"/>
    <w:rsid w:val="0062055D"/>
    <w:rsid w:val="00623227"/>
    <w:rsid w:val="006322A9"/>
    <w:rsid w:val="00636C33"/>
    <w:rsid w:val="00636D2F"/>
    <w:rsid w:val="00641CEA"/>
    <w:rsid w:val="00645E58"/>
    <w:rsid w:val="006623F2"/>
    <w:rsid w:val="006659C7"/>
    <w:rsid w:val="00665AE7"/>
    <w:rsid w:val="00667E34"/>
    <w:rsid w:val="006904E4"/>
    <w:rsid w:val="006A59DF"/>
    <w:rsid w:val="006C106C"/>
    <w:rsid w:val="006C5440"/>
    <w:rsid w:val="006D2DE8"/>
    <w:rsid w:val="006E0565"/>
    <w:rsid w:val="006E23CA"/>
    <w:rsid w:val="006F29FC"/>
    <w:rsid w:val="006F2F12"/>
    <w:rsid w:val="007015B7"/>
    <w:rsid w:val="00711ED0"/>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66912"/>
    <w:rsid w:val="00A84090"/>
    <w:rsid w:val="00AA76E6"/>
    <w:rsid w:val="00AB32C9"/>
    <w:rsid w:val="00AB58A5"/>
    <w:rsid w:val="00AE1635"/>
    <w:rsid w:val="00AE45F5"/>
    <w:rsid w:val="00AE6CC9"/>
    <w:rsid w:val="00AF14CA"/>
    <w:rsid w:val="00AF3687"/>
    <w:rsid w:val="00B109D1"/>
    <w:rsid w:val="00B13650"/>
    <w:rsid w:val="00B370E7"/>
    <w:rsid w:val="00B41792"/>
    <w:rsid w:val="00B47D05"/>
    <w:rsid w:val="00B77ACC"/>
    <w:rsid w:val="00B81927"/>
    <w:rsid w:val="00B90A3E"/>
    <w:rsid w:val="00B94A8F"/>
    <w:rsid w:val="00BB7326"/>
    <w:rsid w:val="00BB7662"/>
    <w:rsid w:val="00BC2C2F"/>
    <w:rsid w:val="00BD6F50"/>
    <w:rsid w:val="00BE4E68"/>
    <w:rsid w:val="00C30EA3"/>
    <w:rsid w:val="00C411CE"/>
    <w:rsid w:val="00C51D13"/>
    <w:rsid w:val="00C6054B"/>
    <w:rsid w:val="00C62058"/>
    <w:rsid w:val="00C64E83"/>
    <w:rsid w:val="00C658D8"/>
    <w:rsid w:val="00C6631E"/>
    <w:rsid w:val="00C666B8"/>
    <w:rsid w:val="00CA1FDD"/>
    <w:rsid w:val="00CA50A1"/>
    <w:rsid w:val="00CA6864"/>
    <w:rsid w:val="00CA7827"/>
    <w:rsid w:val="00CB1F86"/>
    <w:rsid w:val="00CC3E06"/>
    <w:rsid w:val="00CD52FE"/>
    <w:rsid w:val="00CE246C"/>
    <w:rsid w:val="00D102E5"/>
    <w:rsid w:val="00D123F9"/>
    <w:rsid w:val="00D1479F"/>
    <w:rsid w:val="00D3429D"/>
    <w:rsid w:val="00D345EC"/>
    <w:rsid w:val="00D51BBF"/>
    <w:rsid w:val="00D55473"/>
    <w:rsid w:val="00D55C25"/>
    <w:rsid w:val="00D56E40"/>
    <w:rsid w:val="00D5743F"/>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468C"/>
    <w:rsid w:val="00E414FD"/>
    <w:rsid w:val="00E520AA"/>
    <w:rsid w:val="00E544A4"/>
    <w:rsid w:val="00E65D78"/>
    <w:rsid w:val="00E67108"/>
    <w:rsid w:val="00E76C41"/>
    <w:rsid w:val="00E872CB"/>
    <w:rsid w:val="00EA37B1"/>
    <w:rsid w:val="00ED4C15"/>
    <w:rsid w:val="00EE4629"/>
    <w:rsid w:val="00EE4E9F"/>
    <w:rsid w:val="00EE5627"/>
    <w:rsid w:val="00F0335A"/>
    <w:rsid w:val="00F04E1C"/>
    <w:rsid w:val="00F05E01"/>
    <w:rsid w:val="00F40C84"/>
    <w:rsid w:val="00F47408"/>
    <w:rsid w:val="00F61A9C"/>
    <w:rsid w:val="00F73C88"/>
    <w:rsid w:val="00F748D2"/>
    <w:rsid w:val="00F8062A"/>
    <w:rsid w:val="00F83846"/>
    <w:rsid w:val="00F9550A"/>
    <w:rsid w:val="00FA07A7"/>
    <w:rsid w:val="00FB15EF"/>
    <w:rsid w:val="00FB16BB"/>
    <w:rsid w:val="00FC02AE"/>
    <w:rsid w:val="00FC3A6A"/>
    <w:rsid w:val="00FD33E7"/>
    <w:rsid w:val="00FE4F71"/>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6578">
      <w:bodyDiv w:val="1"/>
      <w:marLeft w:val="0"/>
      <w:marRight w:val="0"/>
      <w:marTop w:val="0"/>
      <w:marBottom w:val="0"/>
      <w:divBdr>
        <w:top w:val="none" w:sz="0" w:space="0" w:color="auto"/>
        <w:left w:val="none" w:sz="0" w:space="0" w:color="auto"/>
        <w:bottom w:val="none" w:sz="0" w:space="0" w:color="auto"/>
        <w:right w:val="none" w:sz="0" w:space="0" w:color="auto"/>
      </w:divBdr>
    </w:div>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eca.alabama.gov/cdbg-disaster-recovery/hurricanes-sally-and-ze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79E9786-589A-417D-932F-2121E65619D8}"/>
      </w:docPartPr>
      <w:docPartBody>
        <w:p w:rsidR="004925AE" w:rsidRDefault="004F60A6">
          <w:r w:rsidRPr="00C350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2D9BF45-130D-4FE3-986D-A9F0D2462577}"/>
      </w:docPartPr>
      <w:docPartBody>
        <w:p w:rsidR="000B4356" w:rsidRDefault="000B4356">
          <w:r w:rsidRPr="00063C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A6"/>
    <w:rsid w:val="000718AA"/>
    <w:rsid w:val="000B4356"/>
    <w:rsid w:val="0024426B"/>
    <w:rsid w:val="0028484C"/>
    <w:rsid w:val="00484139"/>
    <w:rsid w:val="004925AE"/>
    <w:rsid w:val="004B460A"/>
    <w:rsid w:val="004C1664"/>
    <w:rsid w:val="004F60A6"/>
    <w:rsid w:val="005E705C"/>
    <w:rsid w:val="006B0C55"/>
    <w:rsid w:val="007719E8"/>
    <w:rsid w:val="00836DEB"/>
    <w:rsid w:val="00A44085"/>
    <w:rsid w:val="00B04194"/>
    <w:rsid w:val="00B36DA0"/>
    <w:rsid w:val="00BD2251"/>
    <w:rsid w:val="00C3190A"/>
    <w:rsid w:val="00C811F2"/>
    <w:rsid w:val="00D81E73"/>
    <w:rsid w:val="00ED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2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B3CAC-E462-4FDA-92DB-FAD3542B2891}"/>
</file>

<file path=customXml/itemProps3.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4.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5.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850</Words>
  <Characters>4846</Characters>
  <Application>Microsoft Office Word</Application>
  <DocSecurity>0</DocSecurity>
  <Lines>40</Lines>
  <Paragraphs>11</Paragraphs>
  <ScaleCrop>false</ScaleCrop>
  <Manager>Project No. xx-xx-xx-xxxx</Manager>
  <Company>phone number</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La dirección o dirección del estado es la misma que la anterior (no es un apartado postal) y en el sitio web del programa: _____</dc:subject>
  <dc:creator>Perkins, Christopher</dc:creator>
  <cp:keywords>Name of County</cp:keywords>
  <dc:description>llanuras aluviales o humedales</dc:description>
  <cp:lastModifiedBy>Williams, Trent</cp:lastModifiedBy>
  <cp:revision>3</cp:revision>
  <dcterms:created xsi:type="dcterms:W3CDTF">2022-12-12T15:57:00Z</dcterms:created>
  <dcterms:modified xsi:type="dcterms:W3CDTF">2023-01-04T14:45:00Z</dcterms:modified>
  <cp:category>Llanura aluvial o humedal de 100 años</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