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0650" w14:textId="77777777" w:rsidR="0041684E" w:rsidRPr="006E785C" w:rsidRDefault="0041684E" w:rsidP="0041684E">
      <w:pPr>
        <w:keepLines/>
        <w:jc w:val="center"/>
        <w:rPr>
          <w:b/>
          <w:u w:val="single"/>
        </w:rPr>
      </w:pPr>
      <w:r w:rsidRPr="006E785C">
        <w:rPr>
          <w:b/>
          <w:u w:val="single"/>
        </w:rPr>
        <w:t>STATE OF ALABAMA</w:t>
      </w:r>
    </w:p>
    <w:p w14:paraId="4E38F40B" w14:textId="0C132FCB" w:rsidR="0041684E" w:rsidRDefault="0041684E" w:rsidP="0041684E">
      <w:pPr>
        <w:keepLines/>
        <w:jc w:val="center"/>
        <w:rPr>
          <w:b/>
          <w:u w:val="single"/>
        </w:rPr>
      </w:pPr>
      <w:r w:rsidRPr="006E785C">
        <w:rPr>
          <w:b/>
          <w:u w:val="single"/>
        </w:rPr>
        <w:t>PY202</w:t>
      </w:r>
      <w:r w:rsidR="003259E9">
        <w:rPr>
          <w:b/>
          <w:u w:val="single"/>
        </w:rPr>
        <w:t>1</w:t>
      </w:r>
      <w:r w:rsidRPr="006E785C">
        <w:rPr>
          <w:b/>
          <w:u w:val="single"/>
        </w:rPr>
        <w:t xml:space="preserve"> CDBG </w:t>
      </w:r>
      <w:r>
        <w:rPr>
          <w:b/>
          <w:u w:val="single"/>
        </w:rPr>
        <w:t xml:space="preserve">ONE-YEAR ANNUAL </w:t>
      </w:r>
      <w:r w:rsidRPr="006E785C">
        <w:rPr>
          <w:b/>
          <w:u w:val="single"/>
        </w:rPr>
        <w:t>ACTION PLAN</w:t>
      </w:r>
    </w:p>
    <w:p w14:paraId="18ADDFD9" w14:textId="77777777" w:rsidR="0041684E" w:rsidRPr="006E785C" w:rsidRDefault="0041684E" w:rsidP="0041684E">
      <w:pPr>
        <w:jc w:val="both"/>
      </w:pPr>
    </w:p>
    <w:p w14:paraId="61714E7D" w14:textId="77777777" w:rsidR="0041684E" w:rsidRPr="00CA118B" w:rsidRDefault="0041684E" w:rsidP="0041684E">
      <w:pPr>
        <w:jc w:val="both"/>
      </w:pPr>
      <w:r w:rsidRPr="00CA118B">
        <w:t>The following policies will govern Alabama's CDBG program:</w:t>
      </w:r>
    </w:p>
    <w:p w14:paraId="52DCF643" w14:textId="77777777" w:rsidR="0041684E" w:rsidRDefault="0041684E" w:rsidP="0041684E">
      <w:pPr>
        <w:jc w:val="both"/>
      </w:pPr>
      <w:r>
        <w:t>1.</w:t>
      </w:r>
      <w:r>
        <w:tab/>
      </w:r>
      <w:r w:rsidRPr="00CA118B">
        <w:t>Let applicants compete fairly for funds to address essential community facility needs.</w:t>
      </w:r>
    </w:p>
    <w:p w14:paraId="01E054EA" w14:textId="77777777" w:rsidR="0041684E" w:rsidRDefault="0041684E" w:rsidP="0041684E">
      <w:pPr>
        <w:jc w:val="both"/>
      </w:pPr>
      <w:r>
        <w:t>2.</w:t>
      </w:r>
      <w:r>
        <w:tab/>
      </w:r>
      <w:r w:rsidRPr="00CA118B">
        <w:t>Let communities compete equally for their varying community development needs.</w:t>
      </w:r>
    </w:p>
    <w:p w14:paraId="1626500E" w14:textId="77777777" w:rsidR="0041684E" w:rsidRDefault="0041684E" w:rsidP="0041684E">
      <w:pPr>
        <w:jc w:val="both"/>
      </w:pPr>
      <w:r>
        <w:t>3.</w:t>
      </w:r>
      <w:r>
        <w:tab/>
        <w:t>E</w:t>
      </w:r>
      <w:r w:rsidRPr="00CA118B">
        <w:t>nsure that communities in the State can compete for funds on an equitable basis.</w:t>
      </w:r>
    </w:p>
    <w:p w14:paraId="56D9E1A8" w14:textId="77777777" w:rsidR="0041684E" w:rsidRDefault="0041684E" w:rsidP="0041684E">
      <w:pPr>
        <w:jc w:val="both"/>
      </w:pPr>
      <w:r>
        <w:t>4.</w:t>
      </w:r>
      <w:r>
        <w:tab/>
      </w:r>
      <w:r w:rsidRPr="00CA118B">
        <w:t>Allow for equitable competition by allowing, where feasible, small cities, large cities, and</w:t>
      </w:r>
    </w:p>
    <w:p w14:paraId="7FB2E031" w14:textId="77777777" w:rsidR="0041684E" w:rsidRDefault="0041684E" w:rsidP="0041684E">
      <w:pPr>
        <w:jc w:val="both"/>
      </w:pPr>
      <w:r>
        <w:tab/>
      </w:r>
      <w:r w:rsidRPr="00CA118B">
        <w:t>counties to compete in their respective categories.</w:t>
      </w:r>
    </w:p>
    <w:p w14:paraId="0C4FA2CD" w14:textId="77777777" w:rsidR="0041684E" w:rsidRDefault="0041684E" w:rsidP="0041684E">
      <w:pPr>
        <w:jc w:val="both"/>
      </w:pPr>
      <w:r>
        <w:t>5.</w:t>
      </w:r>
      <w:r>
        <w:tab/>
      </w:r>
      <w:r w:rsidRPr="00CA118B">
        <w:t>Facilitate funding of important economic development projects in a timely manner.</w:t>
      </w:r>
    </w:p>
    <w:p w14:paraId="662554A2" w14:textId="77777777" w:rsidR="0041684E" w:rsidRDefault="0041684E" w:rsidP="0041684E">
      <w:pPr>
        <w:jc w:val="both"/>
      </w:pPr>
      <w:r>
        <w:t>6.</w:t>
      </w:r>
      <w:r>
        <w:tab/>
      </w:r>
      <w:r w:rsidRPr="00CA118B">
        <w:t>Encourage communities to plan for community conservation and development.</w:t>
      </w:r>
    </w:p>
    <w:p w14:paraId="412CB39A" w14:textId="77777777" w:rsidR="0041684E" w:rsidRDefault="0041684E" w:rsidP="0041684E">
      <w:pPr>
        <w:jc w:val="both"/>
      </w:pPr>
      <w:r>
        <w:t>7.</w:t>
      </w:r>
      <w:r>
        <w:tab/>
      </w:r>
      <w:proofErr w:type="gramStart"/>
      <w:r w:rsidRPr="00CA118B">
        <w:t>Give additional consideration to</w:t>
      </w:r>
      <w:proofErr w:type="gramEnd"/>
      <w:r w:rsidRPr="00CA118B">
        <w:t xml:space="preserve"> those communities who commit to do the most to help</w:t>
      </w:r>
    </w:p>
    <w:p w14:paraId="6AF2F23C" w14:textId="107B30B0" w:rsidR="0041684E" w:rsidRDefault="0041684E" w:rsidP="00914AFA">
      <w:pPr>
        <w:tabs>
          <w:tab w:val="left" w:pos="6735"/>
        </w:tabs>
        <w:ind w:firstLine="720"/>
        <w:jc w:val="both"/>
      </w:pPr>
      <w:r w:rsidRPr="00CA118B">
        <w:t xml:space="preserve">themselves, </w:t>
      </w:r>
      <w:proofErr w:type="gramStart"/>
      <w:r w:rsidRPr="00CA118B">
        <w:t>taking into account</w:t>
      </w:r>
      <w:proofErr w:type="gramEnd"/>
      <w:r w:rsidRPr="00CA118B">
        <w:t xml:space="preserve"> their level of resources.</w:t>
      </w:r>
      <w:r w:rsidR="00914AFA">
        <w:tab/>
      </w:r>
    </w:p>
    <w:p w14:paraId="0543D918" w14:textId="77777777" w:rsidR="0041684E" w:rsidRDefault="0041684E" w:rsidP="0041684E">
      <w:pPr>
        <w:jc w:val="both"/>
      </w:pPr>
      <w:r>
        <w:t>8.</w:t>
      </w:r>
      <w:r>
        <w:tab/>
      </w:r>
      <w:proofErr w:type="gramStart"/>
      <w:r w:rsidRPr="00CA118B">
        <w:t>Give consideration to</w:t>
      </w:r>
      <w:proofErr w:type="gramEnd"/>
      <w:r w:rsidRPr="00CA118B">
        <w:t xml:space="preserve"> the community's ability to maintain CDBG improvements.</w:t>
      </w:r>
    </w:p>
    <w:p w14:paraId="16EC1369" w14:textId="77777777" w:rsidR="0041684E" w:rsidRDefault="0041684E" w:rsidP="0041684E">
      <w:pPr>
        <w:jc w:val="both"/>
      </w:pPr>
      <w:r>
        <w:t>9.</w:t>
      </w:r>
      <w:r>
        <w:tab/>
      </w:r>
      <w:r w:rsidRPr="00CA118B">
        <w:t>Make funding decisions, to the extent feasible, that aid local and regional plans.</w:t>
      </w:r>
    </w:p>
    <w:p w14:paraId="79B164A1" w14:textId="77777777" w:rsidR="0041684E" w:rsidRDefault="0041684E" w:rsidP="0041684E">
      <w:pPr>
        <w:jc w:val="both"/>
      </w:pPr>
      <w:r>
        <w:t>10.</w:t>
      </w:r>
      <w:r>
        <w:tab/>
        <w:t>E</w:t>
      </w:r>
      <w:r w:rsidRPr="00CA118B">
        <w:t xml:space="preserve">nsure that all grants are </w:t>
      </w:r>
      <w:r w:rsidRPr="003902BF">
        <w:t>managed in a timely and effective manner.</w:t>
      </w:r>
    </w:p>
    <w:p w14:paraId="256E6B40" w14:textId="77777777" w:rsidR="0041684E" w:rsidRDefault="0041684E" w:rsidP="0041684E">
      <w:pPr>
        <w:jc w:val="both"/>
      </w:pPr>
    </w:p>
    <w:p w14:paraId="18154C58" w14:textId="4ABD435B" w:rsidR="0041684E" w:rsidRPr="00011B93" w:rsidRDefault="0041684E" w:rsidP="0041684E">
      <w:pPr>
        <w:pStyle w:val="Heading2"/>
        <w:rPr>
          <w:rFonts w:ascii="Times New Roman" w:hAnsi="Times New Roman"/>
          <w:b/>
          <w:bCs/>
          <w:sz w:val="24"/>
          <w:szCs w:val="24"/>
        </w:rPr>
      </w:pPr>
      <w:r w:rsidRPr="00011B93">
        <w:rPr>
          <w:rFonts w:ascii="Times New Roman" w:hAnsi="Times New Roman"/>
          <w:b/>
          <w:bCs/>
          <w:sz w:val="24"/>
          <w:szCs w:val="24"/>
          <w:u w:val="single"/>
        </w:rPr>
        <w:t>PY202</w:t>
      </w:r>
      <w:r w:rsidR="003259E9">
        <w:rPr>
          <w:rFonts w:ascii="Times New Roman" w:hAnsi="Times New Roman"/>
          <w:b/>
          <w:bCs/>
          <w:sz w:val="24"/>
          <w:szCs w:val="24"/>
          <w:u w:val="single"/>
        </w:rPr>
        <w:t>1</w:t>
      </w:r>
      <w:r w:rsidRPr="00011B93">
        <w:rPr>
          <w:rFonts w:ascii="Times New Roman" w:hAnsi="Times New Roman"/>
          <w:b/>
          <w:bCs/>
          <w:sz w:val="24"/>
          <w:szCs w:val="24"/>
          <w:u w:val="single"/>
        </w:rPr>
        <w:t xml:space="preserve"> </w:t>
      </w:r>
      <w:r w:rsidR="003259E9">
        <w:rPr>
          <w:rFonts w:ascii="Times New Roman" w:hAnsi="Times New Roman"/>
          <w:b/>
          <w:bCs/>
          <w:sz w:val="24"/>
          <w:szCs w:val="24"/>
          <w:u w:val="single"/>
        </w:rPr>
        <w:t xml:space="preserve">Proposed </w:t>
      </w:r>
      <w:r w:rsidRPr="00011B93">
        <w:rPr>
          <w:rFonts w:ascii="Times New Roman" w:hAnsi="Times New Roman"/>
          <w:b/>
          <w:bCs/>
          <w:sz w:val="24"/>
          <w:szCs w:val="24"/>
          <w:u w:val="single"/>
        </w:rPr>
        <w:t>CDBG Fund Allocation</w:t>
      </w:r>
      <w:r w:rsidR="003259E9">
        <w:rPr>
          <w:rFonts w:ascii="Times New Roman" w:hAnsi="Times New Roman"/>
          <w:b/>
          <w:bCs/>
          <w:sz w:val="24"/>
          <w:szCs w:val="24"/>
          <w:u w:val="single"/>
        </w:rPr>
        <w:t>*</w:t>
      </w:r>
    </w:p>
    <w:p w14:paraId="041E9A7F" w14:textId="77777777" w:rsidR="0041684E" w:rsidRPr="00315182" w:rsidRDefault="0041684E" w:rsidP="0041684E">
      <w:r>
        <w:tab/>
      </w:r>
      <w:r>
        <w:tab/>
      </w:r>
      <w:r w:rsidRPr="00315182">
        <w:rPr>
          <w:u w:val="single"/>
        </w:rPr>
        <w:t>Total Allocation to Alabama:</w:t>
      </w:r>
      <w:r w:rsidRPr="00315182">
        <w:rPr>
          <w:u w:val="single"/>
        </w:rPr>
        <w:tab/>
      </w:r>
      <w:r w:rsidRPr="00315182">
        <w:rPr>
          <w:u w:val="single"/>
        </w:rPr>
        <w:tab/>
      </w:r>
      <w:r w:rsidRPr="00315182">
        <w:rPr>
          <w:u w:val="single"/>
        </w:rPr>
        <w:tab/>
      </w:r>
      <w:r w:rsidRPr="00315182">
        <w:rPr>
          <w:u w:val="single"/>
        </w:rPr>
        <w:tab/>
        <w:t>$23,862,879</w:t>
      </w:r>
    </w:p>
    <w:p w14:paraId="2519BB67" w14:textId="77777777" w:rsidR="0041684E" w:rsidRPr="00315182" w:rsidRDefault="0041684E" w:rsidP="0041684E">
      <w:r w:rsidRPr="00315182">
        <w:tab/>
      </w:r>
      <w:r w:rsidRPr="00315182">
        <w:tab/>
        <w:t>County Fund</w:t>
      </w:r>
      <w:r w:rsidRPr="00315182">
        <w:tab/>
      </w:r>
      <w:r w:rsidRPr="00315182">
        <w:tab/>
      </w:r>
      <w:r w:rsidRPr="00315182">
        <w:tab/>
      </w:r>
      <w:r w:rsidRPr="00315182">
        <w:tab/>
      </w:r>
      <w:r w:rsidRPr="00315182">
        <w:tab/>
      </w:r>
      <w:r w:rsidRPr="00315182">
        <w:tab/>
        <w:t>$2,954,349</w:t>
      </w:r>
    </w:p>
    <w:p w14:paraId="673719E9" w14:textId="77777777" w:rsidR="0041684E" w:rsidRPr="00315182" w:rsidRDefault="0041684E" w:rsidP="0041684E">
      <w:r w:rsidRPr="00315182">
        <w:tab/>
      </w:r>
      <w:r w:rsidRPr="00315182">
        <w:tab/>
        <w:t>Large City Fund</w:t>
      </w:r>
      <w:r w:rsidRPr="00315182">
        <w:tab/>
      </w:r>
      <w:r w:rsidRPr="00315182">
        <w:tab/>
      </w:r>
      <w:r w:rsidRPr="00315182">
        <w:tab/>
      </w:r>
      <w:r w:rsidRPr="00315182">
        <w:tab/>
      </w:r>
      <w:r w:rsidRPr="00315182">
        <w:tab/>
        <w:t>$5,372,516</w:t>
      </w:r>
    </w:p>
    <w:p w14:paraId="47E9E206" w14:textId="77777777" w:rsidR="0041684E" w:rsidRPr="00315182" w:rsidRDefault="0041684E" w:rsidP="0041684E">
      <w:r w:rsidRPr="00315182">
        <w:tab/>
      </w:r>
      <w:r w:rsidRPr="00315182">
        <w:tab/>
        <w:t>Small City Fund</w:t>
      </w:r>
      <w:r w:rsidRPr="00315182">
        <w:tab/>
      </w:r>
      <w:r w:rsidRPr="00315182">
        <w:tab/>
      </w:r>
      <w:r w:rsidRPr="00315182">
        <w:tab/>
      </w:r>
      <w:r w:rsidRPr="00315182">
        <w:tab/>
      </w:r>
      <w:r w:rsidRPr="00315182">
        <w:tab/>
        <w:t>$6,2</w:t>
      </w:r>
      <w:r>
        <w:t>17,129</w:t>
      </w:r>
    </w:p>
    <w:p w14:paraId="7290ECF9" w14:textId="77777777" w:rsidR="0041684E" w:rsidRPr="00315182" w:rsidRDefault="0041684E" w:rsidP="0041684E">
      <w:r w:rsidRPr="00315182">
        <w:tab/>
      </w:r>
      <w:r w:rsidRPr="00315182">
        <w:tab/>
        <w:t>Economic Development Fund</w:t>
      </w:r>
      <w:r w:rsidRPr="00315182">
        <w:tab/>
      </w:r>
      <w:r w:rsidRPr="00315182">
        <w:tab/>
      </w:r>
      <w:r w:rsidRPr="00315182">
        <w:tab/>
      </w:r>
      <w:r w:rsidRPr="00315182">
        <w:tab/>
        <w:t>$5,149,840</w:t>
      </w:r>
    </w:p>
    <w:p w14:paraId="3CE002C5" w14:textId="77777777" w:rsidR="0041684E" w:rsidRPr="00315182" w:rsidRDefault="0041684E" w:rsidP="0041684E">
      <w:r w:rsidRPr="00315182">
        <w:tab/>
      </w:r>
      <w:r w:rsidRPr="00315182">
        <w:tab/>
        <w:t>Planning Fund</w:t>
      </w:r>
      <w:r w:rsidRPr="00315182">
        <w:tab/>
      </w:r>
      <w:r w:rsidRPr="00315182">
        <w:tab/>
      </w:r>
      <w:r w:rsidRPr="00315182">
        <w:tab/>
      </w:r>
      <w:r w:rsidRPr="00315182">
        <w:tab/>
      </w:r>
      <w:r w:rsidRPr="00315182">
        <w:tab/>
      </w:r>
      <w:r w:rsidRPr="00315182">
        <w:tab/>
        <w:t>$128,940</w:t>
      </w:r>
    </w:p>
    <w:p w14:paraId="78D71236" w14:textId="77777777" w:rsidR="0041684E" w:rsidRPr="00315182" w:rsidRDefault="0041684E" w:rsidP="0041684E">
      <w:r w:rsidRPr="00315182">
        <w:tab/>
      </w:r>
      <w:r w:rsidRPr="00315182">
        <w:tab/>
        <w:t>Community Enhancement Fund</w:t>
      </w:r>
      <w:r w:rsidRPr="00315182">
        <w:tab/>
      </w:r>
      <w:r w:rsidRPr="00315182">
        <w:tab/>
      </w:r>
      <w:r w:rsidRPr="00315182">
        <w:tab/>
        <w:t>$3,224,220</w:t>
      </w:r>
    </w:p>
    <w:p w14:paraId="6DE288DE" w14:textId="77777777" w:rsidR="0041684E" w:rsidRPr="00315182" w:rsidRDefault="0041684E" w:rsidP="0041684E">
      <w:r w:rsidRPr="00315182">
        <w:tab/>
      </w:r>
      <w:r w:rsidRPr="00315182">
        <w:tab/>
        <w:t>State Administration</w:t>
      </w:r>
      <w:r w:rsidRPr="00315182">
        <w:tab/>
      </w:r>
      <w:r w:rsidRPr="00315182">
        <w:tab/>
      </w:r>
      <w:r w:rsidRPr="00315182">
        <w:tab/>
      </w:r>
      <w:r w:rsidRPr="00315182">
        <w:tab/>
      </w:r>
      <w:r w:rsidRPr="00315182">
        <w:tab/>
        <w:t>$57</w:t>
      </w:r>
      <w:r>
        <w:t>7,257</w:t>
      </w:r>
    </w:p>
    <w:p w14:paraId="26A9922E" w14:textId="77777777" w:rsidR="0041684E" w:rsidRDefault="0041684E" w:rsidP="0041684E">
      <w:r w:rsidRPr="00315182">
        <w:tab/>
      </w:r>
      <w:r w:rsidRPr="00315182">
        <w:tab/>
        <w:t>State Technical Assistance</w:t>
      </w:r>
      <w:r w:rsidRPr="00315182">
        <w:tab/>
      </w:r>
      <w:r w:rsidRPr="00315182">
        <w:tab/>
      </w:r>
      <w:r w:rsidRPr="00315182">
        <w:tab/>
      </w:r>
      <w:r w:rsidRPr="00315182">
        <w:tab/>
        <w:t>$238,</w:t>
      </w:r>
      <w:r>
        <w:t>628</w:t>
      </w:r>
    </w:p>
    <w:p w14:paraId="10FE6794" w14:textId="77777777" w:rsidR="00927A86" w:rsidRDefault="00927A86" w:rsidP="0041684E">
      <w:pPr>
        <w:rPr>
          <w:sz w:val="20"/>
          <w:szCs w:val="20"/>
        </w:rPr>
      </w:pPr>
    </w:p>
    <w:p w14:paraId="5259A6FB" w14:textId="2A3D6953" w:rsidR="0041684E" w:rsidRPr="001C4FE0" w:rsidRDefault="003259E9" w:rsidP="0041684E">
      <w:pPr>
        <w:rPr>
          <w:sz w:val="20"/>
          <w:szCs w:val="20"/>
        </w:rPr>
      </w:pPr>
      <w:r w:rsidRPr="001C4FE0">
        <w:rPr>
          <w:sz w:val="20"/>
          <w:szCs w:val="20"/>
        </w:rPr>
        <w:t>* Based</w:t>
      </w:r>
      <w:r w:rsidR="001C4FE0" w:rsidRPr="001C4FE0">
        <w:rPr>
          <w:sz w:val="20"/>
          <w:szCs w:val="20"/>
        </w:rPr>
        <w:t xml:space="preserve"> upon </w:t>
      </w:r>
      <w:r w:rsidR="00927A86">
        <w:rPr>
          <w:sz w:val="20"/>
          <w:szCs w:val="20"/>
        </w:rPr>
        <w:t xml:space="preserve">the State of Alabama’s </w:t>
      </w:r>
      <w:r w:rsidR="001C4FE0" w:rsidRPr="001C4FE0">
        <w:rPr>
          <w:sz w:val="20"/>
          <w:szCs w:val="20"/>
        </w:rPr>
        <w:t>PY2020 CDBG Allocation</w:t>
      </w:r>
    </w:p>
    <w:p w14:paraId="33B396C0" w14:textId="77777777" w:rsidR="003259E9" w:rsidRDefault="003259E9" w:rsidP="0041684E"/>
    <w:p w14:paraId="5467D4D5" w14:textId="77777777" w:rsidR="0041684E" w:rsidRDefault="0041684E" w:rsidP="0041684E">
      <w:pPr>
        <w:rPr>
          <w:bCs/>
        </w:rPr>
      </w:pPr>
      <w:r w:rsidRPr="000E1C86">
        <w:rPr>
          <w:b/>
          <w:u w:val="single"/>
        </w:rPr>
        <w:t>NOTES</w:t>
      </w:r>
      <w:r w:rsidRPr="000E1C86">
        <w:rPr>
          <w:b/>
        </w:rPr>
        <w:t>:</w:t>
      </w:r>
    </w:p>
    <w:p w14:paraId="3946F384" w14:textId="76C6677B" w:rsidR="0041684E" w:rsidRDefault="0041684E" w:rsidP="0041684E">
      <w:pPr>
        <w:ind w:left="540" w:hanging="540"/>
        <w:jc w:val="both"/>
      </w:pPr>
      <w:r w:rsidRPr="000E1C86">
        <w:t>1.</w:t>
      </w:r>
      <w:r w:rsidRPr="000E1C86">
        <w:tab/>
        <w:t xml:space="preserve">The </w:t>
      </w:r>
      <w:r w:rsidR="0015685B">
        <w:t xml:space="preserve">allocations </w:t>
      </w:r>
      <w:r w:rsidR="008A3540">
        <w:t xml:space="preserve">are subject to the actual PY2021 HUD allocation.  </w:t>
      </w:r>
      <w:r>
        <w:t>Upon receipt of a</w:t>
      </w:r>
      <w:r w:rsidR="00FA04B7">
        <w:t xml:space="preserve"> </w:t>
      </w:r>
      <w:r>
        <w:t xml:space="preserve">final annual allocation amount, ADECA will adjust the distribution of funds up or down by approximately the same percentage; the exception being the distribution of “State Administration” and “State Technical Assistance” funds which will conform to HUD’s rule.  Therefore, </w:t>
      </w:r>
      <w:proofErr w:type="gramStart"/>
      <w:r>
        <w:t>if and when</w:t>
      </w:r>
      <w:proofErr w:type="gramEnd"/>
      <w:r>
        <w:t xml:space="preserve"> necessary, ADECA will update the distribution of funds stated in this Annual Plan to reflect such otherwise final annual allocation amount.</w:t>
      </w:r>
    </w:p>
    <w:p w14:paraId="71F8DF80" w14:textId="77777777" w:rsidR="0041684E" w:rsidRDefault="0041684E" w:rsidP="0041684E">
      <w:pPr>
        <w:ind w:left="540" w:hanging="540"/>
        <w:jc w:val="both"/>
      </w:pPr>
    </w:p>
    <w:p w14:paraId="73A31574" w14:textId="77777777" w:rsidR="0041684E" w:rsidRPr="00265FE3" w:rsidRDefault="0041684E" w:rsidP="0041684E">
      <w:pPr>
        <w:ind w:left="540" w:hanging="540"/>
        <w:jc w:val="both"/>
      </w:pPr>
      <w:r>
        <w:t>2</w:t>
      </w:r>
      <w:r w:rsidRPr="00265FE3">
        <w:t>.</w:t>
      </w:r>
      <w:r w:rsidRPr="00265FE3">
        <w:tab/>
        <w:t>For valid reasons, the ADECA Director may modify or altogether eliminate allocations in order to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527AE8F8" w14:textId="77777777" w:rsidR="0041684E" w:rsidRDefault="0041684E" w:rsidP="0041684E">
      <w:pPr>
        <w:ind w:left="540" w:hanging="540"/>
        <w:jc w:val="both"/>
      </w:pPr>
    </w:p>
    <w:p w14:paraId="7FBB6B52" w14:textId="77777777" w:rsidR="0041684E" w:rsidRPr="00CA118B" w:rsidRDefault="0041684E" w:rsidP="0041684E">
      <w:pPr>
        <w:ind w:left="540" w:hanging="540"/>
        <w:jc w:val="both"/>
      </w:pPr>
      <w:r>
        <w:t>3</w:t>
      </w:r>
      <w:r w:rsidRPr="00CA118B">
        <w:t>.</w:t>
      </w:r>
      <w:r w:rsidRPr="00CA118B">
        <w:tab/>
        <w:t xml:space="preserve">Balances in any </w:t>
      </w:r>
      <w:r>
        <w:t>F</w:t>
      </w:r>
      <w:r w:rsidRPr="00CA118B">
        <w:t xml:space="preserve">und will be used to either fund the Black Belt Region Projects or transfer 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54112ED6" w14:textId="17DFCA9B" w:rsidR="0041684E" w:rsidRDefault="0041684E" w:rsidP="0041684E">
      <w:pPr>
        <w:ind w:left="540" w:hanging="540"/>
        <w:jc w:val="both"/>
      </w:pPr>
    </w:p>
    <w:p w14:paraId="7F6C4CF9" w14:textId="77777777" w:rsidR="00B756A5" w:rsidRDefault="00B756A5" w:rsidP="0041684E">
      <w:pPr>
        <w:ind w:left="540" w:hanging="540"/>
        <w:jc w:val="both"/>
      </w:pPr>
    </w:p>
    <w:p w14:paraId="323E9FEF" w14:textId="77777777" w:rsidR="0041684E" w:rsidRDefault="0041684E" w:rsidP="0041684E">
      <w:pPr>
        <w:ind w:left="540" w:hanging="540"/>
        <w:jc w:val="both"/>
      </w:pPr>
      <w:r>
        <w:lastRenderedPageBreak/>
        <w:t>4</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278A65A6" w14:textId="77777777" w:rsidR="0041684E" w:rsidRDefault="0041684E" w:rsidP="0041684E">
      <w:pPr>
        <w:ind w:left="540" w:hanging="540"/>
        <w:jc w:val="both"/>
      </w:pPr>
    </w:p>
    <w:p w14:paraId="036A5246" w14:textId="77777777" w:rsidR="0041684E" w:rsidRPr="00CA118B" w:rsidRDefault="0041684E" w:rsidP="0041684E">
      <w:pPr>
        <w:ind w:left="540" w:hanging="540"/>
        <w:jc w:val="both"/>
      </w:pPr>
      <w:r>
        <w:t>5</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w:t>
      </w:r>
      <w:proofErr w:type="gramStart"/>
      <w:r>
        <w:t>revert back</w:t>
      </w:r>
      <w:proofErr w:type="gramEnd"/>
      <w:r>
        <w:t xml:space="preserve"> to funds/projects from where the funds came.  </w:t>
      </w:r>
      <w:r w:rsidRPr="00CA118B">
        <w:t>Persons interested in the amount of Recaptured Fund money available may inquire to ADECA in writing for this information.</w:t>
      </w:r>
    </w:p>
    <w:p w14:paraId="20E2E70D" w14:textId="77777777" w:rsidR="0041684E" w:rsidRPr="00CA118B" w:rsidRDefault="0041684E" w:rsidP="0041684E">
      <w:pPr>
        <w:ind w:left="540" w:hanging="540"/>
        <w:jc w:val="both"/>
      </w:pPr>
    </w:p>
    <w:p w14:paraId="3BC6AA3A" w14:textId="67CB3D38" w:rsidR="0041684E" w:rsidRPr="00CA118B" w:rsidRDefault="0041684E" w:rsidP="0041684E">
      <w:pPr>
        <w:ind w:left="540" w:hanging="540"/>
        <w:jc w:val="both"/>
      </w:pPr>
      <w:r>
        <w:t>6</w:t>
      </w:r>
      <w:r w:rsidRPr="002E784B">
        <w:t>.</w:t>
      </w:r>
      <w:r w:rsidRPr="002E784B">
        <w:tab/>
      </w:r>
      <w:r w:rsidR="00E00F78">
        <w:t xml:space="preserve">The State is not anticipating any </w:t>
      </w:r>
      <w:r w:rsidRPr="002E784B">
        <w:t xml:space="preserve">Program Income to be available </w:t>
      </w:r>
      <w:proofErr w:type="gramStart"/>
      <w:r w:rsidRPr="002E784B">
        <w:t>during the course of</w:t>
      </w:r>
      <w:proofErr w:type="gramEnd"/>
      <w:r w:rsidRPr="003D5533">
        <w:t xml:space="preserve"> this program year.  </w:t>
      </w:r>
      <w:r w:rsidR="007403B3">
        <w:t>In case there is any program income</w:t>
      </w:r>
      <w:r w:rsidR="00586C65">
        <w:t>, the money will generally be used to fund economic development projects.</w:t>
      </w:r>
    </w:p>
    <w:p w14:paraId="4F7D3801" w14:textId="77777777" w:rsidR="0041684E" w:rsidRPr="00CA118B" w:rsidRDefault="0041684E" w:rsidP="0041684E">
      <w:pPr>
        <w:ind w:left="540" w:hanging="540"/>
        <w:jc w:val="both"/>
      </w:pPr>
    </w:p>
    <w:p w14:paraId="11DA5C67" w14:textId="77777777" w:rsidR="0041684E" w:rsidRDefault="0041684E" w:rsidP="0041684E">
      <w:pPr>
        <w:ind w:left="540" w:hanging="540"/>
        <w:jc w:val="both"/>
      </w:pPr>
      <w:r>
        <w:t>7</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01178D53" w14:textId="77777777" w:rsidR="0041684E" w:rsidRDefault="0041684E" w:rsidP="0041684E">
      <w:pPr>
        <w:ind w:left="540" w:hanging="540"/>
        <w:jc w:val="both"/>
      </w:pPr>
    </w:p>
    <w:p w14:paraId="7F955B93" w14:textId="77777777" w:rsidR="0041684E" w:rsidRPr="00CA118B" w:rsidRDefault="0041684E" w:rsidP="0041684E">
      <w:pPr>
        <w:ind w:left="540" w:hanging="540"/>
        <w:jc w:val="both"/>
      </w:pPr>
      <w:r>
        <w:t>8</w:t>
      </w:r>
      <w:r w:rsidRPr="00265FE3">
        <w:t>.</w:t>
      </w:r>
      <w:r>
        <w:tab/>
      </w:r>
      <w:r w:rsidRPr="00CA118B">
        <w:t>The State recognizes the applicant's right to retain Program Income within acceptable limits</w:t>
      </w:r>
      <w:r>
        <w:t xml:space="preserve"> </w:t>
      </w:r>
      <w:r w:rsidRPr="00CA118B">
        <w:t>to the extent that the income is applied to continue the activity from which such income was derived</w:t>
      </w:r>
      <w:r>
        <w:t>, or for other CDBG eligible activities.</w:t>
      </w:r>
    </w:p>
    <w:p w14:paraId="1FE71FF9" w14:textId="77777777" w:rsidR="0041684E" w:rsidRPr="00CA118B" w:rsidRDefault="0041684E" w:rsidP="0041684E">
      <w:pPr>
        <w:ind w:left="540" w:hanging="540"/>
        <w:jc w:val="both"/>
      </w:pPr>
    </w:p>
    <w:p w14:paraId="00C2655C" w14:textId="61CB25B0" w:rsidR="0041684E" w:rsidRDefault="0041684E" w:rsidP="0041684E">
      <w:pPr>
        <w:ind w:left="540" w:hanging="540"/>
        <w:jc w:val="both"/>
      </w:pPr>
      <w:r>
        <w:t>9</w:t>
      </w:r>
      <w:r w:rsidRPr="00CA118B">
        <w:t>.</w:t>
      </w:r>
      <w:r w:rsidRPr="00CA118B">
        <w:tab/>
        <w:t xml:space="preserve">From time to time, areas declared a disaster by the President will be addressed by a separate Disaster Program for the purposes of disaster relief, long-term recovery, and </w:t>
      </w:r>
      <w:proofErr w:type="gramStart"/>
      <w:r w:rsidRPr="00CA118B">
        <w:t>mitigation.</w:t>
      </w:r>
      <w:r>
        <w:t>*</w:t>
      </w:r>
      <w:proofErr w:type="gramEnd"/>
      <w:r w:rsidR="00F0275D">
        <w:t>*</w:t>
      </w:r>
    </w:p>
    <w:p w14:paraId="3CB71BFE" w14:textId="77777777" w:rsidR="0041684E" w:rsidRDefault="0041684E" w:rsidP="0041684E">
      <w:pPr>
        <w:ind w:left="540" w:hanging="540"/>
        <w:jc w:val="both"/>
      </w:pPr>
    </w:p>
    <w:p w14:paraId="2A651A19" w14:textId="77777777" w:rsidR="00113DA1" w:rsidRDefault="0041684E" w:rsidP="00F0275D">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w:t>
      </w:r>
      <w:r w:rsidR="00F0275D">
        <w:rPr>
          <w:rFonts w:ascii="Times New Roman" w:hAnsi="Times New Roman"/>
          <w:sz w:val="19"/>
          <w:szCs w:val="19"/>
        </w:rPr>
        <w:t xml:space="preserve">* </w:t>
      </w:r>
      <w:r w:rsidRPr="00191CF6">
        <w:rPr>
          <w:rFonts w:ascii="Times New Roman" w:hAnsi="Times New Roman"/>
          <w:sz w:val="19"/>
          <w:szCs w:val="19"/>
        </w:rPr>
        <w:t>Nothing in this Action Plan will limit the eligibility of an applicant or activities to be addressed by the</w:t>
      </w:r>
      <w:r w:rsidR="00F0275D">
        <w:rPr>
          <w:rFonts w:ascii="Times New Roman" w:hAnsi="Times New Roman"/>
          <w:sz w:val="19"/>
          <w:szCs w:val="19"/>
        </w:rPr>
        <w:t xml:space="preserve"> </w:t>
      </w:r>
      <w:r w:rsidR="00F0275D">
        <w:rPr>
          <w:rFonts w:ascii="Times New Roman" w:hAnsi="Times New Roman"/>
          <w:sz w:val="19"/>
          <w:szCs w:val="19"/>
        </w:rPr>
        <w:tab/>
      </w:r>
      <w:r w:rsidR="00F0275D">
        <w:rPr>
          <w:rFonts w:ascii="Times New Roman" w:hAnsi="Times New Roman"/>
          <w:sz w:val="19"/>
          <w:szCs w:val="19"/>
        </w:rPr>
        <w:tab/>
      </w:r>
      <w:r w:rsidRPr="00191CF6">
        <w:rPr>
          <w:rFonts w:ascii="Times New Roman" w:hAnsi="Times New Roman"/>
          <w:sz w:val="19"/>
          <w:szCs w:val="19"/>
        </w:rPr>
        <w:t>CDBG</w:t>
      </w:r>
      <w:r w:rsidR="00F0275D">
        <w:rPr>
          <w:rFonts w:ascii="Times New Roman" w:hAnsi="Times New Roman"/>
          <w:sz w:val="19"/>
          <w:szCs w:val="19"/>
        </w:rPr>
        <w:t xml:space="preserve"> </w:t>
      </w:r>
      <w:r w:rsidRPr="00191CF6">
        <w:rPr>
          <w:rFonts w:ascii="Times New Roman" w:hAnsi="Times New Roman"/>
          <w:sz w:val="19"/>
          <w:szCs w:val="19"/>
        </w:rPr>
        <w:t>Disaster</w:t>
      </w:r>
      <w:r w:rsidR="00961976">
        <w:rPr>
          <w:rFonts w:ascii="Times New Roman" w:hAnsi="Times New Roman"/>
          <w:sz w:val="19"/>
          <w:szCs w:val="19"/>
        </w:rPr>
        <w:t xml:space="preserve"> or COVID </w:t>
      </w:r>
      <w:r w:rsidRPr="00191CF6">
        <w:rPr>
          <w:rFonts w:ascii="Times New Roman" w:hAnsi="Times New Roman"/>
          <w:sz w:val="19"/>
          <w:szCs w:val="19"/>
        </w:rPr>
        <w:t>Program</w:t>
      </w:r>
      <w:r w:rsidR="00961976">
        <w:rPr>
          <w:rFonts w:ascii="Times New Roman" w:hAnsi="Times New Roman"/>
          <w:sz w:val="19"/>
          <w:szCs w:val="19"/>
        </w:rPr>
        <w:t>s</w:t>
      </w:r>
      <w:r w:rsidRPr="00191CF6">
        <w:rPr>
          <w:rFonts w:ascii="Times New Roman" w:hAnsi="Times New Roman"/>
          <w:sz w:val="19"/>
          <w:szCs w:val="19"/>
        </w:rPr>
        <w:t>, to the extent such eligibility and activities are permitted by the HUD</w:t>
      </w:r>
    </w:p>
    <w:p w14:paraId="7BBAE3D2" w14:textId="77777777" w:rsidR="00AE68B4" w:rsidRDefault="0041684E" w:rsidP="0041684E">
      <w:pPr>
        <w:pStyle w:val="Heading2"/>
        <w:ind w:firstLine="720"/>
        <w:jc w:val="left"/>
        <w:rPr>
          <w:rFonts w:ascii="Times New Roman" w:hAnsi="Times New Roman"/>
          <w:sz w:val="19"/>
          <w:szCs w:val="19"/>
        </w:rPr>
      </w:pPr>
      <w:r w:rsidRPr="00191CF6">
        <w:rPr>
          <w:rFonts w:ascii="Times New Roman" w:hAnsi="Times New Roman"/>
          <w:sz w:val="19"/>
          <w:szCs w:val="19"/>
        </w:rPr>
        <w:t>Disaster</w:t>
      </w:r>
      <w:r>
        <w:rPr>
          <w:rFonts w:ascii="Times New Roman" w:hAnsi="Times New Roman"/>
          <w:sz w:val="19"/>
          <w:szCs w:val="19"/>
        </w:rPr>
        <w:t xml:space="preserve"> </w:t>
      </w:r>
      <w:r w:rsidR="00113DA1">
        <w:rPr>
          <w:rFonts w:ascii="Times New Roman" w:hAnsi="Times New Roman"/>
          <w:sz w:val="19"/>
          <w:szCs w:val="19"/>
        </w:rPr>
        <w:t xml:space="preserve">or COVID </w:t>
      </w:r>
      <w:r w:rsidRPr="00191CF6">
        <w:rPr>
          <w:rFonts w:ascii="Times New Roman" w:hAnsi="Times New Roman"/>
          <w:sz w:val="19"/>
          <w:szCs w:val="19"/>
        </w:rPr>
        <w:t>Rule</w:t>
      </w:r>
      <w:r w:rsidR="00113DA1">
        <w:rPr>
          <w:rFonts w:ascii="Times New Roman" w:hAnsi="Times New Roman"/>
          <w:sz w:val="19"/>
          <w:szCs w:val="19"/>
        </w:rPr>
        <w:t>s</w:t>
      </w:r>
      <w:r w:rsidRPr="00191CF6">
        <w:rPr>
          <w:rFonts w:ascii="Times New Roman" w:hAnsi="Times New Roman"/>
          <w:sz w:val="19"/>
          <w:szCs w:val="19"/>
        </w:rPr>
        <w:t>.</w:t>
      </w:r>
      <w:r w:rsidR="00113DA1">
        <w:rPr>
          <w:rFonts w:ascii="Times New Roman" w:hAnsi="Times New Roman"/>
          <w:sz w:val="19"/>
          <w:szCs w:val="19"/>
        </w:rPr>
        <w:t xml:space="preserve">  </w:t>
      </w:r>
      <w:r w:rsidRPr="00191CF6">
        <w:rPr>
          <w:rFonts w:ascii="Times New Roman" w:hAnsi="Times New Roman"/>
          <w:sz w:val="19"/>
          <w:szCs w:val="19"/>
        </w:rPr>
        <w:t>Similarly,</w:t>
      </w:r>
      <w:r w:rsidR="00F0275D">
        <w:rPr>
          <w:rFonts w:ascii="Times New Roman" w:hAnsi="Times New Roman"/>
          <w:sz w:val="19"/>
          <w:szCs w:val="19"/>
        </w:rPr>
        <w:t xml:space="preserve"> </w:t>
      </w:r>
      <w:r w:rsidRPr="00191CF6">
        <w:rPr>
          <w:rFonts w:ascii="Times New Roman" w:hAnsi="Times New Roman"/>
          <w:sz w:val="19"/>
          <w:szCs w:val="19"/>
        </w:rPr>
        <w:t xml:space="preserve">any activities funded by the CDBG Disaster </w:t>
      </w:r>
      <w:r w:rsidR="00113DA1">
        <w:rPr>
          <w:rFonts w:ascii="Times New Roman" w:hAnsi="Times New Roman"/>
          <w:sz w:val="19"/>
          <w:szCs w:val="19"/>
        </w:rPr>
        <w:t xml:space="preserve">or COVID </w:t>
      </w:r>
      <w:r w:rsidRPr="00191CF6">
        <w:rPr>
          <w:rFonts w:ascii="Times New Roman" w:hAnsi="Times New Roman"/>
          <w:sz w:val="19"/>
          <w:szCs w:val="19"/>
        </w:rPr>
        <w:t>Grant</w:t>
      </w:r>
      <w:r w:rsidR="00113DA1">
        <w:rPr>
          <w:rFonts w:ascii="Times New Roman" w:hAnsi="Times New Roman"/>
          <w:sz w:val="19"/>
          <w:szCs w:val="19"/>
        </w:rPr>
        <w:t>s</w:t>
      </w:r>
      <w:r w:rsidRPr="00191CF6">
        <w:rPr>
          <w:rFonts w:ascii="Times New Roman" w:hAnsi="Times New Roman"/>
          <w:sz w:val="19"/>
          <w:szCs w:val="19"/>
        </w:rPr>
        <w:t xml:space="preserve"> will not</w:t>
      </w:r>
    </w:p>
    <w:p w14:paraId="014F89F7" w14:textId="77777777" w:rsid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limit the applicant's ability to</w:t>
      </w:r>
      <w:r>
        <w:rPr>
          <w:rFonts w:ascii="Times New Roman" w:hAnsi="Times New Roman"/>
          <w:sz w:val="19"/>
          <w:szCs w:val="19"/>
        </w:rPr>
        <w:t xml:space="preserve"> </w:t>
      </w:r>
      <w:r w:rsidRPr="00191CF6">
        <w:rPr>
          <w:rFonts w:ascii="Times New Roman" w:hAnsi="Times New Roman"/>
          <w:sz w:val="19"/>
          <w:szCs w:val="19"/>
        </w:rPr>
        <w:t>apply for a</w:t>
      </w:r>
      <w:r w:rsidR="00AE68B4">
        <w:rPr>
          <w:rFonts w:ascii="Times New Roman" w:hAnsi="Times New Roman"/>
          <w:sz w:val="19"/>
          <w:szCs w:val="19"/>
        </w:rPr>
        <w:t xml:space="preserve"> </w:t>
      </w:r>
      <w:r w:rsidRPr="00191CF6">
        <w:rPr>
          <w:rFonts w:ascii="Times New Roman" w:hAnsi="Times New Roman"/>
          <w:sz w:val="19"/>
          <w:szCs w:val="19"/>
        </w:rPr>
        <w:t>grant under</w:t>
      </w:r>
      <w:r w:rsidR="00F0275D">
        <w:rPr>
          <w:rFonts w:ascii="Times New Roman" w:hAnsi="Times New Roman"/>
          <w:sz w:val="19"/>
          <w:szCs w:val="19"/>
        </w:rPr>
        <w:t xml:space="preserve"> </w:t>
      </w:r>
      <w:r w:rsidRPr="00191CF6">
        <w:rPr>
          <w:rFonts w:ascii="Times New Roman" w:hAnsi="Times New Roman"/>
          <w:sz w:val="19"/>
          <w:szCs w:val="19"/>
        </w:rPr>
        <w:t>this Action Plan, to the extent the applicant is otherwise</w:t>
      </w:r>
    </w:p>
    <w:p w14:paraId="5D04898D" w14:textId="636C89D7" w:rsidR="0041684E" w:rsidRP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121DD352" w14:textId="145FFB76" w:rsidR="0041684E" w:rsidRDefault="0041684E" w:rsidP="0041684E"/>
    <w:p w14:paraId="413EA99F" w14:textId="77777777" w:rsidR="00FD1179" w:rsidRDefault="00FD1179" w:rsidP="0041684E"/>
    <w:p w14:paraId="1D40B640" w14:textId="77777777" w:rsidR="0041684E" w:rsidRPr="00714B79" w:rsidRDefault="0041684E" w:rsidP="0041684E">
      <w:pPr>
        <w:pStyle w:val="Heading2"/>
        <w:rPr>
          <w:rFonts w:ascii="Times New Roman" w:hAnsi="Times New Roman"/>
          <w:b/>
          <w:bCs/>
          <w:sz w:val="24"/>
          <w:szCs w:val="24"/>
          <w:u w:val="single"/>
        </w:rPr>
      </w:pPr>
      <w:r w:rsidRPr="00714B79">
        <w:rPr>
          <w:rFonts w:ascii="Times New Roman" w:hAnsi="Times New Roman"/>
          <w:b/>
          <w:bCs/>
          <w:sz w:val="24"/>
          <w:szCs w:val="24"/>
          <w:u w:val="single"/>
        </w:rPr>
        <w:t>METHODS OF ALLOCATION</w:t>
      </w:r>
    </w:p>
    <w:p w14:paraId="569C7756" w14:textId="77777777" w:rsidR="0041684E" w:rsidRPr="00CA118B" w:rsidRDefault="0041684E" w:rsidP="0041684E"/>
    <w:p w14:paraId="4B9B0006" w14:textId="120B29FB" w:rsidR="0041684E" w:rsidRPr="00CA118B" w:rsidRDefault="0041684E" w:rsidP="0041684E">
      <w:pPr>
        <w:jc w:val="both"/>
      </w:pPr>
      <w:r w:rsidRPr="00CA118B">
        <w:t>The State</w:t>
      </w:r>
      <w:r>
        <w:t xml:space="preserve"> of Alabama</w:t>
      </w:r>
      <w:r w:rsidRPr="00CA118B">
        <w:t xml:space="preserve">'s </w:t>
      </w:r>
      <w:r>
        <w:t>PY202</w:t>
      </w:r>
      <w:r w:rsidR="00022500">
        <w:t>1</w:t>
      </w:r>
      <w:r>
        <w:t xml:space="preserve">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145CC198" w14:textId="77777777" w:rsidR="0041684E" w:rsidRPr="00CA118B" w:rsidRDefault="0041684E" w:rsidP="0041684E"/>
    <w:p w14:paraId="457BAEC6" w14:textId="77777777" w:rsidR="0041684E" w:rsidRDefault="0041684E" w:rsidP="0041684E">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34ECB181" w14:textId="77777777" w:rsidR="0041684E" w:rsidRDefault="0041684E" w:rsidP="0041684E">
      <w:pPr>
        <w:jc w:val="both"/>
      </w:pPr>
    </w:p>
    <w:p w14:paraId="776277F4" w14:textId="020D1130" w:rsidR="0041684E" w:rsidRPr="00CA118B" w:rsidRDefault="0041684E" w:rsidP="0041684E">
      <w:pPr>
        <w:pStyle w:val="BodyTextIndent"/>
        <w:ind w:left="540" w:hanging="540"/>
        <w:jc w:val="both"/>
      </w:pPr>
      <w:r w:rsidRPr="00CA118B">
        <w:lastRenderedPageBreak/>
        <w:t>1.</w:t>
      </w:r>
      <w:r w:rsidRPr="00CA118B">
        <w:tab/>
        <w:t>To benefit low</w:t>
      </w:r>
      <w:r w:rsidR="00D628DE">
        <w:t>-income</w:t>
      </w:r>
      <w:r w:rsidRPr="00CA118B">
        <w:t xml:space="preserve"> and moderate</w:t>
      </w:r>
      <w:r w:rsidR="00D628DE">
        <w:t>-</w:t>
      </w:r>
      <w:r w:rsidRPr="00CA118B">
        <w:t>income persons, of which at least 51% must be from low</w:t>
      </w:r>
      <w:r w:rsidR="00D628DE">
        <w:t xml:space="preserve">-income </w:t>
      </w:r>
      <w:r w:rsidRPr="00CA118B">
        <w:t>and moderate</w:t>
      </w:r>
      <w:r w:rsidR="00D628DE">
        <w:t>-</w:t>
      </w:r>
      <w:r w:rsidRPr="00CA118B">
        <w:t>income households, except for single family housing activities which must benefit 100% low</w:t>
      </w:r>
      <w:r w:rsidR="00D628DE">
        <w:t>-income</w:t>
      </w:r>
      <w:r w:rsidRPr="00CA118B">
        <w:t xml:space="preserve"> and moderate</w:t>
      </w:r>
      <w:r w:rsidR="00D628DE">
        <w:t>-</w:t>
      </w:r>
      <w:r w:rsidRPr="00CA118B">
        <w:t xml:space="preserve">income </w:t>
      </w:r>
      <w:proofErr w:type="gramStart"/>
      <w:r w:rsidRPr="00CA118B">
        <w:t>households;</w:t>
      </w:r>
      <w:proofErr w:type="gramEnd"/>
    </w:p>
    <w:p w14:paraId="17A0C088" w14:textId="77777777" w:rsidR="0041684E" w:rsidRPr="00CA118B" w:rsidRDefault="0041684E" w:rsidP="0041684E">
      <w:pPr>
        <w:pStyle w:val="BodyTextIndent"/>
        <w:ind w:left="540" w:hanging="540"/>
        <w:jc w:val="both"/>
      </w:pPr>
      <w:r w:rsidRPr="00CA118B">
        <w:t>2.</w:t>
      </w:r>
      <w:r w:rsidRPr="00CA118B">
        <w:tab/>
        <w:t>Aid in the prevention or elimination of slums and blight; or,</w:t>
      </w:r>
    </w:p>
    <w:p w14:paraId="0D06E2AC" w14:textId="77777777" w:rsidR="0041684E" w:rsidRPr="00CA118B" w:rsidRDefault="0041684E" w:rsidP="0041684E">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1C35B984" w14:textId="77777777" w:rsidR="00186C9D" w:rsidRDefault="00186C9D" w:rsidP="0041684E">
      <w:pPr>
        <w:jc w:val="both"/>
      </w:pPr>
    </w:p>
    <w:p w14:paraId="1C96A834" w14:textId="545A0319" w:rsidR="0041684E" w:rsidRDefault="0041684E" w:rsidP="0041684E">
      <w:pPr>
        <w:jc w:val="both"/>
      </w:pPr>
      <w:r w:rsidRPr="00CA118B">
        <w:t>In addition to meeting at least one of the three National Objectives listed above, activities must meet one of the following three performance goals:</w:t>
      </w:r>
    </w:p>
    <w:p w14:paraId="5ABF9952" w14:textId="77777777" w:rsidR="0041684E" w:rsidRDefault="0041684E" w:rsidP="0041684E">
      <w:pPr>
        <w:jc w:val="both"/>
      </w:pPr>
    </w:p>
    <w:p w14:paraId="0369D51B" w14:textId="77777777" w:rsidR="0041684E" w:rsidRDefault="0041684E" w:rsidP="0041684E">
      <w:pPr>
        <w:jc w:val="both"/>
      </w:pPr>
      <w:r>
        <w:t>1.</w:t>
      </w:r>
      <w:r>
        <w:tab/>
      </w:r>
      <w:r w:rsidRPr="00CA118B">
        <w:t>Create suitable living environments,</w:t>
      </w:r>
    </w:p>
    <w:p w14:paraId="0E211905" w14:textId="77777777" w:rsidR="0041684E" w:rsidRDefault="0041684E" w:rsidP="0041684E">
      <w:pPr>
        <w:jc w:val="both"/>
      </w:pPr>
      <w:r>
        <w:t>2.</w:t>
      </w:r>
      <w:r>
        <w:tab/>
      </w:r>
      <w:r w:rsidRPr="00CA118B">
        <w:t>Provide decent affordable housing, or</w:t>
      </w:r>
    </w:p>
    <w:p w14:paraId="26C98EBD" w14:textId="77777777" w:rsidR="0041684E" w:rsidRPr="00CA118B" w:rsidRDefault="0041684E" w:rsidP="0041684E">
      <w:pPr>
        <w:jc w:val="both"/>
      </w:pPr>
      <w:r>
        <w:t>3.</w:t>
      </w:r>
      <w:r>
        <w:tab/>
      </w:r>
      <w:r w:rsidRPr="00CA118B">
        <w:t>Create economic opportunities.</w:t>
      </w:r>
    </w:p>
    <w:p w14:paraId="1D75ABCC" w14:textId="77777777" w:rsidR="0041684E" w:rsidRPr="00CA118B" w:rsidRDefault="0041684E" w:rsidP="0041684E">
      <w:pPr>
        <w:ind w:left="540" w:hanging="540"/>
      </w:pPr>
    </w:p>
    <w:p w14:paraId="464C815C" w14:textId="77777777" w:rsidR="0041684E" w:rsidRDefault="0041684E" w:rsidP="0041684E">
      <w:pPr>
        <w:jc w:val="both"/>
      </w:pPr>
      <w:r w:rsidRPr="001C501A">
        <w:t>Further, activities must demonstrate the ability to achieve or improve one or more of the following outcomes:</w:t>
      </w:r>
    </w:p>
    <w:p w14:paraId="000B6E82" w14:textId="77777777" w:rsidR="0041684E" w:rsidRDefault="0041684E" w:rsidP="0041684E">
      <w:pPr>
        <w:jc w:val="both"/>
      </w:pPr>
    </w:p>
    <w:p w14:paraId="519B1AA9" w14:textId="77777777" w:rsidR="0041684E" w:rsidRDefault="0041684E" w:rsidP="0041684E">
      <w:pPr>
        <w:jc w:val="both"/>
      </w:pPr>
      <w:r>
        <w:t>1.</w:t>
      </w:r>
      <w:r>
        <w:tab/>
      </w:r>
      <w:r w:rsidRPr="001C501A">
        <w:t>Improve availability or accessibility of units or services,</w:t>
      </w:r>
    </w:p>
    <w:p w14:paraId="465AB065" w14:textId="77777777" w:rsidR="0041684E" w:rsidRDefault="0041684E" w:rsidP="0041684E">
      <w:pPr>
        <w:jc w:val="both"/>
      </w:pPr>
      <w:r>
        <w:t>2.</w:t>
      </w:r>
      <w:r>
        <w:tab/>
      </w:r>
      <w:r w:rsidRPr="001C501A">
        <w:t>Improve affordability of housing or other services, and/or</w:t>
      </w:r>
    </w:p>
    <w:p w14:paraId="202DE27E" w14:textId="77777777" w:rsidR="0041684E" w:rsidRPr="001C501A" w:rsidRDefault="0041684E" w:rsidP="0041684E">
      <w:pPr>
        <w:jc w:val="both"/>
      </w:pPr>
      <w:r>
        <w:t>3.</w:t>
      </w:r>
      <w:r>
        <w:tab/>
      </w:r>
      <w:r w:rsidRPr="001C501A">
        <w:t>Improve sustainability by promoting viable communities.</w:t>
      </w:r>
    </w:p>
    <w:p w14:paraId="1B56C069" w14:textId="77777777" w:rsidR="0041684E" w:rsidRPr="001C501A" w:rsidRDefault="0041684E" w:rsidP="0041684E">
      <w:pPr>
        <w:pStyle w:val="Heading2"/>
        <w:rPr>
          <w:rFonts w:ascii="Times New Roman" w:hAnsi="Times New Roman"/>
          <w:b/>
          <w:sz w:val="24"/>
          <w:szCs w:val="24"/>
        </w:rPr>
      </w:pPr>
    </w:p>
    <w:p w14:paraId="6A203E4E" w14:textId="77777777" w:rsidR="0041684E" w:rsidRPr="001C501A" w:rsidRDefault="0041684E" w:rsidP="0041684E">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72031F15" w14:textId="77777777" w:rsidR="0041684E" w:rsidRDefault="0041684E" w:rsidP="0041684E"/>
    <w:p w14:paraId="7CCC6648" w14:textId="731628E9" w:rsidR="0041684E" w:rsidRPr="001C501A" w:rsidRDefault="0041684E" w:rsidP="0041684E">
      <w:r w:rsidRPr="001C501A">
        <w:t>The Categories of Funds from which PY20</w:t>
      </w:r>
      <w:r>
        <w:t>2</w:t>
      </w:r>
      <w:r w:rsidR="00022500">
        <w:t>1</w:t>
      </w:r>
      <w:r w:rsidRPr="001C501A">
        <w:t xml:space="preserve"> CDBG monies will be allocated are as follows:</w:t>
      </w:r>
    </w:p>
    <w:p w14:paraId="487CC986" w14:textId="77777777" w:rsidR="0041684E" w:rsidRPr="00BB464C" w:rsidRDefault="0041684E" w:rsidP="0041684E"/>
    <w:p w14:paraId="764BECC6" w14:textId="77777777" w:rsidR="0041684E" w:rsidRPr="00CA118B" w:rsidRDefault="0041684E" w:rsidP="0041684E">
      <w:pPr>
        <w:rPr>
          <w:b/>
          <w:u w:val="single"/>
        </w:rPr>
      </w:pPr>
      <w:r w:rsidRPr="00CA118B">
        <w:rPr>
          <w:b/>
          <w:u w:val="single"/>
        </w:rPr>
        <w:t>COUNTY FUND</w:t>
      </w:r>
    </w:p>
    <w:p w14:paraId="59C752A0" w14:textId="77777777" w:rsidR="0041684E" w:rsidRDefault="0041684E" w:rsidP="0041684E">
      <w:pPr>
        <w:jc w:val="both"/>
      </w:pPr>
    </w:p>
    <w:p w14:paraId="4EB9B724" w14:textId="77777777" w:rsidR="0041684E" w:rsidRDefault="0041684E" w:rsidP="0041684E">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45B3B2F3" w14:textId="77777777" w:rsidR="0041684E" w:rsidRDefault="0041684E" w:rsidP="0041684E">
      <w:pPr>
        <w:jc w:val="both"/>
      </w:pPr>
    </w:p>
    <w:p w14:paraId="19E4EA13" w14:textId="77777777" w:rsidR="0041684E" w:rsidRPr="00CA118B" w:rsidRDefault="0041684E" w:rsidP="0041684E">
      <w:pPr>
        <w:rPr>
          <w:b/>
          <w:u w:val="single"/>
        </w:rPr>
      </w:pPr>
      <w:r w:rsidRPr="00CA118B">
        <w:rPr>
          <w:b/>
          <w:u w:val="single"/>
        </w:rPr>
        <w:t>LARGE CITY FUND</w:t>
      </w:r>
    </w:p>
    <w:p w14:paraId="7DF48D8D" w14:textId="77777777" w:rsidR="0041684E" w:rsidRDefault="0041684E" w:rsidP="0041684E">
      <w:pPr>
        <w:jc w:val="both"/>
      </w:pPr>
    </w:p>
    <w:p w14:paraId="29E75256" w14:textId="77777777" w:rsidR="0041684E" w:rsidRPr="00CA118B" w:rsidRDefault="0041684E" w:rsidP="0041684E">
      <w:pPr>
        <w:jc w:val="both"/>
      </w:pPr>
      <w:r w:rsidRPr="00CA118B">
        <w:t xml:space="preserve">This </w:t>
      </w:r>
      <w:r>
        <w:t>F</w:t>
      </w:r>
      <w:r w:rsidRPr="00CA118B">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2A4E6750" w14:textId="77777777" w:rsidR="0041684E" w:rsidRDefault="0041684E" w:rsidP="0041684E"/>
    <w:p w14:paraId="1CDE3923" w14:textId="77777777" w:rsidR="0041684E" w:rsidRDefault="0041684E" w:rsidP="0041684E">
      <w:pPr>
        <w:rPr>
          <w:b/>
          <w:u w:val="single"/>
        </w:rPr>
      </w:pPr>
      <w:r w:rsidRPr="00CA118B">
        <w:rPr>
          <w:b/>
          <w:u w:val="single"/>
        </w:rPr>
        <w:t>SMALL CITY FUND</w:t>
      </w:r>
    </w:p>
    <w:p w14:paraId="1442BBB9" w14:textId="77777777" w:rsidR="0041684E" w:rsidRPr="00CA118B" w:rsidRDefault="0041684E" w:rsidP="0041684E">
      <w:pPr>
        <w:rPr>
          <w:b/>
          <w:u w:val="single"/>
        </w:rPr>
      </w:pPr>
    </w:p>
    <w:p w14:paraId="5F287109" w14:textId="77777777" w:rsidR="0041684E" w:rsidRDefault="0041684E" w:rsidP="0041684E">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6F299F1D" w14:textId="77777777" w:rsidR="0041684E" w:rsidRPr="00CA118B" w:rsidRDefault="0041684E" w:rsidP="0041684E">
      <w:pPr>
        <w:rPr>
          <w:b/>
          <w:u w:val="single"/>
        </w:rPr>
      </w:pPr>
      <w:r w:rsidRPr="00CA118B">
        <w:rPr>
          <w:b/>
          <w:u w:val="single"/>
        </w:rPr>
        <w:lastRenderedPageBreak/>
        <w:t>ECONOMIC DEVELOPMENT FUND</w:t>
      </w:r>
      <w:r>
        <w:rPr>
          <w:b/>
          <w:u w:val="single"/>
        </w:rPr>
        <w:t xml:space="preserve"> (ED FUND)</w:t>
      </w:r>
    </w:p>
    <w:p w14:paraId="2ACA07CF" w14:textId="77777777" w:rsidR="0041684E" w:rsidRDefault="0041684E" w:rsidP="0041684E">
      <w:pPr>
        <w:jc w:val="both"/>
      </w:pPr>
    </w:p>
    <w:p w14:paraId="239A55CF" w14:textId="77777777" w:rsidR="0041684E" w:rsidRPr="00CA118B" w:rsidRDefault="0041684E" w:rsidP="0041684E">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72DAB638" w14:textId="77777777" w:rsidR="0041684E" w:rsidRDefault="0041684E" w:rsidP="0041684E">
      <w:pPr>
        <w:rPr>
          <w:u w:val="single"/>
        </w:rPr>
      </w:pPr>
    </w:p>
    <w:p w14:paraId="4B8D823F" w14:textId="77777777" w:rsidR="0041684E" w:rsidRPr="00CA118B" w:rsidRDefault="0041684E" w:rsidP="0041684E">
      <w:pPr>
        <w:rPr>
          <w:b/>
          <w:u w:val="single"/>
        </w:rPr>
      </w:pPr>
      <w:r w:rsidRPr="00CA118B">
        <w:rPr>
          <w:b/>
          <w:u w:val="single"/>
        </w:rPr>
        <w:t>SECTION 108 LOAN GUARANTEES</w:t>
      </w:r>
    </w:p>
    <w:p w14:paraId="0ECA8720" w14:textId="77777777" w:rsidR="0041684E" w:rsidRDefault="0041684E" w:rsidP="0041684E">
      <w:pPr>
        <w:jc w:val="both"/>
      </w:pPr>
    </w:p>
    <w:p w14:paraId="0AAEA11B" w14:textId="77777777" w:rsidR="0041684E" w:rsidRPr="00CA118B" w:rsidRDefault="0041684E" w:rsidP="0041684E">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68675169" w14:textId="77777777" w:rsidR="0041684E" w:rsidRPr="00CA118B" w:rsidRDefault="0041684E" w:rsidP="0041684E">
      <w:pPr>
        <w:rPr>
          <w:u w:val="single"/>
        </w:rPr>
      </w:pPr>
    </w:p>
    <w:p w14:paraId="5EAB29B8" w14:textId="77777777" w:rsidR="0041684E" w:rsidRPr="00CA118B" w:rsidRDefault="0041684E" w:rsidP="0041684E">
      <w:pPr>
        <w:rPr>
          <w:b/>
          <w:u w:val="single"/>
        </w:rPr>
      </w:pPr>
      <w:r w:rsidRPr="00CA118B">
        <w:rPr>
          <w:b/>
          <w:u w:val="single"/>
        </w:rPr>
        <w:t>PLANNING FUND</w:t>
      </w:r>
    </w:p>
    <w:p w14:paraId="676C6C5B" w14:textId="77777777" w:rsidR="0041684E" w:rsidRDefault="0041684E" w:rsidP="0041684E">
      <w:pPr>
        <w:jc w:val="both"/>
      </w:pPr>
    </w:p>
    <w:p w14:paraId="4585CA35" w14:textId="77777777" w:rsidR="0041684E" w:rsidRPr="00CA118B" w:rsidRDefault="0041684E" w:rsidP="0041684E">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38AB235A" w14:textId="77777777" w:rsidR="0041684E" w:rsidRPr="00CA118B" w:rsidRDefault="0041684E" w:rsidP="0041684E"/>
    <w:p w14:paraId="18781435" w14:textId="77777777" w:rsidR="0041684E" w:rsidRPr="00CA118B" w:rsidRDefault="0041684E" w:rsidP="0041684E">
      <w:pPr>
        <w:rPr>
          <w:b/>
          <w:u w:val="single"/>
        </w:rPr>
      </w:pPr>
      <w:r w:rsidRPr="00CA118B">
        <w:rPr>
          <w:b/>
          <w:u w:val="single"/>
        </w:rPr>
        <w:t>COMMUNITY ENHANCEMENT FUND</w:t>
      </w:r>
    </w:p>
    <w:p w14:paraId="51ABE6EE" w14:textId="77777777" w:rsidR="0041684E" w:rsidRDefault="0041684E" w:rsidP="0041684E">
      <w:pPr>
        <w:jc w:val="both"/>
      </w:pPr>
    </w:p>
    <w:p w14:paraId="4AC722B5" w14:textId="77777777" w:rsidR="0041684E" w:rsidRPr="00CA118B" w:rsidRDefault="0041684E" w:rsidP="0041684E">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548B6952" w14:textId="77777777" w:rsidR="0041684E" w:rsidRPr="00CA118B" w:rsidRDefault="0041684E" w:rsidP="0041684E">
      <w:pPr>
        <w:rPr>
          <w:u w:val="single"/>
        </w:rPr>
      </w:pPr>
    </w:p>
    <w:p w14:paraId="03545A64" w14:textId="77777777" w:rsidR="0041684E" w:rsidRPr="00CA118B" w:rsidRDefault="0041684E" w:rsidP="0041684E">
      <w:pPr>
        <w:rPr>
          <w:b/>
          <w:u w:val="single"/>
        </w:rPr>
      </w:pPr>
      <w:r w:rsidRPr="00CA118B">
        <w:rPr>
          <w:b/>
          <w:u w:val="single"/>
        </w:rPr>
        <w:t>RECAPTURED FUND</w:t>
      </w:r>
    </w:p>
    <w:p w14:paraId="561C5B82" w14:textId="77777777" w:rsidR="0041684E" w:rsidRDefault="0041684E" w:rsidP="0041684E">
      <w:pPr>
        <w:jc w:val="both"/>
      </w:pPr>
    </w:p>
    <w:p w14:paraId="18EF7860" w14:textId="77777777" w:rsidR="0041684E" w:rsidRPr="00CA118B" w:rsidRDefault="0041684E" w:rsidP="0041684E">
      <w:pPr>
        <w:jc w:val="both"/>
      </w:pPr>
      <w:r w:rsidRPr="00CA118B">
        <w:t xml:space="preserve">This </w:t>
      </w:r>
      <w:r>
        <w:t>F</w:t>
      </w:r>
      <w:r w:rsidRPr="00CA118B">
        <w:t xml:space="preserve">und will consist of any funds returned to the State </w:t>
      </w:r>
      <w:r>
        <w:t xml:space="preserve">or de-obligated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35E9C5CE" w14:textId="77777777" w:rsidR="0041684E" w:rsidRPr="00CA118B" w:rsidRDefault="0041684E" w:rsidP="0041684E">
      <w:pPr>
        <w:jc w:val="both"/>
      </w:pPr>
    </w:p>
    <w:p w14:paraId="64563BE3" w14:textId="77777777" w:rsidR="0041684E" w:rsidRPr="00CA118B" w:rsidRDefault="0041684E" w:rsidP="0041684E">
      <w:pPr>
        <w:jc w:val="both"/>
      </w:pPr>
      <w:r w:rsidRPr="00CA118B">
        <w:t xml:space="preserve">In addition to the above, the Recaptured Fund may also be used to amend grants from any prior or current year grant when warranted by the circumstances presented to ADECA in the grantee's </w:t>
      </w:r>
      <w:r w:rsidRPr="00CA118B">
        <w:lastRenderedPageBreak/>
        <w:t xml:space="preserve">amendment request.  Such amendments may cause the original grant to exceed formerly applicable grant ceilings if </w:t>
      </w:r>
      <w:proofErr w:type="gramStart"/>
      <w:r w:rsidRPr="00CA118B">
        <w:t>necessary</w:t>
      </w:r>
      <w:proofErr w:type="gramEnd"/>
      <w:r w:rsidRPr="00CA118B">
        <w:t xml:space="preserve">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5B445B50" w14:textId="77777777" w:rsidR="0041684E" w:rsidRDefault="0041684E" w:rsidP="0041684E">
      <w:pPr>
        <w:rPr>
          <w:b/>
          <w:u w:val="single"/>
        </w:rPr>
      </w:pPr>
    </w:p>
    <w:p w14:paraId="687002D2" w14:textId="77777777" w:rsidR="0041684E" w:rsidRPr="00CA118B" w:rsidRDefault="0041684E" w:rsidP="0041684E">
      <w:pPr>
        <w:rPr>
          <w:b/>
          <w:u w:val="single"/>
        </w:rPr>
      </w:pPr>
      <w:r w:rsidRPr="00CA118B">
        <w:rPr>
          <w:b/>
          <w:u w:val="single"/>
        </w:rPr>
        <w:t>BLACK BELT REGION PROJECTS</w:t>
      </w:r>
    </w:p>
    <w:p w14:paraId="2C292EAC" w14:textId="77777777" w:rsidR="0041684E" w:rsidRDefault="0041684E" w:rsidP="0041684E">
      <w:pPr>
        <w:pStyle w:val="BodyText2"/>
        <w:spacing w:line="240" w:lineRule="auto"/>
        <w:jc w:val="both"/>
      </w:pPr>
    </w:p>
    <w:p w14:paraId="42F0440B" w14:textId="77777777" w:rsidR="0041684E" w:rsidRPr="00CA118B" w:rsidRDefault="0041684E" w:rsidP="0041684E">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166F1F62" w14:textId="77777777" w:rsidR="0041684E" w:rsidRPr="00CA118B" w:rsidRDefault="0041684E" w:rsidP="0041684E"/>
    <w:p w14:paraId="4013ADB8" w14:textId="77777777" w:rsidR="0041684E" w:rsidRPr="00CA118B" w:rsidRDefault="0041684E" w:rsidP="0041684E">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4DFC51BF" w14:textId="77777777" w:rsidR="0041684E" w:rsidRDefault="0041684E" w:rsidP="0041684E">
      <w:pPr>
        <w:jc w:val="both"/>
      </w:pPr>
    </w:p>
    <w:p w14:paraId="63D8E76C" w14:textId="77777777" w:rsidR="0041684E" w:rsidRPr="00CA118B" w:rsidRDefault="0041684E" w:rsidP="0041684E">
      <w:pPr>
        <w:rPr>
          <w:b/>
          <w:u w:val="single"/>
        </w:rPr>
      </w:pPr>
      <w:r w:rsidRPr="00CA118B">
        <w:rPr>
          <w:b/>
          <w:u w:val="single"/>
        </w:rPr>
        <w:t>URGENT NEED PROJECTS</w:t>
      </w:r>
    </w:p>
    <w:p w14:paraId="13330EAD" w14:textId="77777777" w:rsidR="0041684E" w:rsidRDefault="0041684E" w:rsidP="0041684E">
      <w:pPr>
        <w:jc w:val="both"/>
      </w:pPr>
    </w:p>
    <w:p w14:paraId="28C6C0AA" w14:textId="77777777" w:rsidR="0041684E" w:rsidRDefault="0041684E" w:rsidP="0041684E">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 xml:space="preserve">projects will not be subject to </w:t>
      </w:r>
      <w:proofErr w:type="gramStart"/>
      <w:r w:rsidRPr="00CA118B">
        <w:t>particular grant</w:t>
      </w:r>
      <w:proofErr w:type="gramEnd"/>
      <w:r w:rsidRPr="00CA118B">
        <w:t xml:space="preserve">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6BDA0DFA" w14:textId="77777777" w:rsidR="0041684E" w:rsidRPr="00CA118B" w:rsidRDefault="0041684E" w:rsidP="0041684E">
      <w:pPr>
        <w:jc w:val="both"/>
      </w:pPr>
    </w:p>
    <w:p w14:paraId="27570FF5" w14:textId="77777777" w:rsidR="0041684E" w:rsidRPr="00CA118B" w:rsidRDefault="0041684E" w:rsidP="0041684E">
      <w:pPr>
        <w:jc w:val="both"/>
        <w:rPr>
          <w:b/>
          <w:u w:val="single"/>
        </w:rPr>
      </w:pPr>
      <w:r w:rsidRPr="00CA118B">
        <w:rPr>
          <w:b/>
          <w:u w:val="single"/>
        </w:rPr>
        <w:t>JOINT PROJECTS</w:t>
      </w:r>
    </w:p>
    <w:p w14:paraId="520BDF47" w14:textId="77777777" w:rsidR="0041684E" w:rsidRDefault="0041684E" w:rsidP="0041684E">
      <w:pPr>
        <w:jc w:val="both"/>
      </w:pPr>
    </w:p>
    <w:p w14:paraId="2C818641" w14:textId="24846B84" w:rsidR="0041684E" w:rsidRDefault="0041684E" w:rsidP="0041684E">
      <w:pPr>
        <w:jc w:val="both"/>
      </w:pPr>
      <w:r w:rsidRPr="00CA118B">
        <w:t>The PY</w:t>
      </w:r>
      <w:r>
        <w:t>202</w:t>
      </w:r>
      <w:r w:rsidR="00022500">
        <w:t>1</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00082ED4" w14:textId="77777777" w:rsidR="0041684E" w:rsidRPr="00CA118B" w:rsidRDefault="0041684E" w:rsidP="0041684E">
      <w:pPr>
        <w:jc w:val="both"/>
      </w:pPr>
    </w:p>
    <w:p w14:paraId="54F92BDE" w14:textId="77777777" w:rsidR="0041684E" w:rsidRDefault="0041684E" w:rsidP="0041684E">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w:t>
      </w:r>
      <w:r w:rsidRPr="00CA118B">
        <w:lastRenderedPageBreak/>
        <w:t xml:space="preserve">applicable </w:t>
      </w:r>
      <w:r>
        <w:t>T</w:t>
      </w:r>
      <w:r w:rsidRPr="00CA118B">
        <w:t>hresholds.</w:t>
      </w:r>
    </w:p>
    <w:p w14:paraId="7614CDF8" w14:textId="77777777" w:rsidR="0041684E" w:rsidRDefault="0041684E" w:rsidP="0041684E">
      <w:pPr>
        <w:ind w:left="540" w:hanging="540"/>
        <w:jc w:val="both"/>
      </w:pPr>
    </w:p>
    <w:p w14:paraId="172EA745" w14:textId="6EC5E747" w:rsidR="0041684E" w:rsidRDefault="0041684E" w:rsidP="0041684E">
      <w:pPr>
        <w:ind w:left="540" w:hanging="540"/>
        <w:jc w:val="both"/>
      </w:pPr>
      <w:r w:rsidRPr="00CA118B">
        <w:t>2.</w:t>
      </w:r>
      <w:r w:rsidRPr="00CA118B">
        <w:tab/>
        <w:t xml:space="preserve">A project applying for a single grant will be considered a joint project if two or more communities benefit from a project and each </w:t>
      </w:r>
      <w:proofErr w:type="gramStart"/>
      <w:r w:rsidRPr="00CA118B">
        <w:t>accounts</w:t>
      </w:r>
      <w:proofErr w:type="gramEnd"/>
      <w:r w:rsidRPr="00CA118B">
        <w:t xml:space="preserve">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w:t>
      </w:r>
      <w:r w:rsidR="00682B43">
        <w:t>-income</w:t>
      </w:r>
      <w:r w:rsidRPr="00CA118B">
        <w:t xml:space="preserve"> and moderate</w:t>
      </w:r>
      <w:r w:rsidR="00682B43">
        <w:t>-</w:t>
      </w:r>
      <w:r w:rsidRPr="00CA118B">
        <w:t>income persons, and must become a party to a Memorandum of Understanding that delineates appropriate responsibilities.</w:t>
      </w:r>
    </w:p>
    <w:p w14:paraId="73D3C56D" w14:textId="77777777" w:rsidR="0041684E" w:rsidRDefault="0041684E" w:rsidP="0041684E">
      <w:pPr>
        <w:ind w:left="540" w:hanging="540"/>
        <w:jc w:val="both"/>
      </w:pPr>
    </w:p>
    <w:p w14:paraId="1E49CBC1" w14:textId="20790711" w:rsidR="0041684E" w:rsidRPr="00CA118B" w:rsidRDefault="0041684E" w:rsidP="0041684E">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w:t>
      </w:r>
      <w:r w:rsidR="00682B43">
        <w:t>-income</w:t>
      </w:r>
      <w:r w:rsidRPr="00CA118B">
        <w:t xml:space="preserve"> and moderate</w:t>
      </w:r>
      <w:r w:rsidR="00682B43">
        <w:t>-</w:t>
      </w:r>
      <w:r w:rsidRPr="00CA118B">
        <w:t>income persons, and become a party to a Memorandum of Understanding that delineates appropriate responsibilities.  For the purposes of grant administration, the State will permit one participating community to serve as lead applicant.</w:t>
      </w:r>
    </w:p>
    <w:p w14:paraId="101A66FC" w14:textId="77777777" w:rsidR="0041684E" w:rsidRPr="00CA118B" w:rsidRDefault="0041684E" w:rsidP="0041684E">
      <w:pPr>
        <w:tabs>
          <w:tab w:val="left" w:pos="432"/>
        </w:tabs>
        <w:ind w:left="540" w:hanging="540"/>
        <w:jc w:val="both"/>
      </w:pPr>
    </w:p>
    <w:p w14:paraId="5FED8A0B" w14:textId="77777777" w:rsidR="0041684E" w:rsidRPr="00CA118B" w:rsidRDefault="0041684E" w:rsidP="0041684E">
      <w:pPr>
        <w:tabs>
          <w:tab w:val="left" w:pos="432"/>
        </w:tabs>
        <w:jc w:val="both"/>
      </w:pPr>
      <w:r w:rsidRPr="00CA118B">
        <w:t xml:space="preserve">The State will use a </w:t>
      </w:r>
      <w:proofErr w:type="gramStart"/>
      <w:r w:rsidRPr="00CA118B">
        <w:t>common sense</w:t>
      </w:r>
      <w:proofErr w:type="gramEnd"/>
      <w:r w:rsidRPr="00CA118B">
        <w:t xml:space="preserv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36D5A030" w14:textId="77777777" w:rsidR="0041684E" w:rsidRDefault="0041684E" w:rsidP="0041684E">
      <w:pPr>
        <w:jc w:val="both"/>
      </w:pPr>
    </w:p>
    <w:p w14:paraId="0EA8824E" w14:textId="77777777" w:rsidR="0041684E" w:rsidRPr="00CA118B" w:rsidRDefault="0041684E" w:rsidP="0041684E">
      <w:pPr>
        <w:rPr>
          <w:b/>
          <w:u w:val="single"/>
        </w:rPr>
      </w:pPr>
      <w:r w:rsidRPr="00CA118B">
        <w:rPr>
          <w:b/>
          <w:u w:val="single"/>
        </w:rPr>
        <w:t>STATE ADMINISTRATI</w:t>
      </w:r>
      <w:r>
        <w:rPr>
          <w:b/>
          <w:u w:val="single"/>
        </w:rPr>
        <w:t>ON/PLANNING</w:t>
      </w:r>
    </w:p>
    <w:p w14:paraId="719BB051" w14:textId="77777777" w:rsidR="0041684E" w:rsidRDefault="0041684E" w:rsidP="0041684E">
      <w:pPr>
        <w:jc w:val="both"/>
      </w:pPr>
    </w:p>
    <w:p w14:paraId="7CC8064A" w14:textId="77777777" w:rsidR="0041684E" w:rsidRPr="00CA118B" w:rsidRDefault="0041684E" w:rsidP="0041684E">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229612B2" w14:textId="77777777" w:rsidR="0041684E" w:rsidRPr="00CA118B" w:rsidRDefault="0041684E" w:rsidP="0041684E">
      <w:pPr>
        <w:jc w:val="both"/>
      </w:pPr>
    </w:p>
    <w:p w14:paraId="7257EB69" w14:textId="77777777" w:rsidR="0041684E" w:rsidRPr="00CA118B" w:rsidRDefault="0041684E" w:rsidP="0041684E">
      <w:pPr>
        <w:rPr>
          <w:b/>
          <w:u w:val="single"/>
        </w:rPr>
      </w:pPr>
      <w:r w:rsidRPr="00CA118B">
        <w:rPr>
          <w:b/>
          <w:u w:val="single"/>
        </w:rPr>
        <w:t>STATE TECHNICAL ASSISTANCE FUND</w:t>
      </w:r>
    </w:p>
    <w:p w14:paraId="31EF168D" w14:textId="77777777" w:rsidR="0041684E" w:rsidRDefault="0041684E" w:rsidP="0041684E">
      <w:pPr>
        <w:jc w:val="both"/>
      </w:pPr>
    </w:p>
    <w:p w14:paraId="3C40FF5B" w14:textId="77777777" w:rsidR="0041684E" w:rsidRPr="00CA118B" w:rsidRDefault="0041684E" w:rsidP="0041684E">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 an</w:t>
      </w:r>
      <w:r>
        <w:t>d for other eligible purposes.  The State Technical Assistance Fund may also be used for the State Administration.</w:t>
      </w:r>
    </w:p>
    <w:p w14:paraId="2491219F" w14:textId="55459572" w:rsidR="0041684E" w:rsidRDefault="0041684E" w:rsidP="0041684E">
      <w:pPr>
        <w:rPr>
          <w:u w:val="single"/>
        </w:rPr>
      </w:pPr>
    </w:p>
    <w:p w14:paraId="698312F3" w14:textId="77777777" w:rsidR="004B1F31" w:rsidRDefault="004B1F31" w:rsidP="0041684E">
      <w:pPr>
        <w:rPr>
          <w:u w:val="single"/>
        </w:rPr>
      </w:pPr>
    </w:p>
    <w:p w14:paraId="6EC3A940" w14:textId="77777777" w:rsidR="0041684E" w:rsidRPr="00CA118B" w:rsidRDefault="0041684E" w:rsidP="0041684E">
      <w:pPr>
        <w:jc w:val="center"/>
        <w:rPr>
          <w:b/>
          <w:u w:val="single"/>
        </w:rPr>
      </w:pPr>
      <w:r w:rsidRPr="00CA118B">
        <w:rPr>
          <w:b/>
          <w:u w:val="single"/>
        </w:rPr>
        <w:t>GRANT CEILINGS AND MINIMUMS</w:t>
      </w:r>
    </w:p>
    <w:p w14:paraId="6340E9F1" w14:textId="77777777" w:rsidR="0041684E" w:rsidRPr="00CA118B" w:rsidRDefault="0041684E" w:rsidP="0041684E">
      <w:pPr>
        <w:rPr>
          <w:b/>
          <w:u w:val="single"/>
        </w:rPr>
      </w:pPr>
    </w:p>
    <w:p w14:paraId="4C5BBFC1" w14:textId="77777777" w:rsidR="0041684E" w:rsidRDefault="0041684E" w:rsidP="0041684E">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60A767C8" w14:textId="77777777" w:rsidR="0041684E" w:rsidRPr="002424F1" w:rsidRDefault="0041684E" w:rsidP="0041684E">
      <w:pPr>
        <w:tabs>
          <w:tab w:val="left" w:pos="4680"/>
        </w:tabs>
        <w:ind w:left="720"/>
        <w:jc w:val="both"/>
        <w:rPr>
          <w:b/>
          <w:u w:val="single"/>
        </w:rPr>
      </w:pPr>
      <w:r w:rsidRPr="002424F1">
        <w:rPr>
          <w:b/>
          <w:u w:val="single"/>
        </w:rPr>
        <w:lastRenderedPageBreak/>
        <w:t>FUND</w:t>
      </w:r>
      <w:r w:rsidRPr="001A1500">
        <w:tab/>
      </w:r>
      <w:r w:rsidRPr="002424F1">
        <w:rPr>
          <w:b/>
          <w:u w:val="single"/>
        </w:rPr>
        <w:t>CEILING/MINIMUM</w:t>
      </w:r>
    </w:p>
    <w:p w14:paraId="11454956" w14:textId="161D8491" w:rsidR="0041684E" w:rsidRDefault="0041684E" w:rsidP="0041684E">
      <w:pPr>
        <w:tabs>
          <w:tab w:val="right" w:pos="6660"/>
        </w:tabs>
        <w:ind w:left="720"/>
        <w:jc w:val="both"/>
      </w:pPr>
      <w:r>
        <w:t>County Fund</w:t>
      </w:r>
      <w:r>
        <w:tab/>
        <w:t>$</w:t>
      </w:r>
      <w:r w:rsidR="00034C57">
        <w:t>40</w:t>
      </w:r>
      <w:r>
        <w:t>0,000 Ceiling</w:t>
      </w:r>
    </w:p>
    <w:p w14:paraId="2A1B2E60" w14:textId="3ADBF20D" w:rsidR="0041684E" w:rsidRDefault="0041684E" w:rsidP="0041684E">
      <w:pPr>
        <w:tabs>
          <w:tab w:val="right" w:pos="6660"/>
        </w:tabs>
        <w:ind w:left="720"/>
        <w:jc w:val="both"/>
      </w:pPr>
      <w:r>
        <w:t>Large City Fund</w:t>
      </w:r>
      <w:r>
        <w:tab/>
        <w:t>$5</w:t>
      </w:r>
      <w:r w:rsidR="00034C57">
        <w:t>0</w:t>
      </w:r>
      <w:r>
        <w:t>0,000 Ceiling</w:t>
      </w:r>
    </w:p>
    <w:p w14:paraId="6FCEF350" w14:textId="77777777" w:rsidR="0041684E" w:rsidRDefault="0041684E" w:rsidP="0041684E">
      <w:pPr>
        <w:tabs>
          <w:tab w:val="right" w:pos="6660"/>
        </w:tabs>
        <w:ind w:left="720"/>
        <w:jc w:val="both"/>
      </w:pPr>
      <w:r>
        <w:t>Small City Fund</w:t>
      </w:r>
      <w:r>
        <w:tab/>
        <w:t>$350,000 Ceiling</w:t>
      </w:r>
    </w:p>
    <w:p w14:paraId="7159271D" w14:textId="7988C196" w:rsidR="0041684E" w:rsidRDefault="0041684E" w:rsidP="0041684E">
      <w:pPr>
        <w:tabs>
          <w:tab w:val="left" w:pos="4230"/>
        </w:tabs>
        <w:ind w:left="720"/>
        <w:jc w:val="both"/>
      </w:pPr>
      <w:r>
        <w:t>Community Enhancement Fund</w:t>
      </w:r>
      <w:r>
        <w:tab/>
        <w:t>$</w:t>
      </w:r>
      <w:r w:rsidR="00AA72AA">
        <w:t>30</w:t>
      </w:r>
      <w:r>
        <w:t>0,000 Ceiling/$50,000 Minimum</w:t>
      </w:r>
    </w:p>
    <w:p w14:paraId="043E88D6" w14:textId="77777777" w:rsidR="0041684E" w:rsidRDefault="0041684E" w:rsidP="0041684E">
      <w:pPr>
        <w:tabs>
          <w:tab w:val="right" w:pos="6660"/>
        </w:tabs>
        <w:ind w:left="720"/>
        <w:jc w:val="both"/>
      </w:pPr>
      <w:r>
        <w:t>Planning Fund</w:t>
      </w:r>
      <w:r>
        <w:tab/>
        <w:t xml:space="preserve"> $40,000 Ceiling</w:t>
      </w:r>
    </w:p>
    <w:p w14:paraId="6E14329C" w14:textId="77777777" w:rsidR="0041684E" w:rsidRDefault="0041684E" w:rsidP="0041684E">
      <w:pPr>
        <w:tabs>
          <w:tab w:val="right" w:pos="6660"/>
        </w:tabs>
        <w:ind w:left="720"/>
        <w:jc w:val="both"/>
      </w:pPr>
      <w:r>
        <w:t>Section 108 Loan Guarantees</w:t>
      </w:r>
      <w:r>
        <w:tab/>
        <w:t xml:space="preserve">$10,000,000 Maximum </w:t>
      </w:r>
    </w:p>
    <w:p w14:paraId="17E685B5" w14:textId="77777777" w:rsidR="0041684E" w:rsidRDefault="0041684E" w:rsidP="0041684E">
      <w:pPr>
        <w:tabs>
          <w:tab w:val="right" w:pos="6660"/>
        </w:tabs>
        <w:ind w:left="720"/>
        <w:jc w:val="both"/>
      </w:pPr>
    </w:p>
    <w:p w14:paraId="01A42E20" w14:textId="77777777" w:rsidR="0041684E" w:rsidRPr="002424F1" w:rsidRDefault="0041684E" w:rsidP="0041684E">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128A2C0A" w14:textId="33C57F06" w:rsidR="0041684E" w:rsidRDefault="0041684E" w:rsidP="0041684E">
      <w:pPr>
        <w:tabs>
          <w:tab w:val="right" w:pos="5580"/>
          <w:tab w:val="right" w:pos="7740"/>
        </w:tabs>
        <w:ind w:left="720"/>
        <w:jc w:val="both"/>
      </w:pPr>
      <w:r>
        <w:t>ED Grants</w:t>
      </w:r>
      <w:r>
        <w:tab/>
        <w:t>$50,000</w:t>
      </w:r>
      <w:r>
        <w:tab/>
        <w:t>$</w:t>
      </w:r>
      <w:r w:rsidR="00241195">
        <w:t>4</w:t>
      </w:r>
      <w:r>
        <w:t>00,000</w:t>
      </w:r>
    </w:p>
    <w:p w14:paraId="59C827C4" w14:textId="7288A629" w:rsidR="0041684E" w:rsidRDefault="0041684E" w:rsidP="0041684E">
      <w:pPr>
        <w:tabs>
          <w:tab w:val="right" w:pos="5580"/>
          <w:tab w:val="right" w:pos="7740"/>
        </w:tabs>
        <w:ind w:left="720"/>
        <w:jc w:val="both"/>
      </w:pPr>
      <w:r>
        <w:t>ED Incubator</w:t>
      </w:r>
      <w:r>
        <w:tab/>
        <w:t>$50,000</w:t>
      </w:r>
      <w:r>
        <w:tab/>
        <w:t>$</w:t>
      </w:r>
      <w:r w:rsidR="00241195">
        <w:t>40</w:t>
      </w:r>
      <w:r>
        <w:t>0,000</w:t>
      </w:r>
    </w:p>
    <w:p w14:paraId="6EAA6F04" w14:textId="77777777" w:rsidR="0041684E" w:rsidRDefault="0041684E" w:rsidP="0041684E">
      <w:pPr>
        <w:tabs>
          <w:tab w:val="right" w:pos="5580"/>
          <w:tab w:val="right" w:pos="7740"/>
        </w:tabs>
        <w:ind w:left="720"/>
        <w:jc w:val="both"/>
      </w:pPr>
      <w:r>
        <w:t>ED Loans</w:t>
      </w:r>
      <w:r>
        <w:tab/>
        <w:t>$50,000</w:t>
      </w:r>
      <w:r>
        <w:tab/>
        <w:t>$250,000</w:t>
      </w:r>
    </w:p>
    <w:p w14:paraId="1B71E8B0" w14:textId="77777777" w:rsidR="0041684E" w:rsidRPr="00CA118B" w:rsidRDefault="0041684E" w:rsidP="0041684E">
      <w:pPr>
        <w:tabs>
          <w:tab w:val="right" w:pos="5580"/>
          <w:tab w:val="right" w:pos="7740"/>
        </w:tabs>
        <w:ind w:left="720"/>
        <w:jc w:val="both"/>
      </w:pPr>
      <w:r>
        <w:t>ED Float Loans</w:t>
      </w:r>
      <w:r>
        <w:tab/>
        <w:t>$1,000,000</w:t>
      </w:r>
      <w:r>
        <w:tab/>
        <w:t>$10,000,000</w:t>
      </w:r>
    </w:p>
    <w:p w14:paraId="7BF861B4" w14:textId="77777777" w:rsidR="0041684E" w:rsidRDefault="0041684E" w:rsidP="0041684E">
      <w:pPr>
        <w:tabs>
          <w:tab w:val="left" w:pos="3600"/>
        </w:tabs>
        <w:rPr>
          <w:u w:val="single"/>
        </w:rPr>
      </w:pPr>
    </w:p>
    <w:p w14:paraId="02C93852" w14:textId="77777777" w:rsidR="0041684E" w:rsidRPr="006B4576" w:rsidRDefault="0041684E" w:rsidP="0041684E">
      <w:pPr>
        <w:rPr>
          <w:sz w:val="2"/>
          <w:szCs w:val="2"/>
        </w:rPr>
      </w:pPr>
    </w:p>
    <w:p w14:paraId="7C825410" w14:textId="77777777" w:rsidR="0041684E" w:rsidRPr="00CA118B" w:rsidRDefault="0041684E" w:rsidP="0041684E">
      <w:pPr>
        <w:rPr>
          <w:b/>
          <w:u w:val="single"/>
        </w:rPr>
      </w:pPr>
      <w:r w:rsidRPr="00CA118B">
        <w:rPr>
          <w:b/>
          <w:u w:val="single"/>
        </w:rPr>
        <w:t>NOTE:</w:t>
      </w:r>
    </w:p>
    <w:p w14:paraId="5D125ADA" w14:textId="42AAB639" w:rsidR="0041684E" w:rsidRDefault="0041684E" w:rsidP="0041684E">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 xml:space="preserve">ceilings may be modified </w:t>
      </w:r>
      <w:proofErr w:type="gramStart"/>
      <w:r w:rsidRPr="00CA118B">
        <w:t>in order to</w:t>
      </w:r>
      <w:proofErr w:type="gramEnd"/>
      <w:r w:rsidRPr="00CA118B">
        <w:t xml:space="preserve"> maintain program integrity.</w:t>
      </w:r>
    </w:p>
    <w:p w14:paraId="5F395213" w14:textId="77777777" w:rsidR="003777EE" w:rsidRDefault="003777EE" w:rsidP="0041684E">
      <w:pPr>
        <w:rPr>
          <w:u w:val="single"/>
        </w:rPr>
      </w:pPr>
    </w:p>
    <w:p w14:paraId="243437A3" w14:textId="77777777" w:rsidR="0041684E" w:rsidRPr="00904052" w:rsidRDefault="0041684E" w:rsidP="0041684E">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024724E9" w14:textId="77777777" w:rsidR="0041684E" w:rsidRPr="00CA118B" w:rsidRDefault="0041684E" w:rsidP="0041684E"/>
    <w:p w14:paraId="7E5FB710" w14:textId="10EE686A" w:rsidR="0041684E" w:rsidRPr="00CA118B" w:rsidRDefault="0041684E" w:rsidP="0041684E">
      <w:pPr>
        <w:jc w:val="both"/>
      </w:pPr>
      <w:bookmarkStart w:id="0" w:name="_Hlk515370613"/>
      <w:r w:rsidRPr="00CA118B">
        <w:t xml:space="preserve">The following thresholds will apply to communities </w:t>
      </w:r>
      <w:r>
        <w:t xml:space="preserve">seeking </w:t>
      </w:r>
      <w:r w:rsidRPr="00CA118B">
        <w:t>to apply for PY</w:t>
      </w:r>
      <w:r>
        <w:t>202</w:t>
      </w:r>
      <w:r w:rsidR="00022500">
        <w:t>1</w:t>
      </w:r>
      <w:r w:rsidRPr="00CA118B">
        <w:t xml:space="preserve"> </w:t>
      </w:r>
      <w:r>
        <w:t xml:space="preserve">CDBG </w:t>
      </w:r>
      <w:r w:rsidRPr="00CA118B">
        <w:t>funds:</w:t>
      </w:r>
    </w:p>
    <w:p w14:paraId="38FED867" w14:textId="77777777" w:rsidR="0041684E" w:rsidRPr="00CA118B" w:rsidRDefault="0041684E" w:rsidP="0041684E">
      <w:pPr>
        <w:jc w:val="both"/>
      </w:pPr>
    </w:p>
    <w:p w14:paraId="23C0AE14" w14:textId="16E5FCCD" w:rsidR="0041684E" w:rsidRPr="00787A26" w:rsidRDefault="0041684E" w:rsidP="0041684E">
      <w:pPr>
        <w:ind w:left="540" w:hanging="540"/>
        <w:jc w:val="both"/>
      </w:pPr>
      <w:r w:rsidRPr="00992BDD">
        <w:t>1.</w:t>
      </w:r>
      <w:r w:rsidRPr="00992BDD">
        <w:tab/>
      </w:r>
      <w:r w:rsidRPr="00787A26">
        <w:t>Cities and Counties with an open Economic Development Fund or Planning Fund PY201</w:t>
      </w:r>
      <w:r w:rsidR="0037625A">
        <w:t>8</w:t>
      </w:r>
      <w:r w:rsidRPr="00787A26">
        <w:t xml:space="preserve"> or earlier grant funded in calendar year 201</w:t>
      </w:r>
      <w:r w:rsidR="0037625A">
        <w:t>8</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022500">
        <w:t>1</w:t>
      </w:r>
      <w:r w:rsidRPr="00787A26">
        <w:t xml:space="preserve"> CDBG funds except for the Economic Development Fund.”</w:t>
      </w:r>
    </w:p>
    <w:p w14:paraId="31E2F3C2" w14:textId="77777777" w:rsidR="0041684E" w:rsidRPr="00787A26" w:rsidRDefault="0041684E" w:rsidP="0041684E">
      <w:pPr>
        <w:ind w:left="540" w:hanging="540"/>
        <w:jc w:val="both"/>
      </w:pPr>
    </w:p>
    <w:p w14:paraId="6AAE1FAF" w14:textId="29470DE4" w:rsidR="0041684E" w:rsidRPr="00CA118B" w:rsidRDefault="0041684E" w:rsidP="0041684E">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022500">
        <w:t>1</w:t>
      </w:r>
      <w:r w:rsidRPr="00787A26">
        <w:t xml:space="preserve"> CDBG funds except for the Economic Development Fund.”</w:t>
      </w:r>
    </w:p>
    <w:p w14:paraId="35025DFB" w14:textId="77777777" w:rsidR="0041684E" w:rsidRDefault="0041684E" w:rsidP="0041684E">
      <w:pPr>
        <w:ind w:left="540" w:hanging="540"/>
        <w:jc w:val="both"/>
      </w:pPr>
    </w:p>
    <w:p w14:paraId="36DC451E" w14:textId="77777777" w:rsidR="0041684E" w:rsidRDefault="0041684E" w:rsidP="0041684E">
      <w:pPr>
        <w:ind w:left="540" w:hanging="540"/>
        <w:jc w:val="both"/>
      </w:pPr>
      <w:r w:rsidRPr="00CA118B">
        <w:t>3.</w:t>
      </w:r>
      <w:r w:rsidRPr="00CA118B">
        <w:tab/>
      </w:r>
      <w:bookmarkStart w:id="1" w:name="Start_Here_semi_colon"/>
      <w:bookmarkEnd w:id="1"/>
      <w:r w:rsidRPr="00CA118B">
        <w:t>Cities and Counties that have applied unsuccessfully for an eligible project three consecutive years will recei</w:t>
      </w:r>
      <w:r>
        <w:t>ve an additional consideration.</w:t>
      </w:r>
    </w:p>
    <w:p w14:paraId="3B546F0F" w14:textId="77777777" w:rsidR="0041684E" w:rsidRDefault="0041684E" w:rsidP="0041684E">
      <w:pPr>
        <w:ind w:left="540" w:hanging="540"/>
        <w:jc w:val="both"/>
      </w:pPr>
    </w:p>
    <w:p w14:paraId="31356027" w14:textId="77777777" w:rsidR="0041684E" w:rsidRPr="00CA118B" w:rsidRDefault="0041684E" w:rsidP="0041684E">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67B67981" w14:textId="77777777" w:rsidR="0041684E" w:rsidRPr="00CA118B" w:rsidRDefault="0041684E" w:rsidP="0041684E">
      <w:pPr>
        <w:jc w:val="both"/>
      </w:pPr>
    </w:p>
    <w:p w14:paraId="5E6032B0" w14:textId="77777777" w:rsidR="0041684E" w:rsidRDefault="0041684E" w:rsidP="0041684E">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w:t>
      </w:r>
      <w:r w:rsidRPr="00CA118B">
        <w:lastRenderedPageBreak/>
        <w:t xml:space="preserve">determined that repayments due </w:t>
      </w:r>
      <w:r>
        <w:t xml:space="preserve">to </w:t>
      </w:r>
      <w:r w:rsidRPr="00CA118B">
        <w:t>the State are secured by an appropriate security instrument, stream of income, or other adequate measures.</w:t>
      </w:r>
    </w:p>
    <w:p w14:paraId="2B856833" w14:textId="77777777" w:rsidR="0041684E" w:rsidRDefault="0041684E" w:rsidP="0041684E">
      <w:pPr>
        <w:ind w:left="540" w:hanging="540"/>
        <w:jc w:val="both"/>
      </w:pPr>
    </w:p>
    <w:p w14:paraId="37FB3356" w14:textId="77777777" w:rsidR="0041684E" w:rsidRDefault="0041684E" w:rsidP="0041684E">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3AED36AB" w14:textId="77777777" w:rsidR="0041684E" w:rsidRPr="00CA118B" w:rsidRDefault="0041684E" w:rsidP="0041684E">
      <w:pPr>
        <w:ind w:left="540" w:hanging="540"/>
        <w:jc w:val="both"/>
      </w:pPr>
    </w:p>
    <w:p w14:paraId="39572273" w14:textId="77777777" w:rsidR="0041684E" w:rsidRPr="00CA118B" w:rsidRDefault="0041684E" w:rsidP="0041684E">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5ED177EF" w14:textId="77777777" w:rsidR="0041684E" w:rsidRPr="00CA118B" w:rsidRDefault="0041684E" w:rsidP="0041684E">
      <w:pPr>
        <w:ind w:left="540" w:hanging="540"/>
        <w:jc w:val="both"/>
      </w:pPr>
    </w:p>
    <w:p w14:paraId="24F2E3B8" w14:textId="77777777" w:rsidR="0041684E" w:rsidRPr="00CA118B" w:rsidRDefault="0041684E" w:rsidP="0041684E">
      <w:pPr>
        <w:ind w:left="540" w:hanging="540"/>
        <w:jc w:val="both"/>
      </w:pPr>
      <w:r w:rsidRPr="00CA118B">
        <w:t>8.</w:t>
      </w:r>
      <w:r w:rsidRPr="00CA118B">
        <w:tab/>
        <w:t>Applicants must demonstrate the ability to maintain any facilities funded under the CDBG Program.</w:t>
      </w:r>
    </w:p>
    <w:p w14:paraId="1516BFCC" w14:textId="77777777" w:rsidR="0041684E" w:rsidRPr="00CA118B" w:rsidRDefault="0041684E" w:rsidP="0041684E">
      <w:pPr>
        <w:ind w:left="540" w:hanging="540"/>
        <w:jc w:val="both"/>
      </w:pPr>
    </w:p>
    <w:p w14:paraId="24C8A032" w14:textId="77777777" w:rsidR="0041684E" w:rsidRPr="00CA118B" w:rsidRDefault="0041684E" w:rsidP="0041684E">
      <w:pPr>
        <w:ind w:left="540" w:hanging="540"/>
        <w:jc w:val="both"/>
      </w:pPr>
      <w:r w:rsidRPr="00CA118B">
        <w:t>9.</w:t>
      </w:r>
      <w:r w:rsidRPr="00CA118B">
        <w:tab/>
        <w:t>An applicant must not have been deemed by the State to lack capacity to carry out a CDBG project.</w:t>
      </w:r>
    </w:p>
    <w:p w14:paraId="3FB662A6" w14:textId="77777777" w:rsidR="0041684E" w:rsidRPr="00CA118B" w:rsidRDefault="0041684E" w:rsidP="0041684E">
      <w:pPr>
        <w:ind w:left="540" w:hanging="540"/>
        <w:jc w:val="both"/>
      </w:pPr>
    </w:p>
    <w:p w14:paraId="52F354E4" w14:textId="77777777" w:rsidR="0041684E" w:rsidRPr="00CA118B" w:rsidRDefault="0041684E" w:rsidP="0041684E">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5C0C9FD2" w14:textId="77777777" w:rsidR="0041684E" w:rsidRPr="00CA118B" w:rsidRDefault="0041684E" w:rsidP="0041684E">
      <w:pPr>
        <w:ind w:left="540" w:hanging="540"/>
        <w:jc w:val="both"/>
      </w:pPr>
    </w:p>
    <w:p w14:paraId="6B5C11D4" w14:textId="77777777" w:rsidR="0041684E" w:rsidRPr="00CA118B" w:rsidRDefault="0041684E" w:rsidP="0041684E">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4624EA5A" w14:textId="77777777" w:rsidR="0041684E" w:rsidRDefault="0041684E" w:rsidP="0041684E">
      <w:pPr>
        <w:ind w:left="720" w:hanging="720"/>
        <w:jc w:val="both"/>
      </w:pPr>
      <w:bookmarkStart w:id="2" w:name="_Hlk515370731"/>
    </w:p>
    <w:bookmarkEnd w:id="0"/>
    <w:p w14:paraId="44966410" w14:textId="77777777" w:rsidR="0041684E" w:rsidRPr="00CA118B" w:rsidRDefault="0041684E" w:rsidP="0041684E">
      <w:pPr>
        <w:ind w:left="720" w:hanging="720"/>
        <w:jc w:val="both"/>
        <w:rPr>
          <w:b/>
          <w:u w:val="single"/>
        </w:rPr>
      </w:pPr>
      <w:r w:rsidRPr="00CA118B">
        <w:rPr>
          <w:b/>
          <w:u w:val="single"/>
        </w:rPr>
        <w:t>NOTES:</w:t>
      </w:r>
    </w:p>
    <w:p w14:paraId="3392E114" w14:textId="77777777" w:rsidR="0041684E" w:rsidRPr="00CA118B" w:rsidRDefault="0041684E" w:rsidP="0041684E">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 funds retained for administrative/engineering costs will be considered when determining grant closeout dates.</w:t>
      </w:r>
    </w:p>
    <w:p w14:paraId="24D19069" w14:textId="77777777" w:rsidR="0041684E" w:rsidRDefault="0041684E" w:rsidP="0041684E">
      <w:pPr>
        <w:ind w:left="540" w:hanging="540"/>
        <w:jc w:val="both"/>
      </w:pPr>
    </w:p>
    <w:p w14:paraId="169DE550" w14:textId="6A536920" w:rsidR="0041684E" w:rsidRPr="00CA118B" w:rsidRDefault="0041684E" w:rsidP="0041684E">
      <w:pPr>
        <w:ind w:left="540" w:hanging="540"/>
        <w:jc w:val="both"/>
      </w:pPr>
      <w:r w:rsidRPr="004460CA">
        <w:t>2.</w:t>
      </w:r>
      <w:r w:rsidRPr="004460CA">
        <w:tab/>
        <w:t xml:space="preserve">Grants funded by special HUD allocations for programs such as </w:t>
      </w:r>
      <w:r w:rsidR="00A55E12">
        <w:t>coronavirus (COVID)</w:t>
      </w:r>
      <w:r w:rsidR="00C70263">
        <w:t xml:space="preserve"> and other infectious diseases, </w:t>
      </w:r>
      <w:r w:rsidRPr="004460CA">
        <w:t>disasters, neighborhood stabilization (NSP), or recovery (CDBG-R) will not prohibit jurisdictions from applying for PY202</w:t>
      </w:r>
      <w:r w:rsidR="00022500" w:rsidRPr="004460CA">
        <w:t>1</w:t>
      </w:r>
      <w:r w:rsidRPr="004460CA">
        <w:t xml:space="preserve"> CDBG funds.</w:t>
      </w:r>
    </w:p>
    <w:p w14:paraId="4D2372B7" w14:textId="4BEAF9FE" w:rsidR="0041684E" w:rsidRDefault="0041684E" w:rsidP="0041684E">
      <w:pPr>
        <w:ind w:left="540" w:hanging="540"/>
        <w:jc w:val="both"/>
      </w:pPr>
      <w:r w:rsidRPr="00CA118B">
        <w:t>3.</w:t>
      </w:r>
      <w:r w:rsidRPr="00CA118B">
        <w:tab/>
        <w:t xml:space="preserve">For any issue or subject not addressed in this </w:t>
      </w:r>
      <w:r>
        <w:t>PY202</w:t>
      </w:r>
      <w:r w:rsidR="00022500">
        <w:t>1</w:t>
      </w:r>
      <w:r>
        <w:t xml:space="preserve">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108553BA" w14:textId="77777777" w:rsidR="00B756A5" w:rsidRDefault="00B756A5" w:rsidP="0041684E">
      <w:pPr>
        <w:ind w:left="540" w:hanging="540"/>
        <w:jc w:val="both"/>
      </w:pPr>
    </w:p>
    <w:bookmarkEnd w:id="2"/>
    <w:p w14:paraId="409DE31D" w14:textId="77777777" w:rsidR="0041684E" w:rsidRDefault="0041684E" w:rsidP="0041684E">
      <w:pPr>
        <w:jc w:val="center"/>
        <w:rPr>
          <w:b/>
          <w:u w:val="single"/>
        </w:rPr>
      </w:pPr>
      <w:r>
        <w:rPr>
          <w:b/>
          <w:u w:val="single"/>
        </w:rPr>
        <w:lastRenderedPageBreak/>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41E9526" w14:textId="77777777" w:rsidR="0041684E" w:rsidRPr="00CA118B" w:rsidRDefault="0041684E" w:rsidP="0041684E">
      <w:pPr>
        <w:jc w:val="center"/>
        <w:rPr>
          <w:b/>
          <w:u w:val="single"/>
        </w:rPr>
      </w:pPr>
      <w:r w:rsidRPr="00CA118B">
        <w:rPr>
          <w:b/>
          <w:u w:val="single"/>
        </w:rPr>
        <w:t xml:space="preserve">COMPETITIVE </w:t>
      </w:r>
      <w:r>
        <w:rPr>
          <w:b/>
          <w:u w:val="single"/>
        </w:rPr>
        <w:t>PROCESS</w:t>
      </w:r>
    </w:p>
    <w:p w14:paraId="244C7C78" w14:textId="77777777" w:rsidR="0041684E" w:rsidRPr="00CA118B" w:rsidRDefault="0041684E" w:rsidP="0041684E">
      <w:pPr>
        <w:rPr>
          <w:b/>
          <w:u w:val="single"/>
        </w:rPr>
      </w:pPr>
    </w:p>
    <w:p w14:paraId="254FBAC6" w14:textId="77777777" w:rsidR="0041684E" w:rsidRPr="00CA118B" w:rsidRDefault="0041684E" w:rsidP="0041684E">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7EBCF3BA" w14:textId="77777777" w:rsidR="0041684E" w:rsidRDefault="0041684E" w:rsidP="0041684E">
      <w:pPr>
        <w:jc w:val="both"/>
      </w:pPr>
    </w:p>
    <w:p w14:paraId="31DF1072" w14:textId="77777777" w:rsidR="0041684E" w:rsidRPr="00CA118B" w:rsidRDefault="0041684E" w:rsidP="0041684E">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5586B237" w14:textId="77777777" w:rsidR="0041684E" w:rsidRDefault="0041684E" w:rsidP="0041684E"/>
    <w:p w14:paraId="2B6FC8CA" w14:textId="77777777" w:rsidR="0041684E" w:rsidRPr="00056F59" w:rsidRDefault="0041684E" w:rsidP="0041684E">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7A76BAEE" w14:textId="77777777" w:rsidR="0041684E" w:rsidRPr="00CA118B" w:rsidRDefault="0041684E" w:rsidP="0041684E"/>
    <w:p w14:paraId="37EE3C97" w14:textId="77777777" w:rsidR="0041684E" w:rsidRPr="00CA118B" w:rsidRDefault="0041684E" w:rsidP="0041684E">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w:t>
      </w:r>
      <w:proofErr w:type="gramStart"/>
      <w:r w:rsidRPr="00CA118B">
        <w:t>in a given</w:t>
      </w:r>
      <w:proofErr w:type="gramEnd"/>
      <w:r w:rsidRPr="00CA118B">
        <w:t xml:space="preserve">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499737B5" w14:textId="77777777" w:rsidR="0041684E" w:rsidRDefault="0041684E" w:rsidP="0041684E"/>
    <w:p w14:paraId="49410633" w14:textId="77777777" w:rsidR="0041684E" w:rsidRPr="001A1500" w:rsidRDefault="0041684E" w:rsidP="0041684E">
      <w:pPr>
        <w:tabs>
          <w:tab w:val="left" w:pos="5760"/>
        </w:tabs>
        <w:ind w:firstLine="720"/>
        <w:rPr>
          <w:b/>
          <w:u w:val="single"/>
        </w:rPr>
      </w:pPr>
      <w:r w:rsidRPr="001A1500">
        <w:rPr>
          <w:b/>
          <w:u w:val="single"/>
        </w:rPr>
        <w:t>Rating Criteria</w:t>
      </w:r>
      <w:r w:rsidRPr="001A1500">
        <w:tab/>
      </w:r>
      <w:r w:rsidRPr="001A1500">
        <w:rPr>
          <w:b/>
          <w:u w:val="single"/>
        </w:rPr>
        <w:t>Points</w:t>
      </w:r>
    </w:p>
    <w:p w14:paraId="5E97BE7F" w14:textId="77777777" w:rsidR="0041684E" w:rsidRDefault="0041684E" w:rsidP="0041684E">
      <w:pPr>
        <w:tabs>
          <w:tab w:val="right" w:pos="6210"/>
        </w:tabs>
        <w:ind w:firstLine="720"/>
      </w:pPr>
      <w:r>
        <w:t>Nature of Benefits</w:t>
      </w:r>
      <w:r>
        <w:tab/>
        <w:t>130</w:t>
      </w:r>
    </w:p>
    <w:p w14:paraId="7E740485" w14:textId="77777777" w:rsidR="0041684E" w:rsidRDefault="0041684E" w:rsidP="0041684E">
      <w:pPr>
        <w:tabs>
          <w:tab w:val="right" w:pos="6210"/>
        </w:tabs>
        <w:ind w:firstLine="720"/>
      </w:pPr>
      <w:r>
        <w:t>Local Match</w:t>
      </w:r>
      <w:r>
        <w:tab/>
        <w:t>20</w:t>
      </w:r>
    </w:p>
    <w:p w14:paraId="43DE6238" w14:textId="77777777" w:rsidR="0041684E" w:rsidRDefault="0041684E" w:rsidP="0041684E">
      <w:pPr>
        <w:tabs>
          <w:tab w:val="right" w:pos="6210"/>
        </w:tabs>
        <w:ind w:firstLine="720"/>
      </w:pPr>
      <w:r>
        <w:t>Cost/Benefit Ratio</w:t>
      </w:r>
      <w:r>
        <w:tab/>
      </w:r>
      <w:r w:rsidRPr="008559BF">
        <w:rPr>
          <w:u w:val="single"/>
        </w:rPr>
        <w:t xml:space="preserve">   50</w:t>
      </w:r>
    </w:p>
    <w:p w14:paraId="456ADA95" w14:textId="77777777" w:rsidR="0041684E" w:rsidRDefault="0041684E" w:rsidP="0041684E">
      <w:pPr>
        <w:tabs>
          <w:tab w:val="right" w:pos="6210"/>
        </w:tabs>
        <w:ind w:firstLine="720"/>
      </w:pPr>
      <w:r>
        <w:t>Total</w:t>
      </w:r>
      <w:r>
        <w:tab/>
        <w:t>200</w:t>
      </w:r>
    </w:p>
    <w:p w14:paraId="2F50509C" w14:textId="77777777" w:rsidR="0041684E" w:rsidRDefault="0041684E" w:rsidP="0041684E">
      <w:pPr>
        <w:tabs>
          <w:tab w:val="right" w:pos="6210"/>
        </w:tabs>
      </w:pPr>
    </w:p>
    <w:p w14:paraId="37313947" w14:textId="77777777" w:rsidR="0041684E" w:rsidRPr="003078FF" w:rsidRDefault="0041684E" w:rsidP="0041684E">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766F3301" w14:textId="77777777" w:rsidR="0041684E" w:rsidRDefault="0041684E" w:rsidP="0041684E">
      <w:pPr>
        <w:pStyle w:val="Heading2"/>
        <w:rPr>
          <w:rFonts w:ascii="Times New Roman" w:hAnsi="Times New Roman"/>
          <w:sz w:val="24"/>
          <w:szCs w:val="24"/>
          <w:u w:val="single"/>
        </w:rPr>
      </w:pPr>
    </w:p>
    <w:p w14:paraId="2304A1E1" w14:textId="77777777" w:rsidR="0041684E" w:rsidRPr="00CD584C" w:rsidRDefault="0041684E" w:rsidP="0041684E">
      <w:pPr>
        <w:jc w:val="both"/>
        <w:rPr>
          <w:b/>
        </w:rPr>
      </w:pPr>
      <w:r w:rsidRPr="00CD584C">
        <w:rPr>
          <w:b/>
          <w:u w:val="single"/>
        </w:rPr>
        <w:t>Nature of Benefits</w:t>
      </w:r>
    </w:p>
    <w:p w14:paraId="03C2F99A" w14:textId="77777777" w:rsidR="0041684E" w:rsidRPr="00CD584C" w:rsidRDefault="0041684E" w:rsidP="0041684E">
      <w:pPr>
        <w:jc w:val="both"/>
      </w:pPr>
    </w:p>
    <w:p w14:paraId="69EE39A5" w14:textId="78D591B8" w:rsidR="0041684E" w:rsidRPr="00CD584C" w:rsidRDefault="0041684E" w:rsidP="0041684E">
      <w:pPr>
        <w:jc w:val="both"/>
      </w:pPr>
      <w:r w:rsidRPr="00CD584C">
        <w:t>The following four evaluation elements will be used to determine points under the Nature of Benefits rating criteria.  The PY20</w:t>
      </w:r>
      <w:r>
        <w:t>2</w:t>
      </w:r>
      <w:r w:rsidR="00022500">
        <w:t>1</w:t>
      </w:r>
      <w:r w:rsidRPr="00CD584C">
        <w:t xml:space="preserve"> CDBG Application Manual will provide additional details for meeting the reporting and documentation requirements of these broad evaluation elements.</w:t>
      </w:r>
    </w:p>
    <w:p w14:paraId="732671B0" w14:textId="77777777" w:rsidR="0041684E" w:rsidRPr="00CD584C" w:rsidRDefault="0041684E" w:rsidP="0041684E">
      <w:pPr>
        <w:jc w:val="both"/>
        <w:rPr>
          <w:b/>
          <w:u w:val="single"/>
        </w:rPr>
      </w:pPr>
    </w:p>
    <w:p w14:paraId="24E46BB8" w14:textId="77777777" w:rsidR="0041684E" w:rsidRPr="00CD584C" w:rsidRDefault="0041684E" w:rsidP="0041684E">
      <w:pPr>
        <w:tabs>
          <w:tab w:val="left" w:pos="1080"/>
        </w:tabs>
        <w:ind w:left="720"/>
        <w:jc w:val="both"/>
      </w:pPr>
      <w:r w:rsidRPr="00CD584C">
        <w:t>a.</w:t>
      </w:r>
      <w:r w:rsidRPr="00CD584C">
        <w:tab/>
        <w:t xml:space="preserve">Needs Assessment – This is an assessment of community-wide needs associated with housing and essential community development facilities, including the needs of </w:t>
      </w:r>
      <w:proofErr w:type="gramStart"/>
      <w:r w:rsidRPr="00CD584C">
        <w:t>low and moderate income</w:t>
      </w:r>
      <w:proofErr w:type="gramEnd"/>
      <w:r w:rsidRPr="00CD584C">
        <w:t xml:space="preserve"> households.</w:t>
      </w:r>
    </w:p>
    <w:p w14:paraId="6A053234" w14:textId="77777777" w:rsidR="0041684E" w:rsidRPr="00CD584C" w:rsidRDefault="0041684E" w:rsidP="0041684E">
      <w:pPr>
        <w:tabs>
          <w:tab w:val="left" w:pos="1080"/>
        </w:tabs>
        <w:ind w:left="720"/>
        <w:jc w:val="both"/>
      </w:pPr>
    </w:p>
    <w:p w14:paraId="6463F637" w14:textId="77777777" w:rsidR="0041684E" w:rsidRPr="00CD584C" w:rsidRDefault="0041684E" w:rsidP="0041684E">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69E98973" w14:textId="77777777" w:rsidR="0041684E" w:rsidRPr="00CD584C" w:rsidRDefault="0041684E" w:rsidP="0041684E">
      <w:pPr>
        <w:tabs>
          <w:tab w:val="left" w:pos="1080"/>
        </w:tabs>
        <w:jc w:val="both"/>
        <w:rPr>
          <w:b/>
          <w:u w:val="single"/>
        </w:rPr>
      </w:pPr>
    </w:p>
    <w:p w14:paraId="3F4AE914" w14:textId="77777777" w:rsidR="0041684E" w:rsidRPr="00CD584C" w:rsidRDefault="0041684E" w:rsidP="0041684E">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37DC781C" w14:textId="77777777" w:rsidR="0041684E" w:rsidRPr="00CD584C" w:rsidRDefault="0041684E" w:rsidP="0041684E">
      <w:pPr>
        <w:tabs>
          <w:tab w:val="left" w:pos="1080"/>
        </w:tabs>
        <w:ind w:left="720"/>
        <w:jc w:val="both"/>
      </w:pPr>
    </w:p>
    <w:p w14:paraId="1FF8ADD4" w14:textId="77777777" w:rsidR="0041684E" w:rsidRPr="00CA118B" w:rsidRDefault="0041684E" w:rsidP="0041684E">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223167D2" w14:textId="77777777" w:rsidR="0041684E" w:rsidRDefault="0041684E" w:rsidP="0041684E">
      <w:pPr>
        <w:jc w:val="both"/>
        <w:rPr>
          <w:b/>
          <w:u w:val="single"/>
        </w:rPr>
      </w:pPr>
    </w:p>
    <w:p w14:paraId="5C68B9E8" w14:textId="77777777" w:rsidR="0041684E" w:rsidRPr="00CA118B" w:rsidRDefault="0041684E" w:rsidP="0041684E">
      <w:pPr>
        <w:jc w:val="both"/>
        <w:rPr>
          <w:b/>
          <w:u w:val="single"/>
        </w:rPr>
      </w:pPr>
      <w:r w:rsidRPr="00CA118B">
        <w:rPr>
          <w:b/>
          <w:u w:val="single"/>
        </w:rPr>
        <w:t>Local Match</w:t>
      </w:r>
    </w:p>
    <w:p w14:paraId="38B0D239" w14:textId="77777777" w:rsidR="0041684E" w:rsidRDefault="0041684E" w:rsidP="0041684E">
      <w:pPr>
        <w:jc w:val="both"/>
      </w:pPr>
    </w:p>
    <w:p w14:paraId="727D9F7C" w14:textId="77777777" w:rsidR="0041684E" w:rsidRPr="00CA118B" w:rsidRDefault="0041684E" w:rsidP="0041684E">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a ten percent match.  In a jurisdiction determined by the 2010 Census to have 1,000 or less persons, no match will be required</w:t>
      </w:r>
      <w:r>
        <w:t xml:space="preserve">, </w:t>
      </w:r>
      <w:r w:rsidRPr="00CA118B">
        <w:t xml:space="preserve">and the full 20 points will be awarded in this </w:t>
      </w:r>
      <w:r>
        <w:t xml:space="preserve">Fund </w:t>
      </w:r>
      <w:r w:rsidRPr="00CA118B">
        <w:t>category.</w:t>
      </w:r>
    </w:p>
    <w:p w14:paraId="585C3C86" w14:textId="77777777" w:rsidR="0041684E" w:rsidRPr="00CA118B" w:rsidRDefault="0041684E" w:rsidP="0041684E">
      <w:pPr>
        <w:jc w:val="both"/>
      </w:pPr>
    </w:p>
    <w:p w14:paraId="658AD0D8" w14:textId="77777777" w:rsidR="0041684E" w:rsidRPr="00CA118B" w:rsidRDefault="0041684E" w:rsidP="0041684E">
      <w:pPr>
        <w:jc w:val="both"/>
      </w:pPr>
      <w:r w:rsidRPr="00CA118B">
        <w:rPr>
          <w:b/>
          <w:u w:val="single"/>
        </w:rPr>
        <w:t>Cost/Benefit Ratio</w:t>
      </w:r>
      <w:r w:rsidRPr="00CA118B">
        <w:t xml:space="preserve"> </w:t>
      </w:r>
    </w:p>
    <w:p w14:paraId="197AEB74" w14:textId="77777777" w:rsidR="0041684E" w:rsidRDefault="0041684E" w:rsidP="0041684E">
      <w:pPr>
        <w:jc w:val="both"/>
      </w:pPr>
    </w:p>
    <w:p w14:paraId="1BA773B8" w14:textId="77777777" w:rsidR="0041684E" w:rsidRPr="00CA118B" w:rsidRDefault="0041684E" w:rsidP="0041684E">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020F24A0" w14:textId="77777777" w:rsidR="0041684E" w:rsidRPr="00CA118B" w:rsidRDefault="0041684E" w:rsidP="0041684E">
      <w:pPr>
        <w:jc w:val="both"/>
      </w:pPr>
    </w:p>
    <w:p w14:paraId="19FCCC3E" w14:textId="77777777" w:rsidR="0041684E" w:rsidRPr="00CA118B" w:rsidRDefault="0041684E" w:rsidP="0041684E">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12343042" w14:textId="31E85D38" w:rsidR="0041684E" w:rsidRDefault="0041684E" w:rsidP="0041684E"/>
    <w:p w14:paraId="248AF549" w14:textId="77777777" w:rsidR="00DE3C62" w:rsidRDefault="00DE3C62" w:rsidP="0041684E"/>
    <w:p w14:paraId="772C1443" w14:textId="77777777" w:rsidR="0041684E" w:rsidRPr="00CA118B" w:rsidRDefault="0041684E" w:rsidP="0041684E">
      <w:pPr>
        <w:jc w:val="center"/>
        <w:rPr>
          <w:b/>
          <w:u w:val="single"/>
        </w:rPr>
      </w:pPr>
      <w:r>
        <w:rPr>
          <w:b/>
          <w:u w:val="single"/>
        </w:rPr>
        <w:t>APPLICATIONS FOR THE C</w:t>
      </w:r>
      <w:r w:rsidRPr="00CA118B">
        <w:rPr>
          <w:b/>
          <w:u w:val="single"/>
        </w:rPr>
        <w:t>OMMUNITY ENHANCEMENT FUND</w:t>
      </w:r>
    </w:p>
    <w:p w14:paraId="711248B2" w14:textId="77777777" w:rsidR="0041684E" w:rsidRPr="00CA118B" w:rsidRDefault="0041684E" w:rsidP="0041684E">
      <w:pPr>
        <w:rPr>
          <w:b/>
          <w:u w:val="single"/>
        </w:rPr>
      </w:pPr>
    </w:p>
    <w:p w14:paraId="657BC654" w14:textId="77777777" w:rsidR="0041684E" w:rsidRDefault="0041684E" w:rsidP="0041684E">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w:t>
      </w:r>
      <w:r w:rsidRPr="00CA118B">
        <w:lastRenderedPageBreak/>
        <w:t xml:space="preserve">telephone service, senior centers, boys and </w:t>
      </w:r>
      <w:proofErr w:type="gramStart"/>
      <w:r w:rsidRPr="00CA118B">
        <w:t>girls</w:t>
      </w:r>
      <w:proofErr w:type="gramEnd"/>
      <w:r w:rsidRPr="00CA118B">
        <w:t xml:space="preserve">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5874737C" w14:textId="77777777" w:rsidR="0041684E" w:rsidRDefault="0041684E" w:rsidP="0041684E">
      <w:pPr>
        <w:jc w:val="both"/>
      </w:pPr>
    </w:p>
    <w:p w14:paraId="067F3644" w14:textId="77777777" w:rsidR="0041684E" w:rsidRPr="00CA118B" w:rsidRDefault="0041684E" w:rsidP="0041684E">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5951767D" w14:textId="77777777" w:rsidR="0041684E" w:rsidRPr="00CA118B" w:rsidRDefault="0041684E" w:rsidP="0041684E">
      <w:pPr>
        <w:rPr>
          <w:b/>
          <w:u w:val="single"/>
        </w:rPr>
      </w:pPr>
    </w:p>
    <w:p w14:paraId="253B848F" w14:textId="77777777" w:rsidR="0041684E" w:rsidRPr="00CA118B" w:rsidRDefault="0041684E" w:rsidP="0041684E">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7759320B" w14:textId="77777777" w:rsidR="0041684E" w:rsidRPr="00CA118B" w:rsidRDefault="0041684E" w:rsidP="0041684E">
      <w:pPr>
        <w:tabs>
          <w:tab w:val="left" w:pos="540"/>
        </w:tabs>
        <w:jc w:val="both"/>
        <w:rPr>
          <w:strike/>
        </w:rPr>
      </w:pPr>
      <w:r w:rsidRPr="00CA118B">
        <w:t>1.</w:t>
      </w:r>
      <w:r w:rsidRPr="00CA118B">
        <w:tab/>
        <w:t>Assessment of need for project</w:t>
      </w:r>
    </w:p>
    <w:p w14:paraId="33E1D6DE" w14:textId="77777777" w:rsidR="0041684E" w:rsidRPr="00CA118B" w:rsidRDefault="0041684E" w:rsidP="0041684E">
      <w:pPr>
        <w:tabs>
          <w:tab w:val="left" w:pos="540"/>
        </w:tabs>
        <w:jc w:val="both"/>
        <w:rPr>
          <w:strike/>
        </w:rPr>
      </w:pPr>
      <w:r w:rsidRPr="00CA118B">
        <w:t>2.</w:t>
      </w:r>
      <w:r w:rsidRPr="00CA118B">
        <w:tab/>
        <w:t>Importance of activity to community</w:t>
      </w:r>
      <w:r w:rsidRPr="00CA118B">
        <w:tab/>
      </w:r>
    </w:p>
    <w:p w14:paraId="79FCDAB0" w14:textId="74AC6461" w:rsidR="0041684E" w:rsidRPr="00CA118B" w:rsidRDefault="0041684E" w:rsidP="0041684E">
      <w:pPr>
        <w:tabs>
          <w:tab w:val="left" w:pos="540"/>
        </w:tabs>
        <w:jc w:val="both"/>
        <w:rPr>
          <w:strike/>
        </w:rPr>
      </w:pPr>
      <w:r w:rsidRPr="00CA118B">
        <w:t>3.</w:t>
      </w:r>
      <w:r w:rsidRPr="00CA118B">
        <w:tab/>
        <w:t>Clarity of benefit to low</w:t>
      </w:r>
      <w:r w:rsidR="00396036">
        <w:t>-income</w:t>
      </w:r>
      <w:r w:rsidRPr="00CA118B">
        <w:t xml:space="preserve"> and moderate</w:t>
      </w:r>
      <w:r w:rsidR="00396036">
        <w:t>-</w:t>
      </w:r>
      <w:r w:rsidRPr="00CA118B">
        <w:t>income persons or limited clientele</w:t>
      </w:r>
    </w:p>
    <w:p w14:paraId="745E7C2F" w14:textId="77777777" w:rsidR="0041684E" w:rsidRPr="00CA118B" w:rsidRDefault="0041684E" w:rsidP="0041684E">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67CF06CA" w14:textId="77777777" w:rsidR="0041684E" w:rsidRPr="00CA118B" w:rsidRDefault="0041684E" w:rsidP="0041684E">
      <w:pPr>
        <w:tabs>
          <w:tab w:val="left" w:pos="540"/>
        </w:tabs>
        <w:jc w:val="both"/>
        <w:rPr>
          <w:strike/>
        </w:rPr>
      </w:pPr>
      <w:r w:rsidRPr="00CA118B">
        <w:t>5.</w:t>
      </w:r>
      <w:r w:rsidRPr="00CA118B">
        <w:tab/>
        <w:t>Project description</w:t>
      </w:r>
      <w:r w:rsidRPr="00CA118B">
        <w:tab/>
      </w:r>
    </w:p>
    <w:p w14:paraId="0C446CFF" w14:textId="77777777" w:rsidR="0041684E" w:rsidRPr="00CA118B" w:rsidRDefault="0041684E" w:rsidP="0041684E">
      <w:pPr>
        <w:tabs>
          <w:tab w:val="left" w:pos="540"/>
        </w:tabs>
        <w:jc w:val="both"/>
        <w:rPr>
          <w:strike/>
        </w:rPr>
      </w:pPr>
      <w:r w:rsidRPr="00CA118B">
        <w:t>6.</w:t>
      </w:r>
      <w:r w:rsidRPr="00CA118B">
        <w:tab/>
        <w:t>Financial feasibility</w:t>
      </w:r>
      <w:r w:rsidRPr="00CA118B">
        <w:tab/>
      </w:r>
    </w:p>
    <w:p w14:paraId="38161E8C" w14:textId="77777777" w:rsidR="0041684E" w:rsidRPr="00CA118B" w:rsidRDefault="0041684E" w:rsidP="0041684E">
      <w:pPr>
        <w:tabs>
          <w:tab w:val="left" w:pos="540"/>
        </w:tabs>
        <w:jc w:val="both"/>
        <w:rPr>
          <w:strike/>
        </w:rPr>
      </w:pPr>
      <w:r w:rsidRPr="00CA118B">
        <w:t>7.</w:t>
      </w:r>
      <w:r w:rsidRPr="00CA118B">
        <w:tab/>
        <w:t>Cost reasonableness</w:t>
      </w:r>
      <w:r w:rsidRPr="00CA118B">
        <w:tab/>
      </w:r>
    </w:p>
    <w:p w14:paraId="439EA545" w14:textId="77777777" w:rsidR="0041684E" w:rsidRPr="00CA118B" w:rsidRDefault="0041684E" w:rsidP="0041684E">
      <w:pPr>
        <w:tabs>
          <w:tab w:val="left" w:pos="540"/>
        </w:tabs>
        <w:jc w:val="both"/>
      </w:pPr>
      <w:r w:rsidRPr="00CA118B">
        <w:t>8.</w:t>
      </w:r>
      <w:r w:rsidRPr="00CA118B">
        <w:tab/>
        <w:t>Capacity for operation and maintenance</w:t>
      </w:r>
    </w:p>
    <w:p w14:paraId="38371BB0" w14:textId="77777777" w:rsidR="0041684E" w:rsidRPr="00CA118B" w:rsidRDefault="0041684E" w:rsidP="0041684E">
      <w:pPr>
        <w:tabs>
          <w:tab w:val="left" w:pos="540"/>
        </w:tabs>
        <w:jc w:val="both"/>
      </w:pPr>
      <w:r w:rsidRPr="00CA118B">
        <w:t>9.</w:t>
      </w:r>
      <w:r w:rsidRPr="00CA118B">
        <w:tab/>
        <w:t>Local match</w:t>
      </w:r>
      <w:r w:rsidRPr="00CA118B">
        <w:tab/>
      </w:r>
    </w:p>
    <w:p w14:paraId="352DFDB0" w14:textId="77777777" w:rsidR="0041684E" w:rsidRPr="00CA118B" w:rsidRDefault="0041684E" w:rsidP="0041684E">
      <w:pPr>
        <w:tabs>
          <w:tab w:val="left" w:pos="540"/>
        </w:tabs>
        <w:jc w:val="both"/>
      </w:pPr>
      <w:r w:rsidRPr="00CA118B">
        <w:t>10.</w:t>
      </w:r>
      <w:r w:rsidRPr="00CA118B">
        <w:tab/>
        <w:t>Past efforts</w:t>
      </w:r>
      <w:r w:rsidRPr="00CA118B">
        <w:tab/>
      </w:r>
    </w:p>
    <w:p w14:paraId="406A1F1B" w14:textId="77777777" w:rsidR="0041684E" w:rsidRPr="00CA118B" w:rsidRDefault="0041684E" w:rsidP="0041684E">
      <w:pPr>
        <w:tabs>
          <w:tab w:val="left" w:pos="1080"/>
          <w:tab w:val="left" w:pos="6930"/>
        </w:tabs>
        <w:ind w:left="720"/>
        <w:jc w:val="both"/>
      </w:pPr>
    </w:p>
    <w:p w14:paraId="4238244D" w14:textId="77777777" w:rsidR="0041684E" w:rsidRPr="00CA118B" w:rsidRDefault="0041684E" w:rsidP="0041684E">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7ED58179" w14:textId="77777777" w:rsidR="0041684E" w:rsidRPr="00CA118B" w:rsidRDefault="0041684E" w:rsidP="0041684E">
      <w:pPr>
        <w:jc w:val="both"/>
      </w:pPr>
    </w:p>
    <w:p w14:paraId="5FD5078D" w14:textId="77777777" w:rsidR="0041684E" w:rsidRPr="00CA118B" w:rsidRDefault="0041684E" w:rsidP="0041684E">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0A8F8B29" w14:textId="77777777" w:rsidR="0041684E" w:rsidRPr="00CA118B" w:rsidRDefault="0041684E" w:rsidP="0041684E">
      <w:pPr>
        <w:jc w:val="both"/>
      </w:pPr>
    </w:p>
    <w:p w14:paraId="3FDA5CB1" w14:textId="223C1F31" w:rsidR="0041684E" w:rsidRPr="00CA118B" w:rsidRDefault="0041684E" w:rsidP="0041684E">
      <w:pPr>
        <w:jc w:val="both"/>
      </w:pPr>
      <w:r w:rsidRPr="00CA118B">
        <w:t xml:space="preserve">A grant ceiling </w:t>
      </w:r>
      <w:r>
        <w:t xml:space="preserve">amount </w:t>
      </w:r>
      <w:r w:rsidRPr="00CA118B">
        <w:t>of $</w:t>
      </w:r>
      <w:r w:rsidR="005201B4">
        <w:t>30</w:t>
      </w:r>
      <w:r w:rsidRPr="00CA118B">
        <w:t xml:space="preserve">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3722C001" w14:textId="77777777" w:rsidR="0041684E" w:rsidRPr="00CA118B" w:rsidRDefault="0041684E" w:rsidP="0041684E">
      <w:pPr>
        <w:jc w:val="both"/>
      </w:pPr>
    </w:p>
    <w:p w14:paraId="4B2CA7B3" w14:textId="77777777" w:rsidR="0041684E" w:rsidRDefault="0041684E" w:rsidP="0041684E">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0B2A66DB" w14:textId="77777777" w:rsidR="0041684E" w:rsidRPr="00CA118B" w:rsidRDefault="0041684E" w:rsidP="0041684E">
      <w:pPr>
        <w:jc w:val="both"/>
      </w:pPr>
    </w:p>
    <w:p w14:paraId="74B89774" w14:textId="77777777" w:rsidR="0041684E" w:rsidRPr="00CA118B" w:rsidRDefault="0041684E" w:rsidP="0041684E">
      <w:pPr>
        <w:jc w:val="both"/>
      </w:pPr>
      <w:r>
        <w:lastRenderedPageBreak/>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68972A4F" w14:textId="77777777" w:rsidR="0041684E" w:rsidRDefault="0041684E" w:rsidP="0041684E"/>
    <w:p w14:paraId="0A3F0B91" w14:textId="77777777" w:rsidR="0041684E" w:rsidRPr="0011520F" w:rsidRDefault="0041684E" w:rsidP="0041684E">
      <w:pPr>
        <w:jc w:val="center"/>
        <w:rPr>
          <w:b/>
          <w:u w:val="single"/>
        </w:rPr>
      </w:pPr>
      <w:r>
        <w:rPr>
          <w:b/>
          <w:u w:val="single"/>
        </w:rPr>
        <w:t>APPLICATIONS FOR THE P</w:t>
      </w:r>
      <w:r w:rsidRPr="0011520F">
        <w:rPr>
          <w:b/>
          <w:u w:val="single"/>
        </w:rPr>
        <w:t>LANNING FUND</w:t>
      </w:r>
    </w:p>
    <w:p w14:paraId="2FAB7E9C" w14:textId="77777777" w:rsidR="0041684E" w:rsidRPr="0011520F" w:rsidRDefault="0041684E" w:rsidP="0041684E"/>
    <w:p w14:paraId="612504B5" w14:textId="77777777" w:rsidR="0041684E" w:rsidRDefault="0041684E" w:rsidP="0041684E">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64326C04" w14:textId="77777777" w:rsidR="0041684E" w:rsidRDefault="0041684E" w:rsidP="0041684E">
      <w:pPr>
        <w:jc w:val="both"/>
      </w:pPr>
    </w:p>
    <w:p w14:paraId="7D66D49A" w14:textId="77777777" w:rsidR="0041684E" w:rsidRDefault="0041684E" w:rsidP="0041684E">
      <w:pPr>
        <w:tabs>
          <w:tab w:val="left" w:pos="6480"/>
        </w:tabs>
        <w:jc w:val="both"/>
      </w:pPr>
      <w:r w:rsidRPr="00CA118B">
        <w:rPr>
          <w:b/>
          <w:u w:val="single"/>
        </w:rPr>
        <w:t>Evaluation Considerations</w:t>
      </w:r>
    </w:p>
    <w:p w14:paraId="6CF72183" w14:textId="77777777" w:rsidR="0041684E" w:rsidRDefault="0041684E" w:rsidP="0041684E">
      <w:pPr>
        <w:jc w:val="both"/>
      </w:pPr>
    </w:p>
    <w:p w14:paraId="5FCD8B4F" w14:textId="77777777" w:rsidR="0041684E" w:rsidRDefault="0041684E" w:rsidP="0041684E">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6B66451E" w14:textId="77777777" w:rsidR="0041684E" w:rsidRDefault="0041684E" w:rsidP="0041684E">
      <w:pPr>
        <w:jc w:val="both"/>
      </w:pPr>
    </w:p>
    <w:p w14:paraId="4D766D8F" w14:textId="77777777" w:rsidR="0041684E" w:rsidRDefault="0041684E" w:rsidP="0041684E">
      <w:pPr>
        <w:jc w:val="both"/>
      </w:pPr>
      <w:r>
        <w:t xml:space="preserve">1.  </w:t>
      </w:r>
      <w:r w:rsidRPr="00CA118B">
        <w:t xml:space="preserve">How the proposed project will contribute to principally benefiting </w:t>
      </w:r>
      <w:proofErr w:type="gramStart"/>
      <w:r w:rsidRPr="00CA118B">
        <w:t>low and moderate income</w:t>
      </w:r>
      <w:proofErr w:type="gramEnd"/>
      <w:r>
        <w:t xml:space="preserve"> </w:t>
      </w:r>
      <w:r w:rsidRPr="00CA118B">
        <w:t xml:space="preserve">persons, or how the proposed project will contribute to aiding in the </w:t>
      </w:r>
      <w:r>
        <w:t>prevention of slums and blight.</w:t>
      </w:r>
    </w:p>
    <w:p w14:paraId="5355E2E3" w14:textId="77777777" w:rsidR="0041684E" w:rsidRDefault="0041684E" w:rsidP="0041684E">
      <w:pPr>
        <w:jc w:val="both"/>
      </w:pPr>
    </w:p>
    <w:p w14:paraId="20EDF370" w14:textId="77777777" w:rsidR="0041684E" w:rsidRDefault="0041684E" w:rsidP="0041684E">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63A0C269" w14:textId="77777777" w:rsidR="0041684E" w:rsidRDefault="0041684E" w:rsidP="0041684E">
      <w:pPr>
        <w:jc w:val="both"/>
      </w:pPr>
    </w:p>
    <w:p w14:paraId="294F353A" w14:textId="77777777" w:rsidR="0041684E" w:rsidRDefault="0041684E" w:rsidP="0041684E">
      <w:pPr>
        <w:jc w:val="both"/>
      </w:pPr>
      <w:r>
        <w:t xml:space="preserve">3.  </w:t>
      </w:r>
      <w:r w:rsidRPr="00CA118B">
        <w:t>How the proposed project will contribute to the development of a planning process which will serve as a guide for orderly and/or consistent gr</w:t>
      </w:r>
      <w:r>
        <w:t>owth and community development.</w:t>
      </w:r>
    </w:p>
    <w:p w14:paraId="5EB9A7F1" w14:textId="77777777" w:rsidR="0041684E" w:rsidRDefault="0041684E" w:rsidP="0041684E">
      <w:pPr>
        <w:jc w:val="both"/>
      </w:pPr>
    </w:p>
    <w:p w14:paraId="136CB965" w14:textId="77777777" w:rsidR="0041684E" w:rsidRDefault="0041684E" w:rsidP="0041684E">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4D11204C" w14:textId="77777777" w:rsidR="0041684E" w:rsidRDefault="0041684E" w:rsidP="0041684E">
      <w:pPr>
        <w:jc w:val="both"/>
      </w:pPr>
    </w:p>
    <w:p w14:paraId="2510DDD3" w14:textId="77777777" w:rsidR="0041684E" w:rsidRDefault="0041684E" w:rsidP="0041684E">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131AB5CE" w14:textId="77777777" w:rsidR="0041684E" w:rsidRDefault="0041684E" w:rsidP="0041684E">
      <w:pPr>
        <w:jc w:val="both"/>
      </w:pPr>
    </w:p>
    <w:p w14:paraId="02BD64A0" w14:textId="5781D014" w:rsidR="0041684E" w:rsidRDefault="0041684E" w:rsidP="0041684E">
      <w:pPr>
        <w:jc w:val="both"/>
      </w:pPr>
      <w:r>
        <w:t>6.  The community’s p</w:t>
      </w:r>
      <w:r w:rsidRPr="00CA118B">
        <w:t>rior year grants received</w:t>
      </w:r>
      <w:r>
        <w:t xml:space="preserve">, </w:t>
      </w:r>
      <w:r w:rsidRPr="00CA118B">
        <w:t>as well as implementa</w:t>
      </w:r>
      <w:r>
        <w:t>tion of prior planning efforts.</w:t>
      </w:r>
    </w:p>
    <w:p w14:paraId="2A187EC3" w14:textId="08C3BD1C" w:rsidR="009F3253" w:rsidRDefault="009F3253" w:rsidP="0041684E">
      <w:pPr>
        <w:jc w:val="both"/>
      </w:pPr>
    </w:p>
    <w:p w14:paraId="583A8C79" w14:textId="592BEBBA" w:rsidR="009F3253" w:rsidRDefault="009F3253" w:rsidP="0041684E">
      <w:pPr>
        <w:jc w:val="both"/>
      </w:pPr>
    </w:p>
    <w:p w14:paraId="04FF1C62" w14:textId="49F09EF6" w:rsidR="009F3253" w:rsidRDefault="009F3253" w:rsidP="0041684E">
      <w:pPr>
        <w:jc w:val="both"/>
      </w:pPr>
    </w:p>
    <w:p w14:paraId="2F0F2886" w14:textId="73925865" w:rsidR="009F3253" w:rsidRDefault="009F3253" w:rsidP="0041684E">
      <w:pPr>
        <w:jc w:val="both"/>
      </w:pPr>
    </w:p>
    <w:p w14:paraId="505611FA" w14:textId="10FC8442" w:rsidR="009F3253" w:rsidRDefault="009F3253" w:rsidP="0041684E">
      <w:pPr>
        <w:jc w:val="both"/>
      </w:pPr>
    </w:p>
    <w:p w14:paraId="7D36936E" w14:textId="77777777" w:rsidR="0041684E" w:rsidRPr="00641E82" w:rsidRDefault="0041684E" w:rsidP="0041684E">
      <w:pPr>
        <w:pStyle w:val="Heading2"/>
        <w:rPr>
          <w:rFonts w:ascii="Times New Roman" w:hAnsi="Times New Roman"/>
          <w:b/>
          <w:bCs/>
          <w:sz w:val="24"/>
          <w:szCs w:val="24"/>
          <w:u w:val="single"/>
        </w:rPr>
      </w:pPr>
      <w:r w:rsidRPr="00641E82">
        <w:rPr>
          <w:rFonts w:ascii="Times New Roman" w:hAnsi="Times New Roman"/>
          <w:b/>
          <w:bCs/>
          <w:sz w:val="24"/>
          <w:szCs w:val="24"/>
          <w:u w:val="single"/>
        </w:rPr>
        <w:lastRenderedPageBreak/>
        <w:t>APPLICATIONS FOR THE ECONOMIC DEVELOPMENT FUND</w:t>
      </w:r>
    </w:p>
    <w:p w14:paraId="31C2D202" w14:textId="77777777" w:rsidR="0041684E" w:rsidRPr="00CA118B" w:rsidRDefault="0041684E" w:rsidP="0041684E"/>
    <w:p w14:paraId="19FF51B3" w14:textId="6A4C9A48" w:rsidR="0041684E" w:rsidRPr="00EA52D0" w:rsidRDefault="0041684E" w:rsidP="0041684E">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w:t>
      </w:r>
      <w:r w:rsidR="00022500">
        <w:t>1</w:t>
      </w:r>
      <w:r w:rsidRPr="003B538F">
        <w:t xml:space="preserve"> money</w:t>
      </w:r>
      <w:r w:rsidR="00791D2C">
        <w:t xml:space="preserve">, </w:t>
      </w:r>
      <w:r w:rsidR="00F45B1B">
        <w:t>any unanticipated</w:t>
      </w:r>
      <w:r w:rsidR="001E62B4">
        <w:t xml:space="preserve"> receipt of program income will be available for funding </w:t>
      </w:r>
      <w:r w:rsidR="00FA5B47">
        <w:t xml:space="preserve">of ED projects.  </w:t>
      </w:r>
      <w:r w:rsidRPr="009E3F13">
        <w:t>Also</w:t>
      </w:r>
      <w:r>
        <w:t xml:space="preserve">, ED </w:t>
      </w:r>
      <w:r w:rsidRPr="009E3F13">
        <w:t>Float Loan</w:t>
      </w:r>
      <w:r>
        <w:t>s</w:t>
      </w:r>
      <w:r w:rsidRPr="00CA118B">
        <w:t xml:space="preserve"> will be covered in this </w:t>
      </w:r>
      <w:proofErr w:type="gramStart"/>
      <w:r w:rsidRPr="00CA118B">
        <w:t>section, since</w:t>
      </w:r>
      <w:proofErr w:type="gramEnd"/>
      <w:r w:rsidRPr="00CA118B">
        <w:t xml:space="preserv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72EDF1A1" w14:textId="77777777" w:rsidR="0041684E" w:rsidRPr="00CA118B" w:rsidRDefault="0041684E" w:rsidP="0041684E">
      <w:pPr>
        <w:jc w:val="both"/>
      </w:pPr>
    </w:p>
    <w:p w14:paraId="2D5B90C5" w14:textId="77777777" w:rsidR="0041684E" w:rsidRPr="00CA118B" w:rsidRDefault="0041684E" w:rsidP="0041684E">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2CCDA2F8" w14:textId="77777777" w:rsidR="0041684E" w:rsidRPr="00CA118B" w:rsidRDefault="0041684E" w:rsidP="0041684E">
      <w:pPr>
        <w:jc w:val="both"/>
        <w:rPr>
          <w:b/>
          <w:u w:val="single"/>
        </w:rPr>
      </w:pPr>
    </w:p>
    <w:p w14:paraId="67F1CFEB" w14:textId="77777777" w:rsidR="0041684E" w:rsidRPr="00CA118B" w:rsidRDefault="0041684E" w:rsidP="0041684E">
      <w:pPr>
        <w:jc w:val="both"/>
        <w:rPr>
          <w:b/>
          <w:u w:val="single"/>
        </w:rPr>
      </w:pPr>
      <w:r w:rsidRPr="00CA118B">
        <w:rPr>
          <w:b/>
          <w:u w:val="single"/>
        </w:rPr>
        <w:t>ED GRANTS</w:t>
      </w:r>
    </w:p>
    <w:p w14:paraId="42C263AE" w14:textId="77777777" w:rsidR="0041684E" w:rsidRDefault="0041684E" w:rsidP="0041684E">
      <w:pPr>
        <w:jc w:val="both"/>
      </w:pPr>
    </w:p>
    <w:p w14:paraId="3676E6F9" w14:textId="37B9B2E9" w:rsidR="0041684E" w:rsidRPr="00CA118B" w:rsidRDefault="0041684E" w:rsidP="0041684E">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w:t>
      </w:r>
      <w:r w:rsidR="0065699A">
        <w:t>4</w:t>
      </w:r>
      <w:r w:rsidRPr="00CA118B">
        <w:t>00,000 and a floor of $50,000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w:t>
      </w:r>
      <w:r w:rsidR="00E30A02">
        <w:t>4</w:t>
      </w:r>
      <w:r w:rsidRPr="00CA118B">
        <w:t>00,000 grant ceiling if the merit of the project shows a significant long-term economic benefit for the State.</w:t>
      </w:r>
    </w:p>
    <w:p w14:paraId="0A87B35B" w14:textId="77777777" w:rsidR="0041684E" w:rsidRPr="00CA118B" w:rsidRDefault="0041684E" w:rsidP="0041684E">
      <w:pPr>
        <w:jc w:val="both"/>
      </w:pPr>
    </w:p>
    <w:p w14:paraId="2FC687B4" w14:textId="35EAE2E7" w:rsidR="0041684E" w:rsidRPr="00CA118B" w:rsidRDefault="0041684E" w:rsidP="0041684E">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is PY202</w:t>
      </w:r>
      <w:r w:rsidR="00022500">
        <w:t>1</w:t>
      </w:r>
      <w:r>
        <w:t xml:space="preserve"> One-Year Annual </w:t>
      </w:r>
      <w:r w:rsidRPr="00CA118B">
        <w:t>Action Plan.</w:t>
      </w:r>
      <w:r w:rsidR="002F02A2">
        <w:t xml:space="preserve">  The Director may grant exemptions form the Threshold requirements.</w:t>
      </w:r>
    </w:p>
    <w:p w14:paraId="6E50D263" w14:textId="77777777" w:rsidR="0041684E" w:rsidRPr="00CA118B" w:rsidRDefault="0041684E" w:rsidP="0041684E">
      <w:pPr>
        <w:jc w:val="both"/>
        <w:rPr>
          <w:u w:val="single"/>
        </w:rPr>
      </w:pPr>
    </w:p>
    <w:p w14:paraId="2DA4238A" w14:textId="77777777" w:rsidR="0041684E" w:rsidRPr="00CA118B" w:rsidRDefault="0041684E" w:rsidP="0041684E">
      <w:pPr>
        <w:jc w:val="both"/>
        <w:rPr>
          <w:b/>
          <w:u w:val="single"/>
        </w:rPr>
      </w:pPr>
      <w:r w:rsidRPr="00CA118B">
        <w:rPr>
          <w:b/>
          <w:u w:val="single"/>
        </w:rPr>
        <w:t>Thresholds</w:t>
      </w:r>
    </w:p>
    <w:p w14:paraId="0CF43D7A" w14:textId="77777777" w:rsidR="0041684E" w:rsidRDefault="0041684E" w:rsidP="0041684E">
      <w:pPr>
        <w:ind w:left="540" w:hanging="540"/>
        <w:jc w:val="both"/>
      </w:pPr>
    </w:p>
    <w:p w14:paraId="10E72AB8" w14:textId="29E6643C" w:rsidR="0041684E" w:rsidRPr="00CA118B" w:rsidRDefault="0041684E" w:rsidP="0041684E">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 xml:space="preserve">Projects proposing job </w:t>
      </w:r>
      <w:r w:rsidRPr="00CA118B">
        <w:lastRenderedPageBreak/>
        <w:t>retention will generally not qualify for ED Grants unless, in the opinion of the State, significant job losses will have a long-term detrimental effect on the community and low</w:t>
      </w:r>
      <w:r w:rsidR="00F85290">
        <w:t>-income</w:t>
      </w:r>
      <w:r w:rsidRPr="00CA118B">
        <w:t xml:space="preserve"> and moderate</w:t>
      </w:r>
      <w:r w:rsidR="00F85290">
        <w:t>-</w:t>
      </w:r>
      <w:r w:rsidRPr="00CA118B">
        <w:t>income people.</w:t>
      </w:r>
      <w:r>
        <w:t xml:space="preserve">  </w:t>
      </w:r>
      <w:r w:rsidRPr="00CA118B">
        <w:t>For projects involving job creation or retention without a capital expansion, the State may disregard such expansion requirement if, in the opinion of the State, significant economic impact and benefit to low</w:t>
      </w:r>
      <w:r w:rsidR="00F85290">
        <w:t xml:space="preserve">-income </w:t>
      </w:r>
      <w:r w:rsidRPr="00CA118B">
        <w:t>and moderate</w:t>
      </w:r>
      <w:r w:rsidR="00F85290">
        <w:t>-</w:t>
      </w:r>
      <w:r w:rsidRPr="00CA118B">
        <w:t>income persons merit such a decision.</w:t>
      </w:r>
    </w:p>
    <w:p w14:paraId="0F5E8D91" w14:textId="77777777" w:rsidR="0041684E" w:rsidRPr="00CA118B" w:rsidRDefault="0041684E" w:rsidP="0041684E">
      <w:pPr>
        <w:ind w:left="540" w:hanging="540"/>
        <w:jc w:val="both"/>
      </w:pPr>
    </w:p>
    <w:p w14:paraId="3969BA69" w14:textId="77777777" w:rsidR="0041684E" w:rsidRPr="00CA118B" w:rsidRDefault="0041684E" w:rsidP="0041684E">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2821139B" w14:textId="77777777" w:rsidR="0041684E" w:rsidRDefault="0041684E" w:rsidP="0041684E">
      <w:pPr>
        <w:ind w:left="540" w:hanging="540"/>
        <w:jc w:val="both"/>
      </w:pPr>
    </w:p>
    <w:p w14:paraId="17F9E366" w14:textId="671859D3" w:rsidR="0041684E" w:rsidRPr="00CA118B" w:rsidRDefault="0041684E" w:rsidP="0041684E">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r w:rsidR="00174B0D">
        <w:t xml:space="preserve">  The grant may also be used for repair or renovation </w:t>
      </w:r>
      <w:r w:rsidR="00615DCA">
        <w:t>of a facility owned by a city, county, industrial development authority</w:t>
      </w:r>
      <w:r w:rsidR="00E43214">
        <w:t>, or such other public entity</w:t>
      </w:r>
      <w:r w:rsidR="0075075B">
        <w:t xml:space="preserve">, </w:t>
      </w:r>
      <w:r w:rsidR="00E43214">
        <w:t xml:space="preserve">provided </w:t>
      </w:r>
      <w:r w:rsidR="0075075B">
        <w:t xml:space="preserve">that </w:t>
      </w:r>
      <w:r w:rsidR="00E43214">
        <w:t>the applicant city</w:t>
      </w:r>
      <w:r w:rsidR="00CB1EA9">
        <w:t>/county is at least 51% low and moderate income.</w:t>
      </w:r>
    </w:p>
    <w:p w14:paraId="68957B78" w14:textId="77777777" w:rsidR="0041684E" w:rsidRPr="00CA118B" w:rsidRDefault="0041684E" w:rsidP="0041684E">
      <w:pPr>
        <w:ind w:left="540" w:hanging="540"/>
        <w:jc w:val="both"/>
      </w:pPr>
    </w:p>
    <w:p w14:paraId="49AEAC5F" w14:textId="77777777" w:rsidR="0041684E" w:rsidRPr="00CA118B" w:rsidRDefault="0041684E" w:rsidP="0041684E">
      <w:pPr>
        <w:ind w:left="540" w:hanging="540"/>
        <w:jc w:val="both"/>
      </w:pPr>
      <w:r w:rsidRPr="00CA118B">
        <w:t>4.</w:t>
      </w:r>
      <w:r w:rsidRPr="00CA118B">
        <w:tab/>
        <w:t>At least 51 percent of the project</w:t>
      </w:r>
      <w:r>
        <w:t>’s</w:t>
      </w:r>
      <w:r w:rsidRPr="00CA118B">
        <w:t xml:space="preserve"> beneficiaries specified in the application must be persons of low and moderate income.</w:t>
      </w:r>
    </w:p>
    <w:p w14:paraId="4D178311" w14:textId="77777777" w:rsidR="0041684E" w:rsidRPr="00CA118B" w:rsidRDefault="0041684E" w:rsidP="0041684E">
      <w:pPr>
        <w:ind w:left="540" w:hanging="540"/>
        <w:jc w:val="both"/>
      </w:pPr>
    </w:p>
    <w:p w14:paraId="1A0BF2C1" w14:textId="77777777" w:rsidR="0041684E" w:rsidRPr="00CA118B" w:rsidRDefault="0041684E" w:rsidP="0041684E">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576C85D7" w14:textId="77777777" w:rsidR="0041684E" w:rsidRDefault="0041684E" w:rsidP="0041684E">
      <w:pPr>
        <w:ind w:left="540" w:hanging="540"/>
        <w:jc w:val="both"/>
      </w:pPr>
    </w:p>
    <w:p w14:paraId="2C8960E7" w14:textId="77777777" w:rsidR="0041684E" w:rsidRPr="00CA118B" w:rsidRDefault="0041684E" w:rsidP="0041684E">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2D57397D" w14:textId="77777777" w:rsidR="0041684E" w:rsidRPr="00CA118B" w:rsidRDefault="0041684E" w:rsidP="0041684E">
      <w:pPr>
        <w:ind w:left="540" w:hanging="540"/>
        <w:jc w:val="both"/>
      </w:pPr>
    </w:p>
    <w:p w14:paraId="06453366" w14:textId="77777777" w:rsidR="0041684E" w:rsidRPr="00CA118B" w:rsidRDefault="0041684E" w:rsidP="0041684E">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27D1925E" w14:textId="77777777" w:rsidR="0041684E" w:rsidRDefault="0041684E" w:rsidP="0041684E">
      <w:pPr>
        <w:jc w:val="both"/>
        <w:rPr>
          <w:u w:val="single"/>
        </w:rPr>
      </w:pPr>
    </w:p>
    <w:p w14:paraId="2DE8F079" w14:textId="77777777" w:rsidR="0041684E" w:rsidRPr="00CA118B" w:rsidRDefault="0041684E" w:rsidP="0041684E">
      <w:pPr>
        <w:jc w:val="both"/>
        <w:rPr>
          <w:b/>
          <w:u w:val="single"/>
        </w:rPr>
      </w:pPr>
      <w:r>
        <w:rPr>
          <w:b/>
          <w:u w:val="single"/>
        </w:rPr>
        <w:t>E</w:t>
      </w:r>
      <w:r w:rsidRPr="00CA118B">
        <w:rPr>
          <w:b/>
          <w:u w:val="single"/>
        </w:rPr>
        <w:t>valuation Criteria</w:t>
      </w:r>
    </w:p>
    <w:p w14:paraId="5C5E2101" w14:textId="77777777" w:rsidR="0041684E" w:rsidRDefault="0041684E" w:rsidP="0041684E">
      <w:pPr>
        <w:jc w:val="both"/>
      </w:pPr>
    </w:p>
    <w:p w14:paraId="22251568" w14:textId="77777777" w:rsidR="0041684E" w:rsidRDefault="0041684E" w:rsidP="0041684E">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03B2FBCB" w14:textId="77777777" w:rsidR="0041684E" w:rsidRPr="00CA118B" w:rsidRDefault="0041684E" w:rsidP="0041684E">
      <w:pPr>
        <w:ind w:left="540" w:hanging="540"/>
        <w:jc w:val="both"/>
      </w:pPr>
      <w:r w:rsidRPr="00CA118B">
        <w:t>1.</w:t>
      </w:r>
      <w:r w:rsidRPr="00CA118B">
        <w:tab/>
        <w:t>Importance of the proposed activities to the location or expansion of a business</w:t>
      </w:r>
    </w:p>
    <w:p w14:paraId="04725964" w14:textId="77777777" w:rsidR="0041684E" w:rsidRPr="00CA118B" w:rsidRDefault="0041684E" w:rsidP="0041684E">
      <w:pPr>
        <w:ind w:left="540" w:hanging="540"/>
        <w:jc w:val="both"/>
      </w:pPr>
      <w:r w:rsidRPr="00CA118B">
        <w:t>2.</w:t>
      </w:r>
      <w:r w:rsidRPr="00CA118B">
        <w:tab/>
        <w:t>Number and certainty of proposed jobs</w:t>
      </w:r>
    </w:p>
    <w:p w14:paraId="31DBFF1C" w14:textId="77777777" w:rsidR="0041684E" w:rsidRPr="00CA118B" w:rsidRDefault="0041684E" w:rsidP="0041684E">
      <w:pPr>
        <w:ind w:left="540" w:hanging="540"/>
        <w:jc w:val="both"/>
      </w:pPr>
      <w:r w:rsidRPr="00CA118B">
        <w:t>3.</w:t>
      </w:r>
      <w:r w:rsidRPr="00CA118B">
        <w:tab/>
        <w:t>Proposed local match</w:t>
      </w:r>
    </w:p>
    <w:p w14:paraId="5FD6AE56" w14:textId="77777777" w:rsidR="0041684E" w:rsidRPr="00CA118B" w:rsidRDefault="0041684E" w:rsidP="0041684E">
      <w:pPr>
        <w:ind w:left="540" w:hanging="540"/>
        <w:jc w:val="both"/>
      </w:pPr>
      <w:r w:rsidRPr="00CA118B">
        <w:t>4.</w:t>
      </w:r>
      <w:r w:rsidRPr="00CA118B">
        <w:tab/>
        <w:t>Scope of a new business or expanding business, i.e., products, product markets, current or projected employment and payroll, labor skills required</w:t>
      </w:r>
    </w:p>
    <w:p w14:paraId="49EAF8ED" w14:textId="77777777" w:rsidR="0041684E" w:rsidRPr="00CA118B" w:rsidRDefault="0041684E" w:rsidP="0041684E">
      <w:pPr>
        <w:ind w:left="540" w:hanging="540"/>
        <w:jc w:val="both"/>
      </w:pPr>
      <w:r w:rsidRPr="00CA118B">
        <w:t>5.</w:t>
      </w:r>
      <w:r w:rsidRPr="00CA118B">
        <w:tab/>
        <w:t>Urgency of proposed activities</w:t>
      </w:r>
    </w:p>
    <w:p w14:paraId="565C7436" w14:textId="77777777" w:rsidR="0041684E" w:rsidRDefault="0041684E" w:rsidP="0041684E">
      <w:pPr>
        <w:ind w:left="540" w:hanging="540"/>
        <w:jc w:val="both"/>
      </w:pPr>
      <w:r w:rsidRPr="00CA118B">
        <w:lastRenderedPageBreak/>
        <w:t>6.</w:t>
      </w:r>
      <w:r w:rsidRPr="00CA118B">
        <w:tab/>
        <w:t>Importance of the project to further welfare reform objectives</w:t>
      </w:r>
    </w:p>
    <w:p w14:paraId="33E32CD6" w14:textId="77777777" w:rsidR="0041684E" w:rsidRDefault="0041684E" w:rsidP="0041684E">
      <w:pPr>
        <w:ind w:left="540" w:hanging="540"/>
        <w:jc w:val="both"/>
      </w:pPr>
    </w:p>
    <w:p w14:paraId="2D3BD2D4" w14:textId="77777777" w:rsidR="0041684E" w:rsidRPr="00EF01FF" w:rsidRDefault="0041684E" w:rsidP="0041684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6B13D49F" w14:textId="77777777" w:rsidR="0041684E" w:rsidRDefault="0041684E" w:rsidP="0041684E">
      <w:pPr>
        <w:jc w:val="both"/>
      </w:pPr>
    </w:p>
    <w:p w14:paraId="72D0CE25" w14:textId="4B6E04A7" w:rsidR="0041684E" w:rsidRPr="00CA118B" w:rsidRDefault="0041684E" w:rsidP="0041684E">
      <w:pPr>
        <w:jc w:val="both"/>
      </w:pPr>
      <w:r w:rsidRPr="00CA118B">
        <w:t xml:space="preserve">The State will </w:t>
      </w:r>
      <w:proofErr w:type="gramStart"/>
      <w:r w:rsidRPr="00CA118B">
        <w:t>provide assistance to</w:t>
      </w:r>
      <w:proofErr w:type="gramEnd"/>
      <w:r w:rsidRPr="00CA118B">
        <w:t xml:space="preserve">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grants anytime during the program period.  A grant ceiling of $</w:t>
      </w:r>
      <w:r w:rsidR="00156897">
        <w:t>40</w:t>
      </w:r>
      <w:r w:rsidRPr="00CA118B">
        <w:t xml:space="preserve">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4F816158" w14:textId="77777777" w:rsidR="0041684E" w:rsidRPr="00CA118B" w:rsidRDefault="0041684E" w:rsidP="0041684E">
      <w:pPr>
        <w:jc w:val="both"/>
      </w:pPr>
    </w:p>
    <w:p w14:paraId="31804935" w14:textId="77777777" w:rsidR="0041684E" w:rsidRPr="00CA118B" w:rsidRDefault="0041684E" w:rsidP="0041684E">
      <w:pPr>
        <w:jc w:val="both"/>
        <w:rPr>
          <w:b/>
          <w:u w:val="single"/>
        </w:rPr>
      </w:pPr>
      <w:r>
        <w:rPr>
          <w:b/>
          <w:u w:val="single"/>
        </w:rPr>
        <w:t>T</w:t>
      </w:r>
      <w:r w:rsidRPr="00CA118B">
        <w:rPr>
          <w:b/>
          <w:u w:val="single"/>
        </w:rPr>
        <w:t>hresholds</w:t>
      </w:r>
    </w:p>
    <w:p w14:paraId="218540BC" w14:textId="77777777" w:rsidR="0041684E" w:rsidRDefault="0041684E" w:rsidP="0041684E">
      <w:pPr>
        <w:jc w:val="both"/>
      </w:pPr>
    </w:p>
    <w:p w14:paraId="101134E8" w14:textId="7BC99332" w:rsidR="0041684E" w:rsidRDefault="0041684E" w:rsidP="0041684E">
      <w:pPr>
        <w:jc w:val="both"/>
      </w:pPr>
      <w:r w:rsidRPr="00CA118B">
        <w:t>Threshold requirements listed earlier in th</w:t>
      </w:r>
      <w:r>
        <w:t>is PY202</w:t>
      </w:r>
      <w:r w:rsidR="00022500">
        <w:t>1</w:t>
      </w:r>
      <w:r>
        <w:t xml:space="preserve"> One-Year Annual Action </w:t>
      </w:r>
      <w:r w:rsidRPr="00CA118B">
        <w:t xml:space="preserve">Plan will apply to all </w:t>
      </w:r>
      <w:r>
        <w:t>ED I</w:t>
      </w:r>
      <w:r w:rsidRPr="00CA118B">
        <w:t xml:space="preserve">ncubator </w:t>
      </w:r>
      <w:r>
        <w:t>P</w:t>
      </w:r>
      <w:r w:rsidRPr="00CA118B">
        <w:t>rojects.</w:t>
      </w:r>
    </w:p>
    <w:p w14:paraId="7F275C21" w14:textId="77777777" w:rsidR="0041684E" w:rsidRDefault="0041684E" w:rsidP="0041684E">
      <w:pPr>
        <w:jc w:val="both"/>
      </w:pPr>
    </w:p>
    <w:p w14:paraId="24065281" w14:textId="77777777" w:rsidR="0041684E" w:rsidRPr="00CA118B" w:rsidRDefault="0041684E" w:rsidP="0041684E">
      <w:pPr>
        <w:jc w:val="both"/>
        <w:rPr>
          <w:b/>
          <w:u w:val="single"/>
        </w:rPr>
      </w:pPr>
      <w:r w:rsidRPr="00CA118B">
        <w:rPr>
          <w:b/>
          <w:u w:val="single"/>
        </w:rPr>
        <w:t>Evaluation Criteria</w:t>
      </w:r>
    </w:p>
    <w:p w14:paraId="2197E3B9" w14:textId="77777777" w:rsidR="0041684E" w:rsidRDefault="0041684E" w:rsidP="0041684E">
      <w:pPr>
        <w:jc w:val="both"/>
      </w:pPr>
    </w:p>
    <w:p w14:paraId="5B080746" w14:textId="77777777" w:rsidR="0041684E" w:rsidRDefault="0041684E" w:rsidP="0041684E">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5E0BE4D1" w14:textId="77777777" w:rsidR="0041684E" w:rsidRDefault="0041684E" w:rsidP="0041684E">
      <w:pPr>
        <w:jc w:val="both"/>
      </w:pPr>
    </w:p>
    <w:p w14:paraId="430B3655" w14:textId="42D2B987" w:rsidR="0041684E" w:rsidRDefault="0041684E" w:rsidP="0041684E">
      <w:pPr>
        <w:tabs>
          <w:tab w:val="left" w:pos="720"/>
        </w:tabs>
        <w:ind w:left="540" w:hanging="540"/>
        <w:jc w:val="both"/>
      </w:pPr>
      <w:r w:rsidRPr="00CA118B">
        <w:t>1.</w:t>
      </w:r>
      <w:r w:rsidRPr="00CA118B">
        <w:tab/>
        <w:t>Criteria or system to be set up by an “Incubator” program to assure that 51 percent of the beneficiaries of the program are low</w:t>
      </w:r>
      <w:r w:rsidR="00156897">
        <w:t>-income</w:t>
      </w:r>
      <w:r w:rsidRPr="00CA118B">
        <w:t xml:space="preserve"> and moderate</w:t>
      </w:r>
      <w:r w:rsidR="00156897">
        <w:t>-</w:t>
      </w:r>
      <w:r w:rsidRPr="00CA118B">
        <w:t>income persons.</w:t>
      </w:r>
    </w:p>
    <w:p w14:paraId="203035D8" w14:textId="77777777" w:rsidR="0041684E" w:rsidRDefault="0041684E" w:rsidP="0041684E">
      <w:pPr>
        <w:tabs>
          <w:tab w:val="left" w:pos="720"/>
        </w:tabs>
        <w:ind w:left="540" w:hanging="540"/>
        <w:jc w:val="both"/>
      </w:pPr>
    </w:p>
    <w:p w14:paraId="748E6693" w14:textId="77777777" w:rsidR="0041684E" w:rsidRPr="00CA118B" w:rsidRDefault="0041684E" w:rsidP="0041684E">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1601FDB5" w14:textId="77777777" w:rsidR="0041684E" w:rsidRPr="00CA118B" w:rsidRDefault="0041684E" w:rsidP="0041684E">
      <w:pPr>
        <w:tabs>
          <w:tab w:val="left" w:pos="900"/>
        </w:tabs>
        <w:ind w:left="540" w:hanging="540"/>
        <w:jc w:val="both"/>
      </w:pPr>
      <w:r w:rsidRPr="00CA118B">
        <w:tab/>
      </w:r>
      <w:r w:rsidRPr="00CA118B">
        <w:tab/>
        <w:t>a. Proximity to a metropolitan area or other center of economic activity</w:t>
      </w:r>
    </w:p>
    <w:p w14:paraId="656EB63C" w14:textId="77777777" w:rsidR="0041684E" w:rsidRPr="00CA118B" w:rsidRDefault="0041684E" w:rsidP="0041684E">
      <w:pPr>
        <w:tabs>
          <w:tab w:val="left" w:pos="900"/>
        </w:tabs>
        <w:ind w:left="540" w:hanging="540"/>
        <w:jc w:val="both"/>
      </w:pPr>
      <w:r w:rsidRPr="00CA118B">
        <w:tab/>
      </w:r>
      <w:r w:rsidRPr="00CA118B">
        <w:tab/>
        <w:t>b. Accessibility of jurisdiction</w:t>
      </w:r>
    </w:p>
    <w:p w14:paraId="6351FF73" w14:textId="77777777" w:rsidR="0041684E" w:rsidRPr="00CA118B" w:rsidRDefault="0041684E" w:rsidP="0041684E">
      <w:pPr>
        <w:tabs>
          <w:tab w:val="left" w:pos="900"/>
        </w:tabs>
        <w:ind w:left="540" w:hanging="540"/>
        <w:jc w:val="both"/>
      </w:pPr>
      <w:r w:rsidRPr="00CA118B">
        <w:tab/>
      </w:r>
      <w:r w:rsidRPr="00CA118B">
        <w:tab/>
        <w:t>c. Accessibility of site</w:t>
      </w:r>
    </w:p>
    <w:p w14:paraId="5BC1CEF2" w14:textId="77777777" w:rsidR="0041684E" w:rsidRPr="00CA118B" w:rsidRDefault="0041684E" w:rsidP="0041684E">
      <w:pPr>
        <w:tabs>
          <w:tab w:val="left" w:pos="900"/>
        </w:tabs>
        <w:ind w:left="540" w:hanging="540"/>
        <w:jc w:val="both"/>
      </w:pPr>
      <w:r w:rsidRPr="00CA118B">
        <w:tab/>
      </w:r>
      <w:r w:rsidRPr="00CA118B">
        <w:tab/>
        <w:t>d. Quality and suitability of structure or proposed structure</w:t>
      </w:r>
    </w:p>
    <w:p w14:paraId="352CF088" w14:textId="77777777" w:rsidR="0041684E" w:rsidRPr="00CA118B" w:rsidRDefault="0041684E" w:rsidP="0041684E">
      <w:pPr>
        <w:tabs>
          <w:tab w:val="left" w:pos="900"/>
        </w:tabs>
        <w:ind w:left="540" w:hanging="540"/>
        <w:jc w:val="both"/>
      </w:pPr>
      <w:r w:rsidRPr="00CA118B">
        <w:tab/>
      </w:r>
      <w:r w:rsidRPr="00CA118B">
        <w:tab/>
        <w:t>e. Level of infrastructure serving site</w:t>
      </w:r>
    </w:p>
    <w:p w14:paraId="18146A59" w14:textId="77777777" w:rsidR="0041684E" w:rsidRDefault="0041684E" w:rsidP="0041684E">
      <w:pPr>
        <w:tabs>
          <w:tab w:val="left" w:pos="720"/>
        </w:tabs>
        <w:jc w:val="both"/>
      </w:pPr>
    </w:p>
    <w:p w14:paraId="6240A31C" w14:textId="77777777" w:rsidR="0041684E" w:rsidRPr="00CA118B" w:rsidRDefault="0041684E" w:rsidP="0041684E">
      <w:pPr>
        <w:tabs>
          <w:tab w:val="left" w:pos="720"/>
        </w:tabs>
        <w:jc w:val="both"/>
      </w:pPr>
      <w:r>
        <w:t>3.</w:t>
      </w:r>
      <w:r w:rsidRPr="00A44105">
        <w:t xml:space="preserve"> </w:t>
      </w:r>
      <w:r>
        <w:t xml:space="preserve">     </w:t>
      </w:r>
      <w:r w:rsidRPr="00CA118B">
        <w:t>Evidence of Local Support</w:t>
      </w:r>
    </w:p>
    <w:p w14:paraId="64BE4DA6" w14:textId="77777777" w:rsidR="0041684E" w:rsidRPr="00CA118B" w:rsidRDefault="0041684E" w:rsidP="0041684E">
      <w:pPr>
        <w:tabs>
          <w:tab w:val="left" w:pos="900"/>
        </w:tabs>
        <w:ind w:left="540" w:hanging="540"/>
        <w:jc w:val="both"/>
      </w:pPr>
      <w:r w:rsidRPr="00CA118B">
        <w:tab/>
      </w:r>
      <w:r w:rsidRPr="00CA118B">
        <w:tab/>
        <w:t>a. Financial</w:t>
      </w:r>
    </w:p>
    <w:p w14:paraId="73B5C965" w14:textId="77777777" w:rsidR="0041684E" w:rsidRPr="00CA118B" w:rsidRDefault="0041684E" w:rsidP="0041684E">
      <w:pPr>
        <w:tabs>
          <w:tab w:val="left" w:pos="900"/>
        </w:tabs>
        <w:ind w:left="540" w:hanging="540"/>
        <w:jc w:val="both"/>
      </w:pPr>
      <w:r w:rsidRPr="00CA118B">
        <w:tab/>
      </w:r>
      <w:r w:rsidRPr="00CA118B">
        <w:tab/>
        <w:t>b. Professional</w:t>
      </w:r>
    </w:p>
    <w:p w14:paraId="1FFC1DB5" w14:textId="77777777" w:rsidR="0041684E" w:rsidRPr="00CA118B" w:rsidRDefault="0041684E" w:rsidP="0041684E">
      <w:pPr>
        <w:tabs>
          <w:tab w:val="left" w:pos="900"/>
        </w:tabs>
        <w:ind w:left="540" w:hanging="540"/>
        <w:jc w:val="both"/>
      </w:pPr>
      <w:r w:rsidRPr="00CA118B">
        <w:tab/>
      </w:r>
      <w:r w:rsidRPr="00CA118B">
        <w:tab/>
        <w:t>c. Other</w:t>
      </w:r>
    </w:p>
    <w:p w14:paraId="43B98F6A" w14:textId="77777777" w:rsidR="0041684E" w:rsidRPr="00CA118B" w:rsidRDefault="0041684E" w:rsidP="0041684E">
      <w:pPr>
        <w:tabs>
          <w:tab w:val="left" w:pos="720"/>
        </w:tabs>
        <w:ind w:left="540" w:hanging="540"/>
        <w:jc w:val="both"/>
      </w:pPr>
      <w:r w:rsidRPr="00CA118B">
        <w:t>4.</w:t>
      </w:r>
      <w:r w:rsidRPr="00CA118B">
        <w:tab/>
        <w:t>Feasibility of Program</w:t>
      </w:r>
    </w:p>
    <w:p w14:paraId="40BFB963" w14:textId="77777777" w:rsidR="0041684E" w:rsidRPr="00CA118B" w:rsidRDefault="0041684E" w:rsidP="0041684E">
      <w:pPr>
        <w:tabs>
          <w:tab w:val="left" w:pos="900"/>
        </w:tabs>
        <w:ind w:left="540" w:hanging="540"/>
        <w:jc w:val="both"/>
      </w:pPr>
      <w:r w:rsidRPr="00CA118B">
        <w:tab/>
      </w:r>
      <w:r w:rsidRPr="00CA118B">
        <w:tab/>
        <w:t>a. Clarity of Program</w:t>
      </w:r>
    </w:p>
    <w:p w14:paraId="1637E9AD" w14:textId="77777777" w:rsidR="0041684E" w:rsidRPr="00CA118B" w:rsidRDefault="0041684E" w:rsidP="0041684E">
      <w:pPr>
        <w:tabs>
          <w:tab w:val="left" w:pos="900"/>
        </w:tabs>
        <w:ind w:left="540" w:hanging="540"/>
        <w:jc w:val="both"/>
      </w:pPr>
      <w:r w:rsidRPr="00CA118B">
        <w:tab/>
      </w:r>
      <w:r w:rsidRPr="00CA118B">
        <w:tab/>
        <w:t>b. Certainty that program will be carried out for specific period</w:t>
      </w:r>
    </w:p>
    <w:p w14:paraId="7A0C5C19" w14:textId="77777777" w:rsidR="0041684E" w:rsidRPr="00CA118B" w:rsidRDefault="0041684E" w:rsidP="0041684E">
      <w:pPr>
        <w:tabs>
          <w:tab w:val="left" w:pos="900"/>
        </w:tabs>
        <w:ind w:left="540" w:hanging="540"/>
        <w:jc w:val="both"/>
      </w:pPr>
      <w:r w:rsidRPr="00CA118B">
        <w:tab/>
      </w:r>
      <w:r w:rsidRPr="00CA118B">
        <w:tab/>
        <w:t>c. Background and credentials of personnel in program</w:t>
      </w:r>
    </w:p>
    <w:p w14:paraId="47362B82" w14:textId="77777777" w:rsidR="0041684E" w:rsidRPr="00CA118B" w:rsidRDefault="0041684E" w:rsidP="0041684E">
      <w:pPr>
        <w:tabs>
          <w:tab w:val="left" w:pos="900"/>
        </w:tabs>
        <w:ind w:left="540" w:hanging="540"/>
        <w:jc w:val="both"/>
      </w:pPr>
      <w:r w:rsidRPr="00CA118B">
        <w:tab/>
      </w:r>
      <w:r w:rsidRPr="00CA118B">
        <w:tab/>
        <w:t>d. Nature of program</w:t>
      </w:r>
    </w:p>
    <w:p w14:paraId="043000F5" w14:textId="1D367602" w:rsidR="0041684E" w:rsidRDefault="0041684E" w:rsidP="0041684E">
      <w:pPr>
        <w:jc w:val="both"/>
      </w:pPr>
    </w:p>
    <w:p w14:paraId="4D59FAC0" w14:textId="0FF5714B" w:rsidR="00FB2AD3" w:rsidRDefault="00FB2AD3" w:rsidP="0041684E">
      <w:pPr>
        <w:jc w:val="both"/>
      </w:pPr>
    </w:p>
    <w:p w14:paraId="5608000B" w14:textId="77777777" w:rsidR="00FB2AD3" w:rsidRDefault="00FB2AD3" w:rsidP="0041684E">
      <w:pPr>
        <w:jc w:val="both"/>
      </w:pPr>
    </w:p>
    <w:p w14:paraId="40A16B9B" w14:textId="77777777" w:rsidR="0041684E" w:rsidRDefault="0041684E" w:rsidP="0041684E">
      <w:pPr>
        <w:jc w:val="both"/>
        <w:rPr>
          <w:b/>
          <w:u w:val="single"/>
        </w:rPr>
      </w:pPr>
      <w:r w:rsidRPr="00CA118B">
        <w:rPr>
          <w:b/>
          <w:u w:val="single"/>
        </w:rPr>
        <w:lastRenderedPageBreak/>
        <w:t>ED LOANS</w:t>
      </w:r>
    </w:p>
    <w:p w14:paraId="0BA9E06B" w14:textId="77777777" w:rsidR="0041684E" w:rsidRPr="00DC6FC3" w:rsidRDefault="0041684E" w:rsidP="0041684E">
      <w:pPr>
        <w:jc w:val="both"/>
        <w:rPr>
          <w:b/>
          <w:u w:val="single"/>
        </w:rPr>
      </w:pPr>
    </w:p>
    <w:p w14:paraId="0F132AD0" w14:textId="4829B859" w:rsidR="0041684E" w:rsidRPr="00CA118B" w:rsidRDefault="0041684E" w:rsidP="0041684E">
      <w:pPr>
        <w:jc w:val="both"/>
      </w:pPr>
      <w:r w:rsidRPr="00CA118B">
        <w:t xml:space="preserve">Eligible applicants may apply for ED </w:t>
      </w:r>
      <w:r>
        <w:t>Loan</w:t>
      </w:r>
      <w:r w:rsidRPr="00CA118B">
        <w:t>s anytime during the program period to make loans to private businesses for locating or expanding in the community and creating or retaining jobs for low</w:t>
      </w:r>
      <w:r w:rsidR="00A825DC">
        <w:t>-income</w:t>
      </w:r>
      <w:r w:rsidRPr="00CA118B">
        <w:t xml:space="preserve"> and moderate</w:t>
      </w:r>
      <w:r w:rsidR="00A825DC">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 xml:space="preserve">oans are listed as </w:t>
      </w:r>
      <w:proofErr w:type="gramStart"/>
      <w:r w:rsidRPr="00CA118B">
        <w:t>follows</w:t>
      </w:r>
      <w:r>
        <w:t xml:space="preserve">, </w:t>
      </w:r>
      <w:r w:rsidRPr="00CA118B">
        <w:t>and</w:t>
      </w:r>
      <w:proofErr w:type="gramEnd"/>
      <w:r w:rsidRPr="00CA118B">
        <w:t xml:space="preserve"> are in addition to overall </w:t>
      </w:r>
      <w:r>
        <w:t>T</w:t>
      </w:r>
      <w:r w:rsidRPr="00CA118B">
        <w:t>hresholds listed earlier in th</w:t>
      </w:r>
      <w:r>
        <w:t>is PY202</w:t>
      </w:r>
      <w:r w:rsidR="00022500">
        <w:t>1</w:t>
      </w:r>
      <w:r>
        <w:t xml:space="preserve"> One-Year Annual Action </w:t>
      </w:r>
      <w:r w:rsidRPr="00CA118B">
        <w:t>Plan.</w:t>
      </w:r>
    </w:p>
    <w:p w14:paraId="6D5E1B0B" w14:textId="77777777" w:rsidR="0041684E" w:rsidRDefault="0041684E" w:rsidP="0041684E">
      <w:pPr>
        <w:jc w:val="both"/>
        <w:rPr>
          <w:b/>
          <w:u w:val="single"/>
        </w:rPr>
      </w:pPr>
    </w:p>
    <w:p w14:paraId="4E4058A6" w14:textId="77777777" w:rsidR="0041684E" w:rsidRPr="00CA118B" w:rsidRDefault="0041684E" w:rsidP="0041684E">
      <w:pPr>
        <w:jc w:val="both"/>
        <w:rPr>
          <w:b/>
          <w:u w:val="single"/>
        </w:rPr>
      </w:pPr>
      <w:r w:rsidRPr="00CA118B">
        <w:rPr>
          <w:b/>
          <w:u w:val="single"/>
        </w:rPr>
        <w:t>Thresholds</w:t>
      </w:r>
    </w:p>
    <w:p w14:paraId="1595C8A0" w14:textId="77777777" w:rsidR="0041684E" w:rsidRDefault="0041684E" w:rsidP="0041684E">
      <w:pPr>
        <w:ind w:left="540" w:hanging="540"/>
        <w:jc w:val="both"/>
      </w:pPr>
    </w:p>
    <w:p w14:paraId="2E3E6051" w14:textId="77777777" w:rsidR="0041684E"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2A01D420" w14:textId="77777777" w:rsidR="0041684E" w:rsidRPr="00CA118B" w:rsidRDefault="0041684E" w:rsidP="0041684E">
      <w:pPr>
        <w:ind w:left="540" w:hanging="540"/>
        <w:jc w:val="both"/>
      </w:pPr>
    </w:p>
    <w:p w14:paraId="23339B28" w14:textId="77777777" w:rsidR="0041684E"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0DD4049B" w14:textId="77777777" w:rsidR="0041684E" w:rsidRDefault="0041684E" w:rsidP="0041684E">
      <w:pPr>
        <w:ind w:left="540" w:hanging="540"/>
        <w:jc w:val="both"/>
      </w:pPr>
    </w:p>
    <w:p w14:paraId="19C17532" w14:textId="77777777" w:rsidR="0041684E" w:rsidRPr="00DD3E87" w:rsidRDefault="0041684E" w:rsidP="0041684E">
      <w:pPr>
        <w:ind w:left="540" w:hanging="540"/>
        <w:jc w:val="both"/>
      </w:pPr>
      <w:r>
        <w:t>3</w:t>
      </w:r>
      <w:r w:rsidRPr="00CA118B">
        <w:t>.</w:t>
      </w:r>
      <w:r w:rsidRPr="00CA118B">
        <w:tab/>
        <w:t xml:space="preserve">The </w:t>
      </w:r>
      <w:r w:rsidRPr="00DD3E87">
        <w:t>applicant must have a commitment from the business to create or retain jobs.</w:t>
      </w:r>
    </w:p>
    <w:p w14:paraId="2DB9AC33" w14:textId="77777777" w:rsidR="0041684E" w:rsidRDefault="0041684E" w:rsidP="0041684E">
      <w:pPr>
        <w:ind w:left="540" w:hanging="540"/>
        <w:jc w:val="both"/>
      </w:pPr>
    </w:p>
    <w:p w14:paraId="470FDA5F" w14:textId="77777777" w:rsidR="0041684E" w:rsidRPr="00CA118B" w:rsidRDefault="0041684E" w:rsidP="0041684E">
      <w:pPr>
        <w:ind w:left="540" w:hanging="540"/>
        <w:jc w:val="both"/>
      </w:pPr>
      <w:r w:rsidRPr="00CA118B">
        <w:t>4.</w:t>
      </w:r>
      <w:r w:rsidRPr="00CA118B">
        <w:tab/>
        <w:t xml:space="preserve">Beneficiaries of ED Fund projects must be at least 51 percent </w:t>
      </w:r>
      <w:proofErr w:type="gramStart"/>
      <w:r w:rsidRPr="00CA118B">
        <w:t>low and moderate income</w:t>
      </w:r>
      <w:proofErr w:type="gramEnd"/>
      <w:r w:rsidRPr="00CA118B">
        <w:t xml:space="preserve"> persons.</w:t>
      </w:r>
    </w:p>
    <w:p w14:paraId="4639510B" w14:textId="039209F9" w:rsidR="0041684E" w:rsidRDefault="0041684E" w:rsidP="0041684E">
      <w:pPr>
        <w:jc w:val="both"/>
      </w:pPr>
    </w:p>
    <w:p w14:paraId="1FE6E75E" w14:textId="77777777" w:rsidR="0041684E" w:rsidRPr="00CA118B" w:rsidRDefault="0041684E" w:rsidP="0041684E">
      <w:pPr>
        <w:jc w:val="both"/>
        <w:rPr>
          <w:b/>
          <w:u w:val="single"/>
        </w:rPr>
      </w:pPr>
      <w:r w:rsidRPr="00CA118B">
        <w:rPr>
          <w:b/>
          <w:u w:val="single"/>
        </w:rPr>
        <w:t>Evaluation Criteria</w:t>
      </w:r>
    </w:p>
    <w:p w14:paraId="7846C8DA" w14:textId="77777777" w:rsidR="0041684E" w:rsidRDefault="0041684E" w:rsidP="0041684E">
      <w:pPr>
        <w:jc w:val="both"/>
      </w:pPr>
    </w:p>
    <w:p w14:paraId="4E944CE1" w14:textId="77777777" w:rsidR="0041684E" w:rsidRDefault="0041684E" w:rsidP="0041684E">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2A562CFB" w14:textId="77777777" w:rsidR="0041684E" w:rsidRPr="00CA118B" w:rsidRDefault="0041684E" w:rsidP="0041684E">
      <w:pPr>
        <w:ind w:left="540" w:hanging="540"/>
        <w:jc w:val="both"/>
      </w:pPr>
      <w:r w:rsidRPr="00CA118B">
        <w:t>1.</w:t>
      </w:r>
      <w:r w:rsidRPr="00CA118B">
        <w:tab/>
        <w:t>CDBG dollars per permanent job</w:t>
      </w:r>
    </w:p>
    <w:p w14:paraId="47085979" w14:textId="77777777" w:rsidR="0041684E" w:rsidRPr="00CA118B" w:rsidRDefault="0041684E" w:rsidP="0041684E">
      <w:pPr>
        <w:ind w:left="540" w:hanging="540"/>
        <w:jc w:val="both"/>
      </w:pPr>
      <w:r w:rsidRPr="00CA118B">
        <w:t>2.</w:t>
      </w:r>
      <w:r w:rsidRPr="00CA118B">
        <w:tab/>
        <w:t>Leverage ratio (private dollars as compared to CDBG dollars)</w:t>
      </w:r>
    </w:p>
    <w:p w14:paraId="265D4AF4" w14:textId="77777777" w:rsidR="0041684E" w:rsidRPr="00CA118B" w:rsidRDefault="0041684E" w:rsidP="0041684E">
      <w:pPr>
        <w:ind w:left="540" w:hanging="540"/>
        <w:jc w:val="both"/>
      </w:pPr>
      <w:r w:rsidRPr="00CA118B">
        <w:lastRenderedPageBreak/>
        <w:t>3.</w:t>
      </w:r>
      <w:r w:rsidRPr="00CA118B">
        <w:tab/>
        <w:t>The actual number of permanent jobs to be created or retained</w:t>
      </w:r>
    </w:p>
    <w:p w14:paraId="64113DDE" w14:textId="77777777" w:rsidR="0041684E" w:rsidRPr="00CA118B" w:rsidRDefault="0041684E" w:rsidP="0041684E">
      <w:pPr>
        <w:ind w:left="540" w:hanging="540"/>
        <w:jc w:val="both"/>
      </w:pPr>
      <w:r w:rsidRPr="00CA118B">
        <w:t>4.</w:t>
      </w:r>
      <w:r w:rsidRPr="00CA118B">
        <w:tab/>
        <w:t>Potential for spin-off benefits</w:t>
      </w:r>
    </w:p>
    <w:p w14:paraId="047F5594" w14:textId="77777777" w:rsidR="0041684E" w:rsidRPr="00CA118B" w:rsidRDefault="0041684E" w:rsidP="0041684E">
      <w:pPr>
        <w:ind w:left="540" w:hanging="540"/>
        <w:jc w:val="both"/>
      </w:pPr>
      <w:r w:rsidRPr="00CA118B">
        <w:t>5.</w:t>
      </w:r>
      <w:r w:rsidRPr="00CA118B">
        <w:tab/>
        <w:t>Job diversification</w:t>
      </w:r>
    </w:p>
    <w:p w14:paraId="2402BFC5" w14:textId="77777777" w:rsidR="0041684E" w:rsidRPr="00CA118B" w:rsidRDefault="0041684E" w:rsidP="0041684E">
      <w:pPr>
        <w:ind w:left="540" w:hanging="540"/>
        <w:jc w:val="both"/>
      </w:pPr>
      <w:r w:rsidRPr="00CA118B">
        <w:t>6.</w:t>
      </w:r>
      <w:r w:rsidRPr="00CA118B">
        <w:tab/>
        <w:t>Loan pay-back/collateral</w:t>
      </w:r>
    </w:p>
    <w:p w14:paraId="1883BA77" w14:textId="77777777" w:rsidR="0041684E" w:rsidRDefault="0041684E" w:rsidP="0041684E">
      <w:pPr>
        <w:jc w:val="both"/>
        <w:rPr>
          <w:u w:val="single"/>
        </w:rPr>
      </w:pPr>
    </w:p>
    <w:p w14:paraId="10952F2A" w14:textId="77777777" w:rsidR="0041684E" w:rsidRDefault="0041684E" w:rsidP="0041684E">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463F201F" w14:textId="77777777" w:rsidR="0041684E" w:rsidRDefault="0041684E" w:rsidP="0041684E">
      <w:pPr>
        <w:jc w:val="both"/>
      </w:pPr>
    </w:p>
    <w:p w14:paraId="7EC01222" w14:textId="77777777" w:rsidR="0041684E" w:rsidRPr="00CA118B" w:rsidRDefault="0041684E" w:rsidP="0041684E">
      <w:pPr>
        <w:jc w:val="both"/>
        <w:rPr>
          <w:b/>
          <w:u w:val="single"/>
        </w:rPr>
      </w:pPr>
      <w:r w:rsidRPr="00CA118B">
        <w:rPr>
          <w:b/>
          <w:u w:val="single"/>
        </w:rPr>
        <w:t>ED FLOAT LOANS</w:t>
      </w:r>
    </w:p>
    <w:p w14:paraId="2984B07E" w14:textId="77777777" w:rsidR="0041684E" w:rsidRDefault="0041684E" w:rsidP="0041684E">
      <w:pPr>
        <w:jc w:val="both"/>
      </w:pPr>
    </w:p>
    <w:p w14:paraId="62739B47" w14:textId="081873B9" w:rsidR="0041684E" w:rsidRDefault="0041684E" w:rsidP="0041684E">
      <w:pPr>
        <w:jc w:val="both"/>
      </w:pPr>
      <w:r w:rsidRPr="00CA118B">
        <w:t xml:space="preserve">ED Float Loans are short-term loans which will be </w:t>
      </w:r>
      <w:proofErr w:type="gramStart"/>
      <w:r w:rsidRPr="00CA118B">
        <w:t>made out of</w:t>
      </w:r>
      <w:proofErr w:type="gramEnd"/>
      <w:r w:rsidRPr="00CA118B">
        <w:t xml:space="preserve">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which will principally benefit low</w:t>
      </w:r>
      <w:r w:rsidR="00FA26A6">
        <w:t>-income</w:t>
      </w:r>
      <w:r w:rsidRPr="00CA118B">
        <w:t xml:space="preserve"> and moderate</w:t>
      </w:r>
      <w:r w:rsidR="00FA26A6">
        <w:t>-</w:t>
      </w:r>
      <w:r w:rsidRPr="00CA118B">
        <w:t xml:space="preserve">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w:t>
      </w:r>
      <w:proofErr w:type="gramStart"/>
      <w:r w:rsidRPr="00CA118B">
        <w:t>on the basis of</w:t>
      </w:r>
      <w:proofErr w:type="gramEnd"/>
      <w:r w:rsidRPr="00CA118B">
        <w:t xml:space="preserve">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w:t>
      </w:r>
      <w:r w:rsidR="00022500">
        <w:t>1</w:t>
      </w:r>
      <w:r>
        <w:t xml:space="preserve"> One-Year Annual Action Plan.</w:t>
      </w:r>
    </w:p>
    <w:p w14:paraId="0818D3E7" w14:textId="77777777" w:rsidR="0041684E" w:rsidRDefault="0041684E" w:rsidP="0041684E">
      <w:pPr>
        <w:jc w:val="both"/>
      </w:pPr>
    </w:p>
    <w:p w14:paraId="3B8607FB" w14:textId="77777777" w:rsidR="0041684E" w:rsidRDefault="0041684E" w:rsidP="0041684E">
      <w:pPr>
        <w:jc w:val="both"/>
      </w:pPr>
      <w:r w:rsidRPr="00CA118B">
        <w:t xml:space="preserve">The </w:t>
      </w:r>
      <w:r>
        <w:t xml:space="preserve">ED </w:t>
      </w:r>
      <w:r w:rsidRPr="00CA118B">
        <w:t>Float Loan program will be governed by the following requirements:</w:t>
      </w:r>
    </w:p>
    <w:p w14:paraId="1FECF177" w14:textId="77777777" w:rsidR="0041684E" w:rsidRDefault="0041684E" w:rsidP="0041684E">
      <w:pPr>
        <w:jc w:val="both"/>
      </w:pPr>
    </w:p>
    <w:p w14:paraId="5FF82E6E" w14:textId="77777777" w:rsidR="0041684E" w:rsidRPr="00CA118B" w:rsidRDefault="0041684E" w:rsidP="0041684E">
      <w:pPr>
        <w:jc w:val="both"/>
        <w:rPr>
          <w:b/>
          <w:u w:val="single"/>
        </w:rPr>
      </w:pPr>
      <w:r w:rsidRPr="00CA118B">
        <w:rPr>
          <w:b/>
          <w:u w:val="single"/>
        </w:rPr>
        <w:t>Program Objective</w:t>
      </w:r>
    </w:p>
    <w:p w14:paraId="4F1A27BF" w14:textId="77777777" w:rsidR="0041684E" w:rsidRDefault="0041684E" w:rsidP="0041684E">
      <w:pPr>
        <w:jc w:val="both"/>
      </w:pPr>
    </w:p>
    <w:p w14:paraId="3973B8E8" w14:textId="3ECDFE79" w:rsidR="0041684E" w:rsidRPr="00CA118B" w:rsidRDefault="0041684E" w:rsidP="0041684E">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Float Loan program may be used to help retain jobs.  Of the jobs to be created or retained, at least 51 percent must be occupied by or made available to low</w:t>
      </w:r>
      <w:r w:rsidR="00864DDC">
        <w:t>-income</w:t>
      </w:r>
      <w:r w:rsidRPr="00CA118B">
        <w:t xml:space="preserve"> and moderate</w:t>
      </w:r>
      <w:r w:rsidR="00864DDC">
        <w:t>-</w:t>
      </w:r>
      <w:r w:rsidRPr="00CA118B">
        <w:t xml:space="preserve">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2789730D" w14:textId="77777777" w:rsidR="0041684E" w:rsidRDefault="0041684E" w:rsidP="0041684E">
      <w:pPr>
        <w:jc w:val="both"/>
        <w:rPr>
          <w:u w:val="single"/>
        </w:rPr>
      </w:pPr>
    </w:p>
    <w:p w14:paraId="5F0F7A3C" w14:textId="77777777" w:rsidR="0041684E" w:rsidRPr="00CA118B" w:rsidRDefault="0041684E" w:rsidP="0041684E">
      <w:pPr>
        <w:jc w:val="both"/>
        <w:rPr>
          <w:b/>
          <w:u w:val="single"/>
        </w:rPr>
      </w:pPr>
      <w:r w:rsidRPr="00CA118B">
        <w:rPr>
          <w:b/>
          <w:u w:val="single"/>
        </w:rPr>
        <w:lastRenderedPageBreak/>
        <w:t>Eligible Activities</w:t>
      </w:r>
    </w:p>
    <w:p w14:paraId="6FD138B2" w14:textId="77777777" w:rsidR="0041684E" w:rsidRDefault="0041684E" w:rsidP="0041684E">
      <w:pPr>
        <w:jc w:val="both"/>
      </w:pPr>
    </w:p>
    <w:p w14:paraId="4878E9E4" w14:textId="77777777" w:rsidR="0041684E" w:rsidRDefault="0041684E" w:rsidP="0041684E">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61B1B8F3" w14:textId="77777777" w:rsidR="0041684E" w:rsidRPr="00CA118B" w:rsidRDefault="0041684E" w:rsidP="0041684E">
      <w:pPr>
        <w:jc w:val="both"/>
      </w:pPr>
    </w:p>
    <w:p w14:paraId="7A113C68" w14:textId="77777777" w:rsidR="0041684E" w:rsidRPr="00CA118B" w:rsidRDefault="0041684E" w:rsidP="0041684E">
      <w:pPr>
        <w:jc w:val="both"/>
        <w:rPr>
          <w:b/>
          <w:u w:val="single"/>
        </w:rPr>
      </w:pPr>
      <w:r w:rsidRPr="00CA118B">
        <w:rPr>
          <w:b/>
          <w:u w:val="single"/>
        </w:rPr>
        <w:t>Loan Amounts and Terms</w:t>
      </w:r>
    </w:p>
    <w:p w14:paraId="024764D6" w14:textId="77777777" w:rsidR="0041684E" w:rsidRDefault="0041684E" w:rsidP="0041684E">
      <w:pPr>
        <w:jc w:val="both"/>
      </w:pPr>
    </w:p>
    <w:p w14:paraId="07F40D62" w14:textId="4547D04D" w:rsidR="0041684E" w:rsidRPr="00CA118B" w:rsidRDefault="0041684E" w:rsidP="0041684E">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w:t>
      </w:r>
      <w:r w:rsidR="00864DDC">
        <w:t>-income</w:t>
      </w:r>
      <w:r w:rsidRPr="00CA118B">
        <w:t xml:space="preserve"> and moderate</w:t>
      </w:r>
      <w:r w:rsidR="00864DDC">
        <w:t>-</w:t>
      </w:r>
      <w:r w:rsidRPr="00CA118B">
        <w:t xml:space="preserve">income persons are involved.  The loan term will be for one </w:t>
      </w:r>
      <w:proofErr w:type="gramStart"/>
      <w:r w:rsidRPr="00CA118B">
        <w:t>year</w:t>
      </w:r>
      <w:r>
        <w:t xml:space="preserve">, </w:t>
      </w:r>
      <w:r w:rsidRPr="00CA118B">
        <w:t>and</w:t>
      </w:r>
      <w:proofErr w:type="gramEnd"/>
      <w:r w:rsidRPr="00CA118B">
        <w:t xml:space="preserve"> can be extended for one additional year.  Interest earned on </w:t>
      </w:r>
      <w:r>
        <w:t xml:space="preserve">ED </w:t>
      </w:r>
      <w:r w:rsidRPr="00CA118B">
        <w:t xml:space="preserve">Float Loans will be treated as Program </w:t>
      </w:r>
      <w:proofErr w:type="gramStart"/>
      <w:r w:rsidRPr="00CA118B">
        <w:t>Income</w:t>
      </w:r>
      <w:r>
        <w:t xml:space="preserve">, </w:t>
      </w:r>
      <w:r w:rsidRPr="00CA118B">
        <w:t>and</w:t>
      </w:r>
      <w:proofErr w:type="gramEnd"/>
      <w:r w:rsidRPr="00CA118B">
        <w:t xml:space="preserve"> will be used for CDBG-eligible activities.</w:t>
      </w:r>
    </w:p>
    <w:p w14:paraId="38B21F74" w14:textId="77777777" w:rsidR="0041684E" w:rsidRPr="00CA118B" w:rsidRDefault="0041684E" w:rsidP="0041684E">
      <w:pPr>
        <w:jc w:val="both"/>
        <w:rPr>
          <w:b/>
          <w:u w:val="single"/>
        </w:rPr>
      </w:pPr>
    </w:p>
    <w:p w14:paraId="246D6E1D" w14:textId="77777777" w:rsidR="0041684E" w:rsidRPr="00CA118B" w:rsidRDefault="0041684E" w:rsidP="0041684E">
      <w:pPr>
        <w:jc w:val="both"/>
        <w:rPr>
          <w:b/>
          <w:u w:val="single"/>
        </w:rPr>
      </w:pPr>
      <w:r w:rsidRPr="00CA118B">
        <w:rPr>
          <w:b/>
          <w:u w:val="single"/>
        </w:rPr>
        <w:t>Evaluation Criteria</w:t>
      </w:r>
    </w:p>
    <w:p w14:paraId="152615F2" w14:textId="77777777" w:rsidR="0041684E" w:rsidRDefault="0041684E" w:rsidP="0041684E">
      <w:pPr>
        <w:jc w:val="both"/>
      </w:pPr>
    </w:p>
    <w:p w14:paraId="71249C5C" w14:textId="77777777" w:rsidR="0041684E" w:rsidRDefault="0041684E" w:rsidP="0041684E">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248F5F26" w14:textId="77777777" w:rsidR="0041684E" w:rsidRPr="00CA118B" w:rsidRDefault="0041684E" w:rsidP="0041684E">
      <w:pPr>
        <w:ind w:left="540" w:hanging="540"/>
        <w:jc w:val="both"/>
      </w:pPr>
      <w:r w:rsidRPr="00CA118B">
        <w:t>1.</w:t>
      </w:r>
      <w:r w:rsidRPr="00CA118B">
        <w:tab/>
        <w:t>Conformance with the National Objective</w:t>
      </w:r>
    </w:p>
    <w:p w14:paraId="2B41F3AC" w14:textId="77777777" w:rsidR="0041684E" w:rsidRPr="00CA118B" w:rsidRDefault="0041684E" w:rsidP="0041684E">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1C2DD02C" w14:textId="77777777" w:rsidR="0041684E" w:rsidRPr="00CA118B" w:rsidRDefault="0041684E" w:rsidP="0041684E">
      <w:pPr>
        <w:ind w:left="540" w:hanging="540"/>
        <w:jc w:val="both"/>
      </w:pPr>
      <w:r w:rsidRPr="00CA118B">
        <w:t>3.</w:t>
      </w:r>
      <w:r w:rsidRPr="00CA118B">
        <w:tab/>
        <w:t>Number of jobs involved</w:t>
      </w:r>
    </w:p>
    <w:p w14:paraId="2497F4CA" w14:textId="77777777" w:rsidR="0041684E" w:rsidRPr="00CA118B" w:rsidRDefault="0041684E" w:rsidP="0041684E">
      <w:pPr>
        <w:ind w:left="540" w:hanging="540"/>
        <w:jc w:val="both"/>
      </w:pPr>
      <w:r w:rsidRPr="00CA118B">
        <w:t>4.</w:t>
      </w:r>
      <w:r w:rsidRPr="00CA118B">
        <w:tab/>
        <w:t>Private investment</w:t>
      </w:r>
    </w:p>
    <w:p w14:paraId="7496A3D3" w14:textId="77777777" w:rsidR="0041684E" w:rsidRPr="00CA118B" w:rsidRDefault="0041684E" w:rsidP="0041684E">
      <w:pPr>
        <w:ind w:left="540" w:hanging="540"/>
        <w:jc w:val="both"/>
      </w:pPr>
      <w:r w:rsidRPr="00CA118B">
        <w:t>5.</w:t>
      </w:r>
      <w:r w:rsidRPr="00CA118B">
        <w:tab/>
        <w:t>Unemployment/community distress</w:t>
      </w:r>
    </w:p>
    <w:p w14:paraId="5217C991" w14:textId="77777777" w:rsidR="0041684E" w:rsidRPr="00CA118B" w:rsidRDefault="0041684E" w:rsidP="0041684E">
      <w:pPr>
        <w:ind w:left="540" w:hanging="540"/>
        <w:jc w:val="both"/>
      </w:pPr>
      <w:r w:rsidRPr="00CA118B">
        <w:t>6.</w:t>
      </w:r>
      <w:r w:rsidRPr="00CA118B">
        <w:tab/>
        <w:t>Job diversification</w:t>
      </w:r>
    </w:p>
    <w:p w14:paraId="759C9983" w14:textId="77777777" w:rsidR="0041684E" w:rsidRPr="00CA118B" w:rsidRDefault="0041684E" w:rsidP="0041684E">
      <w:pPr>
        <w:ind w:left="540" w:hanging="540"/>
        <w:jc w:val="both"/>
      </w:pPr>
      <w:r w:rsidRPr="00CA118B">
        <w:t>7.</w:t>
      </w:r>
      <w:r w:rsidRPr="00CA118B">
        <w:tab/>
        <w:t>Indirect/spin-off benefits</w:t>
      </w:r>
    </w:p>
    <w:p w14:paraId="13BA2EA1" w14:textId="43B7069C" w:rsidR="0041684E" w:rsidRDefault="0041684E" w:rsidP="0041684E">
      <w:pPr>
        <w:ind w:left="720" w:hanging="720"/>
      </w:pPr>
    </w:p>
    <w:p w14:paraId="5F856F67" w14:textId="77777777" w:rsidR="00C8704C" w:rsidRDefault="00C8704C" w:rsidP="0041684E">
      <w:pPr>
        <w:ind w:left="720" w:hanging="720"/>
      </w:pPr>
    </w:p>
    <w:p w14:paraId="689B89AA"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31FD1AEC" w14:textId="77777777" w:rsidR="0041684E" w:rsidRDefault="0041684E" w:rsidP="0041684E">
      <w:pPr>
        <w:jc w:val="both"/>
      </w:pPr>
    </w:p>
    <w:p w14:paraId="55FE933E" w14:textId="1373E343" w:rsidR="0041684E" w:rsidRDefault="0041684E" w:rsidP="0041684E">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is PY202</w:t>
      </w:r>
      <w:r w:rsidR="00022500">
        <w:t>1</w:t>
      </w:r>
      <w:r>
        <w:t xml:space="preserve">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6D7B20CB" w14:textId="5BC1BAD7" w:rsidR="0091407B" w:rsidRDefault="0091407B" w:rsidP="0041684E">
      <w:pPr>
        <w:jc w:val="both"/>
      </w:pPr>
    </w:p>
    <w:p w14:paraId="3229A0B9" w14:textId="0207B227" w:rsidR="00C8704C" w:rsidRDefault="00C8704C" w:rsidP="0041684E">
      <w:pPr>
        <w:jc w:val="both"/>
      </w:pPr>
    </w:p>
    <w:p w14:paraId="63AEF4DF" w14:textId="77777777" w:rsidR="0041684E" w:rsidRPr="00CA118B" w:rsidRDefault="0041684E" w:rsidP="0041684E">
      <w:pPr>
        <w:jc w:val="both"/>
        <w:rPr>
          <w:b/>
          <w:u w:val="single"/>
        </w:rPr>
      </w:pPr>
      <w:r w:rsidRPr="00CA118B">
        <w:rPr>
          <w:b/>
          <w:u w:val="single"/>
        </w:rPr>
        <w:lastRenderedPageBreak/>
        <w:t>Thresholds</w:t>
      </w:r>
    </w:p>
    <w:p w14:paraId="49F5070C" w14:textId="77777777" w:rsidR="0041684E" w:rsidRDefault="0041684E" w:rsidP="0041684E">
      <w:pPr>
        <w:ind w:left="540" w:hanging="540"/>
        <w:jc w:val="both"/>
      </w:pPr>
    </w:p>
    <w:p w14:paraId="581C30BF" w14:textId="77777777" w:rsidR="0041684E" w:rsidRPr="00CA118B"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4C8703FA" w14:textId="77777777" w:rsidR="0041684E" w:rsidRPr="00CA118B"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2B05992" w14:textId="77777777" w:rsidR="0041684E" w:rsidRPr="00CA118B" w:rsidRDefault="0041684E" w:rsidP="0041684E">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2692860" w14:textId="17A649BA" w:rsidR="0041684E" w:rsidRDefault="0041684E" w:rsidP="0041684E">
      <w:pPr>
        <w:ind w:left="540" w:hanging="540"/>
        <w:jc w:val="both"/>
      </w:pPr>
      <w:r w:rsidRPr="00CA118B">
        <w:t>4.</w:t>
      </w:r>
      <w:r w:rsidRPr="00CA118B">
        <w:tab/>
        <w:t>Beneficiaries of Section 108 Loan Guarantee projects must be at least 51 percent low</w:t>
      </w:r>
      <w:r w:rsidR="00AC7306">
        <w:t>-income</w:t>
      </w:r>
      <w:r w:rsidRPr="00CA118B">
        <w:t xml:space="preserve"> and moderate</w:t>
      </w:r>
      <w:r w:rsidR="00AC7306">
        <w:t>-</w:t>
      </w:r>
      <w:r w:rsidRPr="00CA118B">
        <w:t>income persons.</w:t>
      </w:r>
    </w:p>
    <w:p w14:paraId="473EF245" w14:textId="77777777" w:rsidR="0041684E" w:rsidRPr="00CA118B" w:rsidRDefault="0041684E" w:rsidP="0041684E">
      <w:pPr>
        <w:ind w:left="540" w:hanging="540"/>
        <w:jc w:val="both"/>
      </w:pPr>
      <w:r>
        <w:t>5.</w:t>
      </w:r>
      <w:r>
        <w:tab/>
        <w:t>The applicant shall guarantee the required loan repayments should the participating business default.</w:t>
      </w:r>
    </w:p>
    <w:p w14:paraId="54E12399" w14:textId="77777777" w:rsidR="0041684E" w:rsidRDefault="0041684E" w:rsidP="0041684E">
      <w:pPr>
        <w:ind w:left="360" w:hanging="360"/>
        <w:jc w:val="both"/>
        <w:rPr>
          <w:u w:val="single"/>
        </w:rPr>
      </w:pPr>
    </w:p>
    <w:p w14:paraId="3E6FF059" w14:textId="77777777" w:rsidR="0041684E" w:rsidRPr="00CA118B" w:rsidRDefault="0041684E" w:rsidP="0041684E">
      <w:pPr>
        <w:ind w:left="360" w:hanging="360"/>
        <w:jc w:val="both"/>
        <w:rPr>
          <w:b/>
          <w:u w:val="single"/>
        </w:rPr>
      </w:pPr>
      <w:r w:rsidRPr="00CA118B">
        <w:rPr>
          <w:b/>
          <w:u w:val="single"/>
        </w:rPr>
        <w:t>Evaluation Criteria</w:t>
      </w:r>
    </w:p>
    <w:p w14:paraId="676459A6" w14:textId="77777777" w:rsidR="0041684E" w:rsidRDefault="0041684E" w:rsidP="0041684E">
      <w:pPr>
        <w:jc w:val="both"/>
      </w:pPr>
    </w:p>
    <w:p w14:paraId="0FD034E9" w14:textId="77777777" w:rsidR="0041684E" w:rsidRPr="00CA118B" w:rsidRDefault="0041684E" w:rsidP="0041684E">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418A8EEF" w14:textId="77777777" w:rsidR="0041684E" w:rsidRDefault="0041684E" w:rsidP="0041684E">
      <w:pPr>
        <w:ind w:left="540" w:hanging="540"/>
        <w:jc w:val="both"/>
      </w:pPr>
    </w:p>
    <w:p w14:paraId="7B9A3AD1" w14:textId="77777777" w:rsidR="0041684E" w:rsidRPr="00CA118B" w:rsidRDefault="0041684E" w:rsidP="0041684E">
      <w:pPr>
        <w:ind w:left="540" w:hanging="540"/>
        <w:jc w:val="both"/>
      </w:pPr>
      <w:r w:rsidRPr="00CA118B">
        <w:t>1.</w:t>
      </w:r>
      <w:r w:rsidRPr="00CA118B">
        <w:tab/>
        <w:t>Section 108 dollars per permanent job;</w:t>
      </w:r>
    </w:p>
    <w:p w14:paraId="66CF5584" w14:textId="77777777" w:rsidR="0041684E" w:rsidRPr="00CA118B" w:rsidRDefault="0041684E" w:rsidP="0041684E">
      <w:pPr>
        <w:ind w:left="540" w:hanging="540"/>
        <w:jc w:val="both"/>
      </w:pPr>
      <w:r w:rsidRPr="00CA118B">
        <w:t>2.</w:t>
      </w:r>
      <w:r w:rsidRPr="00CA118B">
        <w:tab/>
        <w:t>Actual number of jobs to be created or retained;</w:t>
      </w:r>
    </w:p>
    <w:p w14:paraId="3B1090E1" w14:textId="77777777" w:rsidR="0041684E" w:rsidRDefault="0041684E" w:rsidP="0041684E">
      <w:pPr>
        <w:ind w:left="540" w:hanging="540"/>
        <w:jc w:val="both"/>
      </w:pPr>
      <w:r w:rsidRPr="00CA118B">
        <w:t>3.</w:t>
      </w:r>
      <w:r w:rsidRPr="00CA118B">
        <w:tab/>
        <w:t>Potential for spin-off benefits.</w:t>
      </w:r>
    </w:p>
    <w:p w14:paraId="0592DF1C" w14:textId="77777777" w:rsidR="0041684E" w:rsidRDefault="0041684E" w:rsidP="0041684E">
      <w:pPr>
        <w:ind w:left="540" w:hanging="540"/>
        <w:jc w:val="both"/>
      </w:pPr>
    </w:p>
    <w:p w14:paraId="6E85E0B4"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210A47B0" w14:textId="77777777" w:rsidR="0041684E" w:rsidRPr="00CA118B" w:rsidRDefault="0041684E" w:rsidP="0041684E"/>
    <w:p w14:paraId="226CECCD" w14:textId="77777777" w:rsidR="0041684E" w:rsidRDefault="0041684E" w:rsidP="0041684E">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47C54159" w14:textId="77777777" w:rsidR="0041684E" w:rsidRDefault="0041684E" w:rsidP="0041684E">
      <w:pPr>
        <w:jc w:val="both"/>
      </w:pPr>
    </w:p>
    <w:p w14:paraId="7568DB1B" w14:textId="77777777" w:rsidR="0041684E" w:rsidRPr="00CA118B" w:rsidRDefault="0041684E" w:rsidP="0041684E">
      <w:pPr>
        <w:pStyle w:val="BodyText"/>
        <w:rPr>
          <w:b w:val="0"/>
          <w:sz w:val="24"/>
          <w:u w:val="single"/>
        </w:rPr>
      </w:pPr>
      <w:r w:rsidRPr="00CA118B">
        <w:rPr>
          <w:sz w:val="24"/>
          <w:u w:val="single"/>
        </w:rPr>
        <w:t>ESTIMATED FUNDS FOR ACTIVITIES BENEFITING</w:t>
      </w:r>
    </w:p>
    <w:p w14:paraId="52AA8A9A" w14:textId="206DC263" w:rsidR="0041684E" w:rsidRPr="00CA118B" w:rsidRDefault="0041684E" w:rsidP="0041684E">
      <w:pPr>
        <w:pStyle w:val="BodyText"/>
        <w:rPr>
          <w:b w:val="0"/>
          <w:sz w:val="24"/>
          <w:u w:val="single"/>
        </w:rPr>
      </w:pPr>
      <w:r w:rsidRPr="00CA118B">
        <w:rPr>
          <w:sz w:val="24"/>
          <w:u w:val="single"/>
        </w:rPr>
        <w:t>LOW</w:t>
      </w:r>
      <w:r w:rsidR="00AC7306">
        <w:rPr>
          <w:sz w:val="24"/>
          <w:u w:val="single"/>
        </w:rPr>
        <w:t>-INCOME</w:t>
      </w:r>
      <w:r w:rsidRPr="00CA118B">
        <w:rPr>
          <w:sz w:val="24"/>
          <w:u w:val="single"/>
        </w:rPr>
        <w:t xml:space="preserve"> AND MODERATE</w:t>
      </w:r>
      <w:r w:rsidR="00AC7306">
        <w:rPr>
          <w:sz w:val="24"/>
          <w:u w:val="single"/>
        </w:rPr>
        <w:t>-</w:t>
      </w:r>
      <w:r w:rsidRPr="00CA118B">
        <w:rPr>
          <w:sz w:val="24"/>
          <w:u w:val="single"/>
        </w:rPr>
        <w:t>INCOME PERSONS</w:t>
      </w:r>
    </w:p>
    <w:p w14:paraId="73941015" w14:textId="77777777" w:rsidR="0041684E" w:rsidRPr="00CA118B" w:rsidRDefault="0041684E" w:rsidP="0041684E">
      <w:pPr>
        <w:pStyle w:val="BodyText"/>
        <w:rPr>
          <w:b w:val="0"/>
          <w:sz w:val="24"/>
          <w:u w:val="single"/>
        </w:rPr>
      </w:pPr>
    </w:p>
    <w:p w14:paraId="1239E32D" w14:textId="03A1FA01" w:rsidR="0041684E" w:rsidRDefault="0041684E" w:rsidP="0041684E">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w:t>
      </w:r>
      <w:r w:rsidR="00022500">
        <w:t>1</w:t>
      </w:r>
      <w:r w:rsidRPr="00CA118B">
        <w:t xml:space="preserve"> CDBG funds will be used for activities that primarily benefit low</w:t>
      </w:r>
      <w:r w:rsidR="00AC7306">
        <w:t>-income</w:t>
      </w:r>
      <w:r w:rsidRPr="00CA118B">
        <w:t xml:space="preserve"> and moderate</w:t>
      </w:r>
      <w:r w:rsidR="00AC7306">
        <w:t>-</w:t>
      </w:r>
      <w:r w:rsidRPr="00CA118B">
        <w:t xml:space="preserve">income persons.  The remaining </w:t>
      </w:r>
      <w:r>
        <w:t xml:space="preserve">20 percent of </w:t>
      </w:r>
      <w:r w:rsidRPr="00CA118B">
        <w:t>PY</w:t>
      </w:r>
      <w:r>
        <w:t>202</w:t>
      </w:r>
      <w:r w:rsidR="00022500">
        <w:t>1</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p>
    <w:p w14:paraId="51CCFE67" w14:textId="77777777" w:rsidR="0041684E" w:rsidRDefault="0041684E" w:rsidP="0041684E">
      <w:pPr>
        <w:jc w:val="both"/>
      </w:pPr>
    </w:p>
    <w:p w14:paraId="40489314" w14:textId="77777777" w:rsidR="0041684E" w:rsidRDefault="0041684E" w:rsidP="0041684E">
      <w:pPr>
        <w:jc w:val="center"/>
        <w:rPr>
          <w:b/>
          <w:u w:val="single"/>
        </w:rPr>
      </w:pPr>
      <w:r w:rsidRPr="00CA118B">
        <w:rPr>
          <w:b/>
          <w:u w:val="single"/>
        </w:rPr>
        <w:lastRenderedPageBreak/>
        <w:t>ALABAMA’S PLAN FOR</w:t>
      </w:r>
      <w:r>
        <w:rPr>
          <w:b/>
          <w:u w:val="single"/>
        </w:rPr>
        <w:t xml:space="preserve"> </w:t>
      </w:r>
      <w:r w:rsidRPr="00CA118B">
        <w:rPr>
          <w:b/>
          <w:u w:val="single"/>
        </w:rPr>
        <w:t>MINIMIZING DISPLACEMENT</w:t>
      </w:r>
    </w:p>
    <w:p w14:paraId="3B3F420E" w14:textId="77777777" w:rsidR="0041684E" w:rsidRPr="00CA118B" w:rsidRDefault="0041684E" w:rsidP="0041684E">
      <w:pPr>
        <w:jc w:val="center"/>
        <w:rPr>
          <w:b/>
          <w:u w:val="single"/>
        </w:rPr>
      </w:pPr>
      <w:r w:rsidRPr="00CA118B">
        <w:rPr>
          <w:b/>
          <w:u w:val="single"/>
        </w:rPr>
        <w:t>FROM USE OF CDBG FUNDS</w:t>
      </w:r>
    </w:p>
    <w:p w14:paraId="04D5DA1F" w14:textId="77777777" w:rsidR="0041684E" w:rsidRPr="002863BB" w:rsidRDefault="0041684E" w:rsidP="0041684E">
      <w:pPr>
        <w:jc w:val="center"/>
        <w:rPr>
          <w:b/>
          <w:u w:val="single"/>
        </w:rPr>
      </w:pPr>
    </w:p>
    <w:p w14:paraId="1B1D923C" w14:textId="77777777" w:rsidR="0041684E" w:rsidRDefault="0041684E" w:rsidP="0041684E">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87FB966" w14:textId="77777777" w:rsidR="0041684E" w:rsidRPr="002863BB" w:rsidRDefault="0041684E" w:rsidP="0041684E"/>
    <w:p w14:paraId="36F86156" w14:textId="77777777" w:rsidR="0041684E" w:rsidRPr="002863BB" w:rsidRDefault="0041684E" w:rsidP="0041684E">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71BAED91" w14:textId="77777777" w:rsidR="0041684E" w:rsidRDefault="0041684E" w:rsidP="0041684E">
      <w:pPr>
        <w:ind w:left="720" w:hanging="720"/>
      </w:pPr>
    </w:p>
    <w:p w14:paraId="3B0054B2" w14:textId="77777777" w:rsidR="0041684E" w:rsidRPr="002863BB" w:rsidRDefault="0041684E" w:rsidP="0041684E">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16BE1406" w14:textId="77777777" w:rsidR="0041684E" w:rsidRDefault="0041684E" w:rsidP="0041684E">
      <w:pPr>
        <w:ind w:left="720" w:hanging="720"/>
      </w:pPr>
    </w:p>
    <w:p w14:paraId="1512D81D" w14:textId="77777777" w:rsidR="0041684E" w:rsidRDefault="0041684E" w:rsidP="0041684E">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0EF99147" w14:textId="77777777" w:rsidR="0041684E" w:rsidRDefault="0041684E" w:rsidP="0041684E">
      <w:pPr>
        <w:ind w:left="720" w:hanging="720"/>
      </w:pPr>
    </w:p>
    <w:p w14:paraId="174701E0" w14:textId="77777777" w:rsidR="0041684E" w:rsidRDefault="0041684E" w:rsidP="0041684E">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1A1FA0E1" w14:textId="77777777" w:rsidR="0041684E" w:rsidRDefault="0041684E" w:rsidP="0041684E"/>
    <w:p w14:paraId="4A6B9B8C" w14:textId="77777777" w:rsidR="0041684E" w:rsidRDefault="0041684E" w:rsidP="0041684E"/>
    <w:p w14:paraId="1D3B3276" w14:textId="34561046" w:rsidR="0041684E" w:rsidRDefault="0041684E" w:rsidP="0041684E">
      <w:pPr>
        <w:jc w:val="center"/>
      </w:pPr>
      <w:r>
        <w:t>_____________________End of PY202</w:t>
      </w:r>
      <w:r w:rsidR="00022500">
        <w:t>1</w:t>
      </w:r>
      <w:r>
        <w:t xml:space="preserve"> CDBG Action Plan_____________________</w:t>
      </w:r>
    </w:p>
    <w:p w14:paraId="767B7E0A" w14:textId="35C6426D" w:rsidR="00B42A23" w:rsidRDefault="00447884"/>
    <w:p w14:paraId="11EF10DD" w14:textId="77777777" w:rsidR="00447884" w:rsidRDefault="00447884"/>
    <w:sectPr w:rsidR="004478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92148" w14:textId="77777777" w:rsidR="0041684E" w:rsidRDefault="0041684E" w:rsidP="0041684E">
      <w:r>
        <w:separator/>
      </w:r>
    </w:p>
  </w:endnote>
  <w:endnote w:type="continuationSeparator" w:id="0">
    <w:p w14:paraId="71ADDA8A" w14:textId="77777777" w:rsidR="0041684E" w:rsidRDefault="0041684E" w:rsidP="004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B8DB" w14:textId="1439EED1" w:rsidR="0041684E" w:rsidRPr="00832BFF"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w:t>
    </w:r>
    <w:r w:rsidR="00022500">
      <w:rPr>
        <w:rFonts w:asciiTheme="majorHAnsi" w:eastAsiaTheme="majorEastAsia" w:hAnsiTheme="majorHAnsi" w:cstheme="majorBidi"/>
        <w:szCs w:val="20"/>
      </w:rPr>
      <w:t>1</w:t>
    </w:r>
    <w:r>
      <w:rPr>
        <w:rFonts w:asciiTheme="majorHAnsi" w:eastAsiaTheme="majorEastAsia" w:hAnsiTheme="majorHAnsi" w:cstheme="majorBidi"/>
        <w:szCs w:val="20"/>
      </w:rPr>
      <w:t xml:space="preserve"> CDBG One-Year Annual Action Plan</w:t>
    </w:r>
    <w:r w:rsidR="00957013">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C216B45" w14:textId="77777777" w:rsidR="0041684E" w:rsidRDefault="0041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BC80" w14:textId="77777777" w:rsidR="0041684E" w:rsidRDefault="0041684E" w:rsidP="0041684E">
      <w:r>
        <w:separator/>
      </w:r>
    </w:p>
  </w:footnote>
  <w:footnote w:type="continuationSeparator" w:id="0">
    <w:p w14:paraId="0A6BC1A0" w14:textId="77777777" w:rsidR="0041684E" w:rsidRDefault="0041684E" w:rsidP="004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E"/>
    <w:rsid w:val="00022500"/>
    <w:rsid w:val="00034C57"/>
    <w:rsid w:val="00053A35"/>
    <w:rsid w:val="000F2E0F"/>
    <w:rsid w:val="000F3306"/>
    <w:rsid w:val="00113DA1"/>
    <w:rsid w:val="0015685B"/>
    <w:rsid w:val="00156897"/>
    <w:rsid w:val="00174B0D"/>
    <w:rsid w:val="00186C9D"/>
    <w:rsid w:val="001A38F4"/>
    <w:rsid w:val="001C4FE0"/>
    <w:rsid w:val="001D1525"/>
    <w:rsid w:val="001E62B4"/>
    <w:rsid w:val="00241195"/>
    <w:rsid w:val="002C305D"/>
    <w:rsid w:val="002D7506"/>
    <w:rsid w:val="002F02A2"/>
    <w:rsid w:val="003259E9"/>
    <w:rsid w:val="0037625A"/>
    <w:rsid w:val="003777EE"/>
    <w:rsid w:val="00396036"/>
    <w:rsid w:val="003F5E34"/>
    <w:rsid w:val="00400F42"/>
    <w:rsid w:val="0041684E"/>
    <w:rsid w:val="004460CA"/>
    <w:rsid w:val="00447884"/>
    <w:rsid w:val="004B1F31"/>
    <w:rsid w:val="005201B4"/>
    <w:rsid w:val="00586C65"/>
    <w:rsid w:val="00615DCA"/>
    <w:rsid w:val="0065699A"/>
    <w:rsid w:val="00680BD9"/>
    <w:rsid w:val="00682B43"/>
    <w:rsid w:val="006F6F4E"/>
    <w:rsid w:val="007403B3"/>
    <w:rsid w:val="0075075B"/>
    <w:rsid w:val="00784713"/>
    <w:rsid w:val="00791D2C"/>
    <w:rsid w:val="008575C4"/>
    <w:rsid w:val="00864DDC"/>
    <w:rsid w:val="008A3540"/>
    <w:rsid w:val="0091407B"/>
    <w:rsid w:val="00914AFA"/>
    <w:rsid w:val="009206EA"/>
    <w:rsid w:val="00927A86"/>
    <w:rsid w:val="00957013"/>
    <w:rsid w:val="00961976"/>
    <w:rsid w:val="009F3253"/>
    <w:rsid w:val="00A011F4"/>
    <w:rsid w:val="00A36333"/>
    <w:rsid w:val="00A55E12"/>
    <w:rsid w:val="00A825DC"/>
    <w:rsid w:val="00AA72AA"/>
    <w:rsid w:val="00AC7306"/>
    <w:rsid w:val="00AE68B4"/>
    <w:rsid w:val="00B756A5"/>
    <w:rsid w:val="00BE4588"/>
    <w:rsid w:val="00C70263"/>
    <w:rsid w:val="00C8704C"/>
    <w:rsid w:val="00CB1EA9"/>
    <w:rsid w:val="00D628DE"/>
    <w:rsid w:val="00DE3C62"/>
    <w:rsid w:val="00E00F78"/>
    <w:rsid w:val="00E30A02"/>
    <w:rsid w:val="00E43214"/>
    <w:rsid w:val="00E505BE"/>
    <w:rsid w:val="00F0275D"/>
    <w:rsid w:val="00F45B1B"/>
    <w:rsid w:val="00F84E36"/>
    <w:rsid w:val="00F85290"/>
    <w:rsid w:val="00FA04B7"/>
    <w:rsid w:val="00FA26A6"/>
    <w:rsid w:val="00FA5B47"/>
    <w:rsid w:val="00FB2AD3"/>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FBA28"/>
  <w15:chartTrackingRefBased/>
  <w15:docId w15:val="{E7747289-8A70-4337-8DCE-D3446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1684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41684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41684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41684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41684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41684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41684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41684E"/>
    <w:pPr>
      <w:tabs>
        <w:tab w:val="num" w:pos="5760"/>
      </w:tabs>
      <w:ind w:left="5760" w:hanging="720"/>
      <w:outlineLvl w:val="7"/>
    </w:pPr>
    <w:rPr>
      <w:iCs/>
    </w:rPr>
  </w:style>
  <w:style w:type="paragraph" w:styleId="Heading9">
    <w:name w:val="heading 9"/>
    <w:aliases w:val="h9"/>
    <w:basedOn w:val="Heading"/>
    <w:next w:val="BodyText"/>
    <w:link w:val="Heading9Char"/>
    <w:qFormat/>
    <w:rsid w:val="0041684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1684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1684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41684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41684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41684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41684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41684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41684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41684E"/>
    <w:rPr>
      <w:rFonts w:ascii="Times New Roman" w:eastAsia="Times New Roman" w:hAnsi="Times New Roman" w:cs="Arial"/>
      <w:b/>
      <w:kern w:val="24"/>
      <w:szCs w:val="24"/>
    </w:rPr>
  </w:style>
  <w:style w:type="paragraph" w:styleId="Title">
    <w:name w:val="Title"/>
    <w:basedOn w:val="Normal"/>
    <w:link w:val="TitleChar"/>
    <w:uiPriority w:val="10"/>
    <w:qFormat/>
    <w:rsid w:val="0041684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41684E"/>
    <w:rPr>
      <w:rFonts w:ascii="Times New Roman" w:eastAsia="Times New Roman" w:hAnsi="Times New Roman" w:cs="Times New Roman"/>
      <w:b/>
      <w:sz w:val="52"/>
      <w:szCs w:val="20"/>
    </w:rPr>
  </w:style>
  <w:style w:type="paragraph" w:styleId="BodyText">
    <w:name w:val="Body Text"/>
    <w:basedOn w:val="Normal"/>
    <w:link w:val="BodyTextChar"/>
    <w:qFormat/>
    <w:rsid w:val="0041684E"/>
    <w:pPr>
      <w:widowControl/>
      <w:autoSpaceDE/>
      <w:autoSpaceDN/>
      <w:adjustRightInd/>
      <w:jc w:val="center"/>
    </w:pPr>
    <w:rPr>
      <w:b/>
      <w:sz w:val="28"/>
      <w:szCs w:val="20"/>
    </w:rPr>
  </w:style>
  <w:style w:type="character" w:customStyle="1" w:styleId="BodyTextChar">
    <w:name w:val="Body Text Char"/>
    <w:basedOn w:val="DefaultParagraphFont"/>
    <w:link w:val="BodyText"/>
    <w:rsid w:val="0041684E"/>
    <w:rPr>
      <w:rFonts w:ascii="Times New Roman" w:eastAsia="Times New Roman" w:hAnsi="Times New Roman" w:cs="Times New Roman"/>
      <w:b/>
      <w:sz w:val="28"/>
      <w:szCs w:val="20"/>
    </w:rPr>
  </w:style>
  <w:style w:type="paragraph" w:customStyle="1" w:styleId="Default">
    <w:name w:val="Default"/>
    <w:rsid w:val="004168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684E"/>
    <w:pPr>
      <w:ind w:left="720"/>
      <w:contextualSpacing/>
    </w:pPr>
  </w:style>
  <w:style w:type="character" w:styleId="Hyperlink">
    <w:name w:val="Hyperlink"/>
    <w:basedOn w:val="DefaultParagraphFont"/>
    <w:uiPriority w:val="99"/>
    <w:unhideWhenUsed/>
    <w:rsid w:val="0041684E"/>
    <w:rPr>
      <w:color w:val="0563C1" w:themeColor="hyperlink"/>
      <w:u w:val="single"/>
    </w:rPr>
  </w:style>
  <w:style w:type="paragraph" w:styleId="NormalWeb">
    <w:name w:val="Normal (Web)"/>
    <w:basedOn w:val="Normal"/>
    <w:uiPriority w:val="99"/>
    <w:unhideWhenUsed/>
    <w:rsid w:val="0041684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41684E"/>
    <w:rPr>
      <w:color w:val="954F72" w:themeColor="followedHyperlink"/>
      <w:u w:val="single"/>
    </w:rPr>
  </w:style>
  <w:style w:type="character" w:styleId="Strong">
    <w:name w:val="Strong"/>
    <w:basedOn w:val="DefaultParagraphFont"/>
    <w:uiPriority w:val="22"/>
    <w:qFormat/>
    <w:rsid w:val="0041684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41684E"/>
    <w:rPr>
      <w:rFonts w:ascii="Tahoma" w:hAnsi="Tahoma" w:cs="Tahoma"/>
      <w:sz w:val="16"/>
      <w:szCs w:val="16"/>
    </w:rPr>
  </w:style>
  <w:style w:type="character" w:customStyle="1" w:styleId="BalloonTextChar">
    <w:name w:val="Balloon Text Char"/>
    <w:basedOn w:val="DefaultParagraphFont"/>
    <w:link w:val="BalloonText"/>
    <w:uiPriority w:val="99"/>
    <w:semiHidden/>
    <w:rsid w:val="0041684E"/>
    <w:rPr>
      <w:rFonts w:ascii="Tahoma" w:eastAsia="Times New Roman" w:hAnsi="Tahoma" w:cs="Tahoma"/>
      <w:sz w:val="16"/>
      <w:szCs w:val="16"/>
    </w:rPr>
  </w:style>
  <w:style w:type="table" w:styleId="TableGrid">
    <w:name w:val="Table Grid"/>
    <w:basedOn w:val="TableNormal"/>
    <w:uiPriority w:val="59"/>
    <w:rsid w:val="0041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41684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41684E"/>
  </w:style>
  <w:style w:type="paragraph" w:customStyle="1" w:styleId="style10">
    <w:name w:val="style1"/>
    <w:basedOn w:val="Normal"/>
    <w:rsid w:val="0041684E"/>
    <w:pPr>
      <w:widowControl/>
      <w:autoSpaceDE/>
      <w:autoSpaceDN/>
      <w:adjustRightInd/>
      <w:spacing w:before="100" w:beforeAutospacing="1" w:after="100" w:afterAutospacing="1"/>
    </w:pPr>
    <w:rPr>
      <w:sz w:val="20"/>
      <w:szCs w:val="20"/>
    </w:rPr>
  </w:style>
  <w:style w:type="paragraph" w:customStyle="1" w:styleId="style2">
    <w:name w:val="style2"/>
    <w:basedOn w:val="Normal"/>
    <w:rsid w:val="0041684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41684E"/>
  </w:style>
  <w:style w:type="character" w:customStyle="1" w:styleId="text1">
    <w:name w:val="text1"/>
    <w:basedOn w:val="DefaultParagraphFont"/>
    <w:rsid w:val="0041684E"/>
    <w:rPr>
      <w:rFonts w:ascii="Arial" w:hAnsi="Arial" w:cs="Arial" w:hint="default"/>
      <w:sz w:val="18"/>
      <w:szCs w:val="18"/>
    </w:rPr>
  </w:style>
  <w:style w:type="character" w:customStyle="1" w:styleId="bodytitle1">
    <w:name w:val="body_title1"/>
    <w:basedOn w:val="DefaultParagraphFont"/>
    <w:rsid w:val="0041684E"/>
    <w:rPr>
      <w:rFonts w:ascii="Tahoma" w:hAnsi="Tahoma" w:cs="Tahoma" w:hint="default"/>
      <w:color w:val="000000"/>
      <w:sz w:val="27"/>
      <w:szCs w:val="27"/>
    </w:rPr>
  </w:style>
  <w:style w:type="character" w:customStyle="1" w:styleId="body">
    <w:name w:val="body"/>
    <w:basedOn w:val="DefaultParagraphFont"/>
    <w:rsid w:val="0041684E"/>
  </w:style>
  <w:style w:type="character" w:customStyle="1" w:styleId="pagelinks1">
    <w:name w:val="page_links1"/>
    <w:basedOn w:val="DefaultParagraphFont"/>
    <w:rsid w:val="0041684E"/>
    <w:rPr>
      <w:rFonts w:ascii="Segoe UI" w:hAnsi="Segoe UI" w:cs="Segoe UI" w:hint="default"/>
      <w:sz w:val="18"/>
      <w:szCs w:val="18"/>
    </w:rPr>
  </w:style>
  <w:style w:type="character" w:styleId="Emphasis">
    <w:name w:val="Emphasis"/>
    <w:basedOn w:val="DefaultParagraphFont"/>
    <w:uiPriority w:val="20"/>
    <w:qFormat/>
    <w:rsid w:val="0041684E"/>
    <w:rPr>
      <w:i/>
      <w:iCs/>
    </w:rPr>
  </w:style>
  <w:style w:type="character" w:customStyle="1" w:styleId="mw-headline">
    <w:name w:val="mw-headline"/>
    <w:basedOn w:val="DefaultParagraphFont"/>
    <w:rsid w:val="0041684E"/>
  </w:style>
  <w:style w:type="character" w:customStyle="1" w:styleId="mw-editsection1">
    <w:name w:val="mw-editsection1"/>
    <w:basedOn w:val="DefaultParagraphFont"/>
    <w:rsid w:val="0041684E"/>
  </w:style>
  <w:style w:type="character" w:customStyle="1" w:styleId="mw-editsection-bracket">
    <w:name w:val="mw-editsection-bracket"/>
    <w:basedOn w:val="DefaultParagraphFont"/>
    <w:rsid w:val="0041684E"/>
  </w:style>
  <w:style w:type="character" w:styleId="PlaceholderText">
    <w:name w:val="Placeholder Text"/>
    <w:basedOn w:val="DefaultParagraphFont"/>
    <w:uiPriority w:val="99"/>
    <w:semiHidden/>
    <w:rsid w:val="0041684E"/>
    <w:rPr>
      <w:color w:val="808080"/>
    </w:rPr>
  </w:style>
  <w:style w:type="paragraph" w:styleId="Footer">
    <w:name w:val="footer"/>
    <w:basedOn w:val="Normal"/>
    <w:link w:val="FooterChar"/>
    <w:uiPriority w:val="99"/>
    <w:rsid w:val="0041684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41684E"/>
    <w:rPr>
      <w:rFonts w:ascii="Verdana" w:eastAsia="Times New Roman" w:hAnsi="Verdana" w:cs="Times New Roman"/>
      <w:sz w:val="20"/>
      <w:szCs w:val="24"/>
    </w:rPr>
  </w:style>
  <w:style w:type="paragraph" w:styleId="TOC1">
    <w:name w:val="toc 1"/>
    <w:basedOn w:val="Normal"/>
    <w:next w:val="Normal"/>
    <w:autoRedefine/>
    <w:uiPriority w:val="39"/>
    <w:rsid w:val="0041684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41684E"/>
    <w:pPr>
      <w:tabs>
        <w:tab w:val="center" w:pos="4680"/>
        <w:tab w:val="right" w:pos="9360"/>
      </w:tabs>
    </w:pPr>
  </w:style>
  <w:style w:type="character" w:customStyle="1" w:styleId="HeaderChar">
    <w:name w:val="Header Char"/>
    <w:basedOn w:val="DefaultParagraphFont"/>
    <w:link w:val="Header"/>
    <w:uiPriority w:val="99"/>
    <w:rsid w:val="0041684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1684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1684E"/>
    <w:rPr>
      <w:rFonts w:ascii="Consolas" w:hAnsi="Consolas"/>
      <w:sz w:val="21"/>
      <w:szCs w:val="21"/>
    </w:rPr>
  </w:style>
  <w:style w:type="paragraph" w:styleId="BodyTextIndent">
    <w:name w:val="Body Text Indent"/>
    <w:basedOn w:val="Normal"/>
    <w:link w:val="BodyTextIndentChar"/>
    <w:unhideWhenUsed/>
    <w:rsid w:val="0041684E"/>
    <w:pPr>
      <w:spacing w:after="120"/>
      <w:ind w:left="360"/>
    </w:pPr>
  </w:style>
  <w:style w:type="character" w:customStyle="1" w:styleId="BodyTextIndentChar">
    <w:name w:val="Body Text Indent Char"/>
    <w:basedOn w:val="DefaultParagraphFont"/>
    <w:link w:val="BodyTextIndent"/>
    <w:rsid w:val="0041684E"/>
    <w:rPr>
      <w:rFonts w:ascii="Times New Roman" w:eastAsia="Times New Roman" w:hAnsi="Times New Roman" w:cs="Times New Roman"/>
      <w:sz w:val="24"/>
      <w:szCs w:val="24"/>
    </w:rPr>
  </w:style>
  <w:style w:type="paragraph" w:styleId="BodyText2">
    <w:name w:val="Body Text 2"/>
    <w:basedOn w:val="Normal"/>
    <w:link w:val="BodyText2Char"/>
    <w:unhideWhenUsed/>
    <w:rsid w:val="0041684E"/>
    <w:pPr>
      <w:spacing w:after="120" w:line="480" w:lineRule="auto"/>
    </w:pPr>
  </w:style>
  <w:style w:type="character" w:customStyle="1" w:styleId="BodyText2Char">
    <w:name w:val="Body Text 2 Char"/>
    <w:basedOn w:val="DefaultParagraphFont"/>
    <w:link w:val="BodyText2"/>
    <w:rsid w:val="0041684E"/>
    <w:rPr>
      <w:rFonts w:ascii="Times New Roman" w:eastAsia="Times New Roman" w:hAnsi="Times New Roman" w:cs="Times New Roman"/>
      <w:sz w:val="24"/>
      <w:szCs w:val="24"/>
    </w:rPr>
  </w:style>
  <w:style w:type="character" w:customStyle="1" w:styleId="ptext-25">
    <w:name w:val="ptext-25"/>
    <w:basedOn w:val="DefaultParagraphFont"/>
    <w:rsid w:val="0041684E"/>
  </w:style>
  <w:style w:type="character" w:customStyle="1" w:styleId="longtext1">
    <w:name w:val="long_text1"/>
    <w:basedOn w:val="DefaultParagraphFont"/>
    <w:rsid w:val="0041684E"/>
    <w:rPr>
      <w:sz w:val="20"/>
      <w:szCs w:val="20"/>
    </w:rPr>
  </w:style>
  <w:style w:type="character" w:customStyle="1" w:styleId="hps">
    <w:name w:val="hps"/>
    <w:basedOn w:val="DefaultParagraphFont"/>
    <w:rsid w:val="0041684E"/>
  </w:style>
  <w:style w:type="paragraph" w:styleId="z-TopofForm">
    <w:name w:val="HTML Top of Form"/>
    <w:basedOn w:val="Normal"/>
    <w:next w:val="Normal"/>
    <w:link w:val="z-TopofFormChar"/>
    <w:hidden/>
    <w:uiPriority w:val="99"/>
    <w:semiHidden/>
    <w:unhideWhenUsed/>
    <w:rsid w:val="0041684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68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84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684E"/>
    <w:rPr>
      <w:rFonts w:ascii="Arial" w:eastAsia="Times New Roman" w:hAnsi="Arial" w:cs="Arial"/>
      <w:vanish/>
      <w:sz w:val="16"/>
      <w:szCs w:val="16"/>
    </w:rPr>
  </w:style>
  <w:style w:type="character" w:customStyle="1" w:styleId="k40">
    <w:name w:val="k40"/>
    <w:basedOn w:val="DefaultParagraphFont"/>
    <w:rsid w:val="0041684E"/>
  </w:style>
  <w:style w:type="paragraph" w:styleId="BodyTextIndent2">
    <w:name w:val="Body Text Indent 2"/>
    <w:basedOn w:val="Normal"/>
    <w:link w:val="BodyTextIndent2Char"/>
    <w:uiPriority w:val="99"/>
    <w:unhideWhenUsed/>
    <w:rsid w:val="0041684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41684E"/>
    <w:rPr>
      <w:rFonts w:ascii="Arial" w:eastAsia="Times New Roman" w:hAnsi="Arial" w:cs="Times New Roman"/>
      <w:sz w:val="24"/>
      <w:szCs w:val="24"/>
    </w:rPr>
  </w:style>
  <w:style w:type="paragraph" w:styleId="Subtitle">
    <w:name w:val="Subtitle"/>
    <w:basedOn w:val="Normal"/>
    <w:link w:val="SubtitleChar"/>
    <w:uiPriority w:val="99"/>
    <w:qFormat/>
    <w:rsid w:val="0041684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41684E"/>
    <w:rPr>
      <w:rFonts w:ascii="Verdana" w:eastAsia="Times New Roman" w:hAnsi="Verdana" w:cs="Times New Roman"/>
      <w:b/>
      <w:bCs/>
      <w:sz w:val="20"/>
      <w:szCs w:val="24"/>
    </w:rPr>
  </w:style>
  <w:style w:type="paragraph" w:styleId="Caption">
    <w:name w:val="caption"/>
    <w:basedOn w:val="Normal"/>
    <w:next w:val="Normal"/>
    <w:uiPriority w:val="99"/>
    <w:qFormat/>
    <w:rsid w:val="0041684E"/>
    <w:pPr>
      <w:suppressAutoHyphens/>
      <w:overflowPunct w:val="0"/>
    </w:pPr>
    <w:rPr>
      <w:rFonts w:ascii="Verdana" w:hAnsi="Verdana"/>
      <w:b/>
      <w:bCs/>
      <w:sz w:val="20"/>
    </w:rPr>
  </w:style>
  <w:style w:type="paragraph" w:customStyle="1" w:styleId="Document1">
    <w:name w:val="Document 1"/>
    <w:rsid w:val="0041684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41684E"/>
  </w:style>
  <w:style w:type="paragraph" w:customStyle="1" w:styleId="OfficialText">
    <w:name w:val="OfficialText"/>
    <w:basedOn w:val="Normal"/>
    <w:rsid w:val="0041684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41684E"/>
    <w:pPr>
      <w:widowControl/>
      <w:autoSpaceDE/>
      <w:autoSpaceDN/>
      <w:adjustRightInd/>
    </w:pPr>
    <w:rPr>
      <w:rFonts w:ascii="Verdana" w:hAnsi="Verdana"/>
      <w:sz w:val="18"/>
    </w:rPr>
  </w:style>
  <w:style w:type="paragraph" w:customStyle="1" w:styleId="OfficialNumberedList">
    <w:name w:val="OfficialNumberedList"/>
    <w:basedOn w:val="BodyText"/>
    <w:rsid w:val="0041684E"/>
    <w:pPr>
      <w:numPr>
        <w:numId w:val="7"/>
      </w:numPr>
      <w:jc w:val="left"/>
    </w:pPr>
    <w:rPr>
      <w:rFonts w:ascii="Verdana" w:hAnsi="Verdana"/>
      <w:b w:val="0"/>
      <w:sz w:val="16"/>
      <w:szCs w:val="16"/>
    </w:rPr>
  </w:style>
  <w:style w:type="paragraph" w:styleId="BodyText3">
    <w:name w:val="Body Text 3"/>
    <w:basedOn w:val="Normal"/>
    <w:link w:val="BodyText3Char"/>
    <w:uiPriority w:val="99"/>
    <w:rsid w:val="0041684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41684E"/>
    <w:rPr>
      <w:rFonts w:ascii="Verdana" w:eastAsia="Times New Roman" w:hAnsi="Verdana" w:cs="Times New Roman"/>
      <w:sz w:val="16"/>
      <w:szCs w:val="16"/>
    </w:rPr>
  </w:style>
  <w:style w:type="paragraph" w:customStyle="1" w:styleId="Notes">
    <w:name w:val="Notes"/>
    <w:basedOn w:val="OfficialText"/>
    <w:rsid w:val="0041684E"/>
    <w:pPr>
      <w:keepLines/>
      <w:tabs>
        <w:tab w:val="clear" w:pos="-720"/>
      </w:tabs>
      <w:suppressAutoHyphens w:val="0"/>
    </w:pPr>
    <w:rPr>
      <w:szCs w:val="24"/>
    </w:rPr>
  </w:style>
  <w:style w:type="paragraph" w:customStyle="1" w:styleId="Blockquote">
    <w:name w:val="Blockquote"/>
    <w:basedOn w:val="Normal"/>
    <w:rsid w:val="0041684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41684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41684E"/>
    <w:rPr>
      <w:rFonts w:ascii="Verdana" w:eastAsia="Times New Roman" w:hAnsi="Verdana" w:cs="Times New Roman"/>
      <w:sz w:val="16"/>
      <w:szCs w:val="16"/>
    </w:rPr>
  </w:style>
  <w:style w:type="paragraph" w:customStyle="1" w:styleId="Style4">
    <w:name w:val="Style4"/>
    <w:basedOn w:val="Normal"/>
    <w:autoRedefine/>
    <w:rsid w:val="0041684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41684E"/>
    <w:pPr>
      <w:widowControl/>
      <w:autoSpaceDE/>
      <w:autoSpaceDN/>
      <w:adjustRightInd/>
    </w:pPr>
    <w:rPr>
      <w:sz w:val="22"/>
      <w:szCs w:val="20"/>
    </w:rPr>
  </w:style>
  <w:style w:type="paragraph" w:customStyle="1" w:styleId="Style6">
    <w:name w:val="Style6"/>
    <w:basedOn w:val="Normal"/>
    <w:autoRedefine/>
    <w:rsid w:val="0041684E"/>
    <w:pPr>
      <w:widowControl/>
      <w:autoSpaceDE/>
      <w:autoSpaceDN/>
      <w:adjustRightInd/>
      <w:jc w:val="both"/>
    </w:pPr>
    <w:rPr>
      <w:b/>
    </w:rPr>
  </w:style>
  <w:style w:type="paragraph" w:customStyle="1" w:styleId="Style7">
    <w:name w:val="Style7"/>
    <w:basedOn w:val="Style5"/>
    <w:autoRedefine/>
    <w:rsid w:val="0041684E"/>
    <w:pPr>
      <w:ind w:left="2160"/>
      <w:jc w:val="both"/>
    </w:pPr>
  </w:style>
  <w:style w:type="paragraph" w:customStyle="1" w:styleId="Style8">
    <w:name w:val="Style8"/>
    <w:basedOn w:val="Style4"/>
    <w:autoRedefine/>
    <w:rsid w:val="0041684E"/>
    <w:pPr>
      <w:tabs>
        <w:tab w:val="clear" w:pos="360"/>
      </w:tabs>
      <w:ind w:left="2700" w:hanging="540"/>
    </w:pPr>
    <w:rPr>
      <w:b/>
    </w:rPr>
  </w:style>
  <w:style w:type="paragraph" w:customStyle="1" w:styleId="Style9">
    <w:name w:val="Style9"/>
    <w:basedOn w:val="Style4"/>
    <w:autoRedefine/>
    <w:rsid w:val="0041684E"/>
    <w:pPr>
      <w:tabs>
        <w:tab w:val="clear" w:pos="360"/>
      </w:tabs>
      <w:ind w:left="2700" w:firstLine="0"/>
    </w:pPr>
    <w:rPr>
      <w:b/>
    </w:rPr>
  </w:style>
  <w:style w:type="paragraph" w:styleId="FootnoteText">
    <w:name w:val="footnote text"/>
    <w:basedOn w:val="Normal"/>
    <w:link w:val="FootnoteTextChar"/>
    <w:rsid w:val="0041684E"/>
    <w:pPr>
      <w:widowControl/>
      <w:autoSpaceDE/>
      <w:autoSpaceDN/>
      <w:adjustRightInd/>
    </w:pPr>
    <w:rPr>
      <w:sz w:val="20"/>
      <w:szCs w:val="20"/>
    </w:rPr>
  </w:style>
  <w:style w:type="character" w:customStyle="1" w:styleId="FootnoteTextChar">
    <w:name w:val="Footnote Text Char"/>
    <w:basedOn w:val="DefaultParagraphFont"/>
    <w:link w:val="FootnoteText"/>
    <w:rsid w:val="004168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684E"/>
    <w:rPr>
      <w:vertAlign w:val="superscript"/>
    </w:rPr>
  </w:style>
  <w:style w:type="character" w:customStyle="1" w:styleId="DocumentMapChar">
    <w:name w:val="Document Map Char"/>
    <w:basedOn w:val="DefaultParagraphFont"/>
    <w:link w:val="DocumentMap"/>
    <w:uiPriority w:val="99"/>
    <w:semiHidden/>
    <w:rsid w:val="004168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41684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41684E"/>
    <w:rPr>
      <w:rFonts w:ascii="Segoe UI" w:eastAsia="Times New Roman" w:hAnsi="Segoe UI" w:cs="Segoe UI"/>
      <w:sz w:val="16"/>
      <w:szCs w:val="16"/>
    </w:rPr>
  </w:style>
  <w:style w:type="character" w:customStyle="1" w:styleId="pagescopy1">
    <w:name w:val="pagescopy1"/>
    <w:basedOn w:val="DefaultParagraphFont"/>
    <w:rsid w:val="0041684E"/>
    <w:rPr>
      <w:rFonts w:ascii="Verdana" w:hAnsi="Verdana" w:hint="default"/>
      <w:color w:val="000000"/>
      <w:sz w:val="20"/>
      <w:szCs w:val="20"/>
    </w:rPr>
  </w:style>
  <w:style w:type="paragraph" w:customStyle="1" w:styleId="Style1">
    <w:name w:val="Style1"/>
    <w:basedOn w:val="Normal"/>
    <w:uiPriority w:val="99"/>
    <w:qFormat/>
    <w:rsid w:val="0041684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41684E"/>
    <w:rPr>
      <w:sz w:val="16"/>
    </w:rPr>
  </w:style>
  <w:style w:type="paragraph" w:styleId="CommentText">
    <w:name w:val="annotation text"/>
    <w:basedOn w:val="Normal"/>
    <w:link w:val="CommentTextChar"/>
    <w:uiPriority w:val="99"/>
    <w:rsid w:val="0041684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41684E"/>
    <w:rPr>
      <w:rFonts w:ascii="Univers (W1)" w:eastAsia="Times New Roman" w:hAnsi="Univers (W1)" w:cs="Times New Roman"/>
      <w:sz w:val="20"/>
      <w:szCs w:val="20"/>
    </w:rPr>
  </w:style>
  <w:style w:type="paragraph" w:styleId="EndnoteText">
    <w:name w:val="endnote text"/>
    <w:basedOn w:val="Normal"/>
    <w:link w:val="EndnoteTextChar"/>
    <w:uiPriority w:val="99"/>
    <w:rsid w:val="0041684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41684E"/>
    <w:rPr>
      <w:rFonts w:ascii="Times New Roman" w:eastAsia="Times New Roman" w:hAnsi="Times New Roman" w:cs="Times New Roman"/>
      <w:sz w:val="20"/>
      <w:szCs w:val="20"/>
    </w:rPr>
  </w:style>
  <w:style w:type="character" w:styleId="EndnoteReference">
    <w:name w:val="endnote reference"/>
    <w:basedOn w:val="DefaultParagraphFont"/>
    <w:rsid w:val="0041684E"/>
    <w:rPr>
      <w:vertAlign w:val="superscript"/>
    </w:rPr>
  </w:style>
  <w:style w:type="paragraph" w:styleId="EnvelopeAddress">
    <w:name w:val="envelope address"/>
    <w:basedOn w:val="Normal"/>
    <w:uiPriority w:val="99"/>
    <w:unhideWhenUsed/>
    <w:rsid w:val="0041684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4168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684E"/>
    <w:rPr>
      <w:rFonts w:ascii="Calibri" w:eastAsia="Calibri" w:hAnsi="Calibri" w:cs="Times New Roman"/>
    </w:rPr>
  </w:style>
  <w:style w:type="paragraph" w:customStyle="1" w:styleId="TableParagraph">
    <w:name w:val="Table Paragraph"/>
    <w:basedOn w:val="Normal"/>
    <w:uiPriority w:val="1"/>
    <w:qFormat/>
    <w:rsid w:val="0041684E"/>
    <w:pPr>
      <w:autoSpaceDE/>
      <w:autoSpaceDN/>
      <w:adjustRightInd/>
    </w:pPr>
    <w:rPr>
      <w:rFonts w:ascii="Calibri" w:eastAsia="Calibri" w:hAnsi="Calibri"/>
      <w:sz w:val="22"/>
      <w:szCs w:val="22"/>
    </w:rPr>
  </w:style>
  <w:style w:type="character" w:customStyle="1" w:styleId="text">
    <w:name w:val="text"/>
    <w:basedOn w:val="DefaultParagraphFont"/>
    <w:rsid w:val="0041684E"/>
  </w:style>
  <w:style w:type="paragraph" w:styleId="TOC2">
    <w:name w:val="toc 2"/>
    <w:basedOn w:val="Normal"/>
    <w:next w:val="Normal"/>
    <w:autoRedefine/>
    <w:uiPriority w:val="39"/>
    <w:rsid w:val="0041684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41684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41684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41684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41684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41684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41684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41684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41684E"/>
    <w:rPr>
      <w:rFonts w:ascii="Arial" w:hAnsi="Arial" w:cs="Arial"/>
      <w:color w:val="000000"/>
      <w:sz w:val="20"/>
    </w:rPr>
  </w:style>
  <w:style w:type="paragraph" w:styleId="Revision">
    <w:name w:val="Revision"/>
    <w:hidden/>
    <w:uiPriority w:val="99"/>
    <w:semiHidden/>
    <w:rsid w:val="0041684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41684E"/>
    <w:rPr>
      <w:rFonts w:ascii="Arial" w:hAnsi="Arial" w:cs="Arial"/>
      <w:color w:val="000000"/>
      <w:sz w:val="20"/>
    </w:rPr>
  </w:style>
  <w:style w:type="paragraph" w:styleId="EnvelopeReturn">
    <w:name w:val="envelope return"/>
    <w:basedOn w:val="Normal"/>
    <w:uiPriority w:val="99"/>
    <w:unhideWhenUsed/>
    <w:rsid w:val="0041684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41684E"/>
    <w:rPr>
      <w:rFonts w:ascii="Times New Roman" w:hAnsi="Times New Roman"/>
      <w:b/>
      <w:bCs/>
    </w:rPr>
  </w:style>
  <w:style w:type="character" w:customStyle="1" w:styleId="CommentSubjectChar">
    <w:name w:val="Comment Subject Char"/>
    <w:basedOn w:val="CommentTextChar"/>
    <w:link w:val="CommentSubject"/>
    <w:uiPriority w:val="99"/>
    <w:rsid w:val="0041684E"/>
    <w:rPr>
      <w:rFonts w:ascii="Times New Roman" w:eastAsia="Times New Roman" w:hAnsi="Times New Roman" w:cs="Times New Roman"/>
      <w:b/>
      <w:bCs/>
      <w:sz w:val="20"/>
      <w:szCs w:val="20"/>
    </w:rPr>
  </w:style>
  <w:style w:type="character" w:customStyle="1" w:styleId="A6">
    <w:name w:val="A6"/>
    <w:uiPriority w:val="99"/>
    <w:rsid w:val="0041684E"/>
    <w:rPr>
      <w:rFonts w:cs="Chaparral Pro"/>
      <w:color w:val="000000"/>
    </w:rPr>
  </w:style>
  <w:style w:type="character" w:customStyle="1" w:styleId="Mention1">
    <w:name w:val="Mention1"/>
    <w:basedOn w:val="DefaultParagraphFont"/>
    <w:uiPriority w:val="99"/>
    <w:semiHidden/>
    <w:unhideWhenUsed/>
    <w:rsid w:val="0041684E"/>
    <w:rPr>
      <w:color w:val="2B579A"/>
      <w:shd w:val="clear" w:color="auto" w:fill="E6E6E6"/>
    </w:rPr>
  </w:style>
  <w:style w:type="character" w:customStyle="1" w:styleId="UnresolvedMention1">
    <w:name w:val="Unresolved Mention1"/>
    <w:basedOn w:val="DefaultParagraphFont"/>
    <w:uiPriority w:val="99"/>
    <w:semiHidden/>
    <w:unhideWhenUsed/>
    <w:rsid w:val="0041684E"/>
    <w:rPr>
      <w:color w:val="808080"/>
      <w:shd w:val="clear" w:color="auto" w:fill="E6E6E6"/>
    </w:rPr>
  </w:style>
  <w:style w:type="paragraph" w:customStyle="1" w:styleId="Heading">
    <w:name w:val="Heading"/>
    <w:basedOn w:val="Normal"/>
    <w:uiPriority w:val="99"/>
    <w:rsid w:val="0041684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41684E"/>
    <w:pPr>
      <w:widowControl/>
      <w:autoSpaceDE/>
      <w:autoSpaceDN/>
      <w:adjustRightInd/>
      <w:spacing w:after="120"/>
      <w:jc w:val="both"/>
    </w:pPr>
    <w:rPr>
      <w:i/>
    </w:rPr>
  </w:style>
  <w:style w:type="paragraph" w:customStyle="1" w:styleId="Bullets">
    <w:name w:val="Bullets"/>
    <w:basedOn w:val="ListParagraph"/>
    <w:uiPriority w:val="1"/>
    <w:rsid w:val="0041684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41684E"/>
    <w:rPr>
      <w:rFonts w:ascii="Times New Roman" w:eastAsia="Times New Roman" w:hAnsi="Times New Roman" w:cs="Times New Roman"/>
      <w:szCs w:val="24"/>
    </w:rPr>
  </w:style>
  <w:style w:type="paragraph" w:styleId="Date">
    <w:name w:val="Date"/>
    <w:basedOn w:val="Normal"/>
    <w:next w:val="Normal"/>
    <w:link w:val="DateChar"/>
    <w:uiPriority w:val="99"/>
    <w:rsid w:val="0041684E"/>
    <w:pPr>
      <w:widowControl/>
      <w:autoSpaceDE/>
      <w:autoSpaceDN/>
      <w:adjustRightInd/>
      <w:jc w:val="both"/>
    </w:pPr>
    <w:rPr>
      <w:sz w:val="22"/>
    </w:rPr>
  </w:style>
  <w:style w:type="character" w:customStyle="1" w:styleId="DateChar1">
    <w:name w:val="Date Char1"/>
    <w:basedOn w:val="DefaultParagraphFont"/>
    <w:uiPriority w:val="99"/>
    <w:semiHidden/>
    <w:rsid w:val="0041684E"/>
    <w:rPr>
      <w:rFonts w:ascii="Times New Roman" w:eastAsia="Times New Roman" w:hAnsi="Times New Roman" w:cs="Times New Roman"/>
      <w:sz w:val="24"/>
      <w:szCs w:val="24"/>
    </w:rPr>
  </w:style>
  <w:style w:type="paragraph" w:customStyle="1" w:styleId="FooterLandscape">
    <w:name w:val="Footer Landscape"/>
    <w:basedOn w:val="Normal"/>
    <w:uiPriority w:val="99"/>
    <w:rsid w:val="0041684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41684E"/>
    <w:pPr>
      <w:widowControl/>
      <w:autoSpaceDE/>
      <w:autoSpaceDN/>
      <w:adjustRightInd/>
      <w:jc w:val="both"/>
    </w:pPr>
    <w:rPr>
      <w:sz w:val="22"/>
    </w:rPr>
  </w:style>
  <w:style w:type="paragraph" w:styleId="Index1">
    <w:name w:val="index 1"/>
    <w:basedOn w:val="Index"/>
    <w:next w:val="Normal"/>
    <w:autoRedefine/>
    <w:semiHidden/>
    <w:rsid w:val="0041684E"/>
  </w:style>
  <w:style w:type="paragraph" w:styleId="Index2">
    <w:name w:val="index 2"/>
    <w:basedOn w:val="Index1"/>
    <w:next w:val="Normal"/>
    <w:autoRedefine/>
    <w:uiPriority w:val="99"/>
    <w:semiHidden/>
    <w:rsid w:val="0041684E"/>
    <w:pPr>
      <w:ind w:left="360"/>
    </w:pPr>
  </w:style>
  <w:style w:type="paragraph" w:styleId="Index3">
    <w:name w:val="index 3"/>
    <w:basedOn w:val="Index2"/>
    <w:next w:val="Normal"/>
    <w:autoRedefine/>
    <w:uiPriority w:val="99"/>
    <w:semiHidden/>
    <w:rsid w:val="0041684E"/>
    <w:pPr>
      <w:ind w:left="720"/>
    </w:pPr>
  </w:style>
  <w:style w:type="paragraph" w:styleId="Index4">
    <w:name w:val="index 4"/>
    <w:basedOn w:val="Index3"/>
    <w:next w:val="Normal"/>
    <w:autoRedefine/>
    <w:uiPriority w:val="99"/>
    <w:semiHidden/>
    <w:rsid w:val="0041684E"/>
    <w:pPr>
      <w:ind w:left="1080"/>
    </w:pPr>
  </w:style>
  <w:style w:type="paragraph" w:styleId="Index5">
    <w:name w:val="index 5"/>
    <w:basedOn w:val="Index4"/>
    <w:next w:val="Normal"/>
    <w:autoRedefine/>
    <w:uiPriority w:val="99"/>
    <w:semiHidden/>
    <w:rsid w:val="0041684E"/>
    <w:pPr>
      <w:ind w:left="1440"/>
    </w:pPr>
  </w:style>
  <w:style w:type="paragraph" w:styleId="Index6">
    <w:name w:val="index 6"/>
    <w:basedOn w:val="Index5"/>
    <w:next w:val="Normal"/>
    <w:autoRedefine/>
    <w:uiPriority w:val="99"/>
    <w:semiHidden/>
    <w:rsid w:val="0041684E"/>
    <w:pPr>
      <w:ind w:left="1800"/>
    </w:pPr>
  </w:style>
  <w:style w:type="character" w:styleId="LineNumber">
    <w:name w:val="line number"/>
    <w:basedOn w:val="DefaultParagraphFont"/>
    <w:rsid w:val="0041684E"/>
  </w:style>
  <w:style w:type="paragraph" w:styleId="ListNumber">
    <w:name w:val="List Number"/>
    <w:basedOn w:val="Normal"/>
    <w:uiPriority w:val="99"/>
    <w:semiHidden/>
    <w:rsid w:val="0041684E"/>
    <w:pPr>
      <w:widowControl/>
      <w:autoSpaceDE/>
      <w:autoSpaceDN/>
      <w:adjustRightInd/>
      <w:jc w:val="both"/>
    </w:pPr>
    <w:rPr>
      <w:sz w:val="22"/>
    </w:rPr>
  </w:style>
  <w:style w:type="paragraph" w:customStyle="1" w:styleId="ListNumber1">
    <w:name w:val="List Number 1"/>
    <w:basedOn w:val="ListNumber"/>
    <w:uiPriority w:val="99"/>
    <w:rsid w:val="0041684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41684E"/>
    <w:rPr>
      <w:rFonts w:ascii="Courier New" w:eastAsia="Times New Roman" w:hAnsi="Courier New" w:cs="Times New Roman"/>
      <w:sz w:val="20"/>
      <w:szCs w:val="20"/>
    </w:rPr>
  </w:style>
  <w:style w:type="paragraph" w:styleId="MacroText">
    <w:name w:val="macro"/>
    <w:link w:val="MacroTextChar"/>
    <w:uiPriority w:val="99"/>
    <w:semiHidden/>
    <w:rsid w:val="00416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41684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41684E"/>
    <w:pPr>
      <w:widowControl/>
      <w:autoSpaceDE/>
      <w:autoSpaceDN/>
      <w:adjustRightInd/>
      <w:jc w:val="both"/>
    </w:pPr>
    <w:rPr>
      <w:sz w:val="22"/>
    </w:rPr>
  </w:style>
  <w:style w:type="character" w:customStyle="1" w:styleId="NoteHeadingChar">
    <w:name w:val="Note Heading Char"/>
    <w:basedOn w:val="DefaultParagraphFont"/>
    <w:link w:val="NoteHeading1"/>
    <w:rsid w:val="0041684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41684E"/>
    <w:rPr>
      <w:rFonts w:ascii="Times New Roman" w:eastAsia="Times New Roman" w:hAnsi="Times New Roman" w:cs="Times New Roman"/>
      <w:szCs w:val="24"/>
    </w:rPr>
  </w:style>
  <w:style w:type="paragraph" w:styleId="Signature">
    <w:name w:val="Signature"/>
    <w:basedOn w:val="Normal"/>
    <w:link w:val="SignatureChar"/>
    <w:uiPriority w:val="99"/>
    <w:rsid w:val="0041684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41684E"/>
    <w:rPr>
      <w:rFonts w:ascii="Times New Roman" w:eastAsia="Times New Roman" w:hAnsi="Times New Roman" w:cs="Times New Roman"/>
      <w:sz w:val="24"/>
      <w:szCs w:val="24"/>
    </w:rPr>
  </w:style>
  <w:style w:type="paragraph" w:styleId="BlockText">
    <w:name w:val="Block Text"/>
    <w:basedOn w:val="Normal"/>
    <w:uiPriority w:val="99"/>
    <w:rsid w:val="0041684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41684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41684E"/>
    <w:pPr>
      <w:numPr>
        <w:ilvl w:val="1"/>
        <w:numId w:val="26"/>
      </w:numPr>
      <w:spacing w:after="200"/>
      <w:jc w:val="both"/>
    </w:pPr>
  </w:style>
  <w:style w:type="character" w:customStyle="1" w:styleId="BodyTextFirstIndentChar1">
    <w:name w:val="Body Text First Indent Char1"/>
    <w:basedOn w:val="BodyTextChar"/>
    <w:uiPriority w:val="99"/>
    <w:semiHidden/>
    <w:rsid w:val="0041684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41684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41684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41684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41684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41684E"/>
    <w:rPr>
      <w:i/>
    </w:rPr>
  </w:style>
  <w:style w:type="paragraph" w:customStyle="1" w:styleId="OutlineTextABC">
    <w:name w:val="Outline Text ABC"/>
    <w:basedOn w:val="BodyText"/>
    <w:qFormat/>
    <w:rsid w:val="0041684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41684E"/>
    <w:rPr>
      <w:b/>
    </w:rPr>
  </w:style>
  <w:style w:type="paragraph" w:customStyle="1" w:styleId="OutlineText123">
    <w:name w:val="Outline Text 123"/>
    <w:basedOn w:val="OutlineTextABC"/>
    <w:uiPriority w:val="99"/>
    <w:qFormat/>
    <w:rsid w:val="0041684E"/>
    <w:pPr>
      <w:ind w:left="2160"/>
    </w:pPr>
  </w:style>
  <w:style w:type="paragraph" w:customStyle="1" w:styleId="A">
    <w:name w:val="A"/>
    <w:basedOn w:val="Heading2"/>
    <w:uiPriority w:val="99"/>
    <w:qFormat/>
    <w:rsid w:val="0041684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41684E"/>
    <w:pPr>
      <w:numPr>
        <w:numId w:val="22"/>
      </w:numPr>
      <w:ind w:left="993" w:hanging="446"/>
      <w:jc w:val="both"/>
    </w:pPr>
  </w:style>
  <w:style w:type="paragraph" w:customStyle="1" w:styleId="i">
    <w:name w:val="i"/>
    <w:basedOn w:val="10"/>
    <w:uiPriority w:val="99"/>
    <w:qFormat/>
    <w:rsid w:val="0041684E"/>
    <w:pPr>
      <w:numPr>
        <w:numId w:val="23"/>
      </w:numPr>
    </w:pPr>
    <w:rPr>
      <w:b w:val="0"/>
    </w:rPr>
  </w:style>
  <w:style w:type="paragraph" w:customStyle="1" w:styleId="a0">
    <w:name w:val="a"/>
    <w:basedOn w:val="i"/>
    <w:uiPriority w:val="99"/>
    <w:qFormat/>
    <w:rsid w:val="0041684E"/>
    <w:pPr>
      <w:numPr>
        <w:numId w:val="24"/>
      </w:numPr>
      <w:ind w:left="1980" w:hanging="540"/>
    </w:pPr>
  </w:style>
  <w:style w:type="paragraph" w:customStyle="1" w:styleId="BulletsAddendum">
    <w:name w:val="Bullets Addendum"/>
    <w:basedOn w:val="Bullets"/>
    <w:uiPriority w:val="99"/>
    <w:qFormat/>
    <w:rsid w:val="0041684E"/>
    <w:pPr>
      <w:spacing w:after="0"/>
      <w:ind w:left="2347"/>
    </w:pPr>
  </w:style>
  <w:style w:type="paragraph" w:customStyle="1" w:styleId="1">
    <w:name w:val="(1)"/>
    <w:basedOn w:val="10"/>
    <w:uiPriority w:val="99"/>
    <w:qFormat/>
    <w:rsid w:val="0041684E"/>
    <w:pPr>
      <w:numPr>
        <w:numId w:val="25"/>
      </w:numPr>
      <w:ind w:left="2520" w:hanging="540"/>
    </w:pPr>
    <w:rPr>
      <w:b w:val="0"/>
    </w:rPr>
  </w:style>
  <w:style w:type="paragraph" w:customStyle="1" w:styleId="AppendixC-I">
    <w:name w:val="Appendix C - I"/>
    <w:basedOn w:val="ListParagraph"/>
    <w:uiPriority w:val="99"/>
    <w:qFormat/>
    <w:rsid w:val="0041684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41684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41684E"/>
    <w:pPr>
      <w:numPr>
        <w:numId w:val="27"/>
      </w:numPr>
      <w:ind w:left="1440" w:hanging="450"/>
    </w:pPr>
    <w:rPr>
      <w:b w:val="0"/>
    </w:rPr>
  </w:style>
  <w:style w:type="paragraph" w:customStyle="1" w:styleId="AppendixC1">
    <w:name w:val="Appendix C1"/>
    <w:basedOn w:val="Normal"/>
    <w:rsid w:val="0041684E"/>
    <w:pPr>
      <w:widowControl/>
      <w:numPr>
        <w:numId w:val="28"/>
      </w:numPr>
      <w:autoSpaceDE/>
      <w:autoSpaceDN/>
      <w:adjustRightInd/>
      <w:spacing w:after="200"/>
    </w:pPr>
    <w:rPr>
      <w:b/>
      <w:sz w:val="22"/>
    </w:rPr>
  </w:style>
  <w:style w:type="paragraph" w:customStyle="1" w:styleId="AppendixC2">
    <w:name w:val="Appendix C2"/>
    <w:basedOn w:val="Normal"/>
    <w:rsid w:val="0041684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41684E"/>
    <w:pPr>
      <w:widowControl/>
      <w:numPr>
        <w:ilvl w:val="2"/>
        <w:numId w:val="28"/>
      </w:numPr>
      <w:autoSpaceDE/>
      <w:autoSpaceDN/>
      <w:adjustRightInd/>
      <w:spacing w:after="200"/>
      <w:jc w:val="both"/>
    </w:pPr>
    <w:rPr>
      <w:sz w:val="22"/>
    </w:rPr>
  </w:style>
  <w:style w:type="paragraph" w:customStyle="1" w:styleId="AppendixC4">
    <w:name w:val="Appendix C4"/>
    <w:basedOn w:val="Normal"/>
    <w:rsid w:val="0041684E"/>
    <w:pPr>
      <w:widowControl/>
      <w:numPr>
        <w:ilvl w:val="3"/>
        <w:numId w:val="28"/>
      </w:numPr>
      <w:autoSpaceDE/>
      <w:autoSpaceDN/>
      <w:adjustRightInd/>
      <w:spacing w:after="200"/>
      <w:jc w:val="both"/>
    </w:pPr>
    <w:rPr>
      <w:sz w:val="22"/>
    </w:rPr>
  </w:style>
  <w:style w:type="paragraph" w:customStyle="1" w:styleId="AppendixC5">
    <w:name w:val="Appendix C5"/>
    <w:basedOn w:val="Normal"/>
    <w:rsid w:val="0041684E"/>
    <w:pPr>
      <w:widowControl/>
      <w:numPr>
        <w:ilvl w:val="4"/>
        <w:numId w:val="28"/>
      </w:numPr>
      <w:autoSpaceDE/>
      <w:autoSpaceDN/>
      <w:adjustRightInd/>
      <w:jc w:val="both"/>
    </w:pPr>
    <w:rPr>
      <w:sz w:val="22"/>
    </w:rPr>
  </w:style>
  <w:style w:type="paragraph" w:customStyle="1" w:styleId="AppendixC6">
    <w:name w:val="Appendix C6"/>
    <w:basedOn w:val="Normal"/>
    <w:rsid w:val="0041684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41684E"/>
    <w:pPr>
      <w:spacing w:after="200"/>
      <w:ind w:left="2160"/>
      <w:jc w:val="both"/>
    </w:pPr>
    <w:rPr>
      <w:b w:val="0"/>
      <w:sz w:val="22"/>
      <w:szCs w:val="24"/>
    </w:rPr>
  </w:style>
  <w:style w:type="paragraph" w:customStyle="1" w:styleId="AppendixD1">
    <w:name w:val="Appendix D1"/>
    <w:basedOn w:val="Normal"/>
    <w:rsid w:val="0041684E"/>
    <w:pPr>
      <w:widowControl/>
      <w:numPr>
        <w:numId w:val="29"/>
      </w:numPr>
      <w:autoSpaceDE/>
      <w:autoSpaceDN/>
      <w:adjustRightInd/>
      <w:spacing w:after="200"/>
      <w:jc w:val="both"/>
    </w:pPr>
    <w:rPr>
      <w:b/>
      <w:sz w:val="22"/>
    </w:rPr>
  </w:style>
  <w:style w:type="paragraph" w:customStyle="1" w:styleId="AppendixD2">
    <w:name w:val="Appendix D2"/>
    <w:basedOn w:val="Normal"/>
    <w:rsid w:val="0041684E"/>
    <w:pPr>
      <w:widowControl/>
      <w:numPr>
        <w:ilvl w:val="1"/>
        <w:numId w:val="29"/>
      </w:numPr>
      <w:autoSpaceDE/>
      <w:autoSpaceDN/>
      <w:adjustRightInd/>
      <w:spacing w:after="200"/>
      <w:jc w:val="both"/>
    </w:pPr>
    <w:rPr>
      <w:sz w:val="22"/>
    </w:rPr>
  </w:style>
  <w:style w:type="paragraph" w:customStyle="1" w:styleId="AppendixD3">
    <w:name w:val="Appendix D3"/>
    <w:basedOn w:val="Normal"/>
    <w:rsid w:val="0041684E"/>
    <w:pPr>
      <w:widowControl/>
      <w:numPr>
        <w:ilvl w:val="2"/>
        <w:numId w:val="29"/>
      </w:numPr>
      <w:autoSpaceDE/>
      <w:autoSpaceDN/>
      <w:adjustRightInd/>
      <w:spacing w:after="200"/>
      <w:jc w:val="both"/>
    </w:pPr>
    <w:rPr>
      <w:sz w:val="22"/>
    </w:rPr>
  </w:style>
  <w:style w:type="paragraph" w:customStyle="1" w:styleId="AppendixD4">
    <w:name w:val="Appendix D4"/>
    <w:basedOn w:val="Normal"/>
    <w:rsid w:val="0041684E"/>
    <w:pPr>
      <w:widowControl/>
      <w:numPr>
        <w:ilvl w:val="3"/>
        <w:numId w:val="29"/>
      </w:numPr>
      <w:autoSpaceDE/>
      <w:autoSpaceDN/>
      <w:adjustRightInd/>
      <w:spacing w:after="200"/>
      <w:jc w:val="both"/>
    </w:pPr>
    <w:rPr>
      <w:sz w:val="22"/>
    </w:rPr>
  </w:style>
  <w:style w:type="paragraph" w:customStyle="1" w:styleId="AHFAPlan1">
    <w:name w:val="AHFA Plan1"/>
    <w:basedOn w:val="Normal"/>
    <w:rsid w:val="0041684E"/>
    <w:pPr>
      <w:widowControl/>
      <w:numPr>
        <w:numId w:val="30"/>
      </w:numPr>
      <w:autoSpaceDE/>
      <w:autoSpaceDN/>
      <w:adjustRightInd/>
      <w:spacing w:after="200"/>
      <w:jc w:val="both"/>
    </w:pPr>
    <w:rPr>
      <w:b/>
      <w:bCs/>
      <w:sz w:val="22"/>
    </w:rPr>
  </w:style>
  <w:style w:type="paragraph" w:customStyle="1" w:styleId="AHFAPlan2">
    <w:name w:val="AHFA Plan2"/>
    <w:basedOn w:val="Normal"/>
    <w:rsid w:val="0041684E"/>
    <w:pPr>
      <w:widowControl/>
      <w:numPr>
        <w:ilvl w:val="1"/>
        <w:numId w:val="30"/>
      </w:numPr>
      <w:autoSpaceDE/>
      <w:autoSpaceDN/>
      <w:adjustRightInd/>
      <w:spacing w:after="200"/>
      <w:jc w:val="both"/>
    </w:pPr>
    <w:rPr>
      <w:b/>
      <w:sz w:val="22"/>
    </w:rPr>
  </w:style>
  <w:style w:type="paragraph" w:customStyle="1" w:styleId="AHFAPlan3">
    <w:name w:val="AHFA Plan3"/>
    <w:basedOn w:val="Normal"/>
    <w:rsid w:val="0041684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41684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41684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41684E"/>
    <w:pPr>
      <w:ind w:left="1080"/>
    </w:pPr>
  </w:style>
  <w:style w:type="paragraph" w:customStyle="1" w:styleId="AHFAPlanBullets1">
    <w:name w:val="AHFA Plan Bullets 1"/>
    <w:basedOn w:val="Bullets"/>
    <w:uiPriority w:val="99"/>
    <w:qFormat/>
    <w:rsid w:val="0041684E"/>
    <w:pPr>
      <w:ind w:left="2520"/>
    </w:pPr>
  </w:style>
  <w:style w:type="paragraph" w:styleId="TOCHeading">
    <w:name w:val="TOC Heading"/>
    <w:basedOn w:val="Heading1"/>
    <w:next w:val="Normal"/>
    <w:uiPriority w:val="39"/>
    <w:unhideWhenUsed/>
    <w:qFormat/>
    <w:rsid w:val="0041684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41684E"/>
    <w:pPr>
      <w:widowControl/>
      <w:autoSpaceDE/>
      <w:autoSpaceDN/>
      <w:adjustRightInd/>
      <w:spacing w:after="200"/>
      <w:ind w:left="2520"/>
      <w:jc w:val="both"/>
    </w:pPr>
    <w:rPr>
      <w:sz w:val="22"/>
    </w:rPr>
  </w:style>
  <w:style w:type="paragraph" w:customStyle="1" w:styleId="TextAi">
    <w:name w:val="Text A(i)"/>
    <w:basedOn w:val="TextA1"/>
    <w:uiPriority w:val="99"/>
    <w:qFormat/>
    <w:rsid w:val="0041684E"/>
    <w:pPr>
      <w:ind w:left="1440"/>
    </w:pPr>
  </w:style>
  <w:style w:type="paragraph" w:customStyle="1" w:styleId="TextA10">
    <w:name w:val="Text A1.)"/>
    <w:basedOn w:val="TextAi"/>
    <w:uiPriority w:val="99"/>
    <w:qFormat/>
    <w:rsid w:val="0041684E"/>
    <w:pPr>
      <w:ind w:left="990"/>
    </w:pPr>
  </w:style>
  <w:style w:type="paragraph" w:customStyle="1" w:styleId="BodyTextC1">
    <w:name w:val="Body Text C 1.)"/>
    <w:basedOn w:val="TextA10"/>
    <w:uiPriority w:val="99"/>
    <w:qFormat/>
    <w:rsid w:val="0041684E"/>
    <w:pPr>
      <w:ind w:left="2160"/>
    </w:pPr>
  </w:style>
  <w:style w:type="character" w:customStyle="1" w:styleId="None">
    <w:name w:val="None"/>
    <w:rsid w:val="0041684E"/>
  </w:style>
  <w:style w:type="paragraph" w:customStyle="1" w:styleId="Paragraph">
    <w:name w:val="Paragraph"/>
    <w:basedOn w:val="Normal"/>
    <w:link w:val="ParagraphChar"/>
    <w:rsid w:val="0041684E"/>
    <w:pPr>
      <w:widowControl/>
      <w:autoSpaceDE/>
      <w:autoSpaceDN/>
      <w:adjustRightInd/>
      <w:spacing w:after="220"/>
      <w:ind w:firstLine="720"/>
      <w:jc w:val="both"/>
    </w:pPr>
    <w:rPr>
      <w:sz w:val="22"/>
    </w:rPr>
  </w:style>
  <w:style w:type="character" w:customStyle="1" w:styleId="ParagraphChar">
    <w:name w:val="Paragraph Char"/>
    <w:link w:val="Paragraph"/>
    <w:rsid w:val="0041684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41684E"/>
    <w:rPr>
      <w:color w:val="605E5C"/>
      <w:shd w:val="clear" w:color="auto" w:fill="E1DFDD"/>
    </w:rPr>
  </w:style>
  <w:style w:type="character" w:customStyle="1" w:styleId="UnresolvedMention3">
    <w:name w:val="Unresolved Mention3"/>
    <w:basedOn w:val="DefaultParagraphFont"/>
    <w:uiPriority w:val="99"/>
    <w:semiHidden/>
    <w:unhideWhenUsed/>
    <w:rsid w:val="0041684E"/>
    <w:rPr>
      <w:color w:val="605E5C"/>
      <w:shd w:val="clear" w:color="auto" w:fill="E1DFDD"/>
    </w:rPr>
  </w:style>
  <w:style w:type="character" w:customStyle="1" w:styleId="money">
    <w:name w:val="money"/>
    <w:basedOn w:val="DefaultParagraphFont"/>
    <w:rsid w:val="0041684E"/>
  </w:style>
  <w:style w:type="paragraph" w:customStyle="1" w:styleId="Pa4">
    <w:name w:val="Pa4"/>
    <w:basedOn w:val="Default"/>
    <w:next w:val="Default"/>
    <w:uiPriority w:val="99"/>
    <w:rsid w:val="0041684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41684E"/>
    <w:pPr>
      <w:spacing w:line="221" w:lineRule="atLeast"/>
    </w:pPr>
    <w:rPr>
      <w:rFonts w:ascii="Chaparral Pro" w:eastAsia="Times New Roman" w:hAnsi="Chaparral Pro" w:cs="Times New Roman"/>
      <w:color w:val="auto"/>
    </w:rPr>
  </w:style>
  <w:style w:type="character" w:customStyle="1" w:styleId="A8">
    <w:name w:val="A8"/>
    <w:uiPriority w:val="99"/>
    <w:rsid w:val="0041684E"/>
    <w:rPr>
      <w:rFonts w:ascii="Symbol" w:hAnsi="Symbol" w:cs="Symbol"/>
      <w:color w:val="000000"/>
      <w:sz w:val="22"/>
      <w:szCs w:val="22"/>
    </w:rPr>
  </w:style>
  <w:style w:type="paragraph" w:customStyle="1" w:styleId="AppendixD5">
    <w:name w:val="Appendix D5"/>
    <w:basedOn w:val="Normal"/>
    <w:rsid w:val="0041684E"/>
    <w:pPr>
      <w:widowControl/>
      <w:tabs>
        <w:tab w:val="num" w:pos="3600"/>
      </w:tabs>
      <w:autoSpaceDE/>
      <w:autoSpaceDN/>
      <w:adjustRightInd/>
      <w:ind w:left="3600" w:hanging="720"/>
      <w:jc w:val="both"/>
    </w:pPr>
    <w:rPr>
      <w:sz w:val="22"/>
    </w:rPr>
  </w:style>
  <w:style w:type="paragraph" w:customStyle="1" w:styleId="AppendixD6">
    <w:name w:val="Appendix D6"/>
    <w:basedOn w:val="Normal"/>
    <w:rsid w:val="0041684E"/>
    <w:pPr>
      <w:widowControl/>
      <w:tabs>
        <w:tab w:val="num" w:pos="4320"/>
      </w:tabs>
      <w:autoSpaceDE/>
      <w:autoSpaceDN/>
      <w:adjustRightInd/>
      <w:ind w:left="4320" w:hanging="720"/>
      <w:jc w:val="both"/>
    </w:pPr>
    <w:rPr>
      <w:sz w:val="22"/>
    </w:rPr>
  </w:style>
  <w:style w:type="paragraph" w:customStyle="1" w:styleId="AppendixD7">
    <w:name w:val="Appendix D7"/>
    <w:basedOn w:val="Normal"/>
    <w:rsid w:val="0041684E"/>
    <w:pPr>
      <w:widowControl/>
      <w:tabs>
        <w:tab w:val="num" w:pos="1440"/>
      </w:tabs>
      <w:autoSpaceDE/>
      <w:autoSpaceDN/>
      <w:adjustRightInd/>
      <w:ind w:left="1440" w:hanging="720"/>
      <w:jc w:val="both"/>
    </w:pPr>
    <w:rPr>
      <w:sz w:val="22"/>
    </w:rPr>
  </w:style>
  <w:style w:type="paragraph" w:customStyle="1" w:styleId="AppendixD8">
    <w:name w:val="Appendix D8"/>
    <w:basedOn w:val="Normal"/>
    <w:rsid w:val="0041684E"/>
    <w:pPr>
      <w:widowControl/>
      <w:tabs>
        <w:tab w:val="num" w:pos="2160"/>
      </w:tabs>
      <w:autoSpaceDE/>
      <w:autoSpaceDN/>
      <w:adjustRightInd/>
      <w:ind w:left="2160" w:hanging="720"/>
      <w:jc w:val="both"/>
    </w:pPr>
    <w:rPr>
      <w:sz w:val="22"/>
    </w:rPr>
  </w:style>
  <w:style w:type="paragraph" w:customStyle="1" w:styleId="AppendixD9">
    <w:name w:val="Appendix D9"/>
    <w:basedOn w:val="Normal"/>
    <w:rsid w:val="0041684E"/>
    <w:pPr>
      <w:widowControl/>
      <w:tabs>
        <w:tab w:val="num" w:pos="2880"/>
      </w:tabs>
      <w:autoSpaceDE/>
      <w:autoSpaceDN/>
      <w:adjustRightInd/>
      <w:ind w:left="2880" w:hanging="720"/>
      <w:jc w:val="both"/>
    </w:pPr>
    <w:rPr>
      <w:sz w:val="22"/>
    </w:rPr>
  </w:style>
  <w:style w:type="paragraph" w:customStyle="1" w:styleId="AppendixC7">
    <w:name w:val="Appendix C7"/>
    <w:basedOn w:val="Normal"/>
    <w:rsid w:val="0041684E"/>
    <w:pPr>
      <w:widowControl/>
      <w:tabs>
        <w:tab w:val="num" w:pos="5040"/>
      </w:tabs>
      <w:autoSpaceDE/>
      <w:autoSpaceDN/>
      <w:adjustRightInd/>
      <w:ind w:left="5040" w:hanging="720"/>
      <w:jc w:val="both"/>
    </w:pPr>
    <w:rPr>
      <w:sz w:val="22"/>
    </w:rPr>
  </w:style>
  <w:style w:type="paragraph" w:customStyle="1" w:styleId="AppendixC8">
    <w:name w:val="Appendix C8"/>
    <w:basedOn w:val="Normal"/>
    <w:rsid w:val="0041684E"/>
    <w:pPr>
      <w:widowControl/>
      <w:tabs>
        <w:tab w:val="num" w:pos="5760"/>
      </w:tabs>
      <w:autoSpaceDE/>
      <w:autoSpaceDN/>
      <w:adjustRightInd/>
      <w:ind w:left="5760" w:hanging="720"/>
      <w:jc w:val="both"/>
    </w:pPr>
    <w:rPr>
      <w:sz w:val="22"/>
    </w:rPr>
  </w:style>
  <w:style w:type="paragraph" w:customStyle="1" w:styleId="AppendixC9">
    <w:name w:val="Appendix C9"/>
    <w:basedOn w:val="Normal"/>
    <w:rsid w:val="0041684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41684E"/>
    <w:rPr>
      <w:color w:val="605E5C"/>
      <w:shd w:val="clear" w:color="auto" w:fill="E1DFDD"/>
    </w:rPr>
  </w:style>
  <w:style w:type="character" w:customStyle="1" w:styleId="DocID">
    <w:name w:val="DocID"/>
    <w:basedOn w:val="DefaultParagraphFont"/>
    <w:semiHidden/>
    <w:rsid w:val="0041684E"/>
  </w:style>
  <w:style w:type="paragraph" w:customStyle="1" w:styleId="HeaderLandscape">
    <w:name w:val="Header Landscape"/>
    <w:basedOn w:val="Normal"/>
    <w:uiPriority w:val="99"/>
    <w:rsid w:val="0041684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41684E"/>
    <w:pPr>
      <w:ind w:left="2160"/>
    </w:pPr>
  </w:style>
  <w:style w:type="paragraph" w:styleId="Index8">
    <w:name w:val="index 8"/>
    <w:basedOn w:val="Index7"/>
    <w:next w:val="Normal"/>
    <w:autoRedefine/>
    <w:uiPriority w:val="99"/>
    <w:semiHidden/>
    <w:rsid w:val="0041684E"/>
    <w:pPr>
      <w:ind w:left="2520"/>
    </w:pPr>
  </w:style>
  <w:style w:type="paragraph" w:styleId="Index9">
    <w:name w:val="index 9"/>
    <w:basedOn w:val="Index8"/>
    <w:next w:val="Normal"/>
    <w:autoRedefine/>
    <w:uiPriority w:val="99"/>
    <w:semiHidden/>
    <w:rsid w:val="0041684E"/>
    <w:pPr>
      <w:ind w:left="2880"/>
    </w:pPr>
  </w:style>
  <w:style w:type="paragraph" w:styleId="IndexHeading">
    <w:name w:val="index heading"/>
    <w:basedOn w:val="Normal"/>
    <w:next w:val="Index1"/>
    <w:uiPriority w:val="99"/>
    <w:semiHidden/>
    <w:rsid w:val="0041684E"/>
    <w:pPr>
      <w:widowControl/>
      <w:autoSpaceDE/>
      <w:autoSpaceDN/>
      <w:adjustRightInd/>
      <w:jc w:val="both"/>
    </w:pPr>
    <w:rPr>
      <w:sz w:val="22"/>
    </w:rPr>
  </w:style>
  <w:style w:type="paragraph" w:styleId="List">
    <w:name w:val="List"/>
    <w:basedOn w:val="Normal"/>
    <w:uiPriority w:val="99"/>
    <w:semiHidden/>
    <w:rsid w:val="0041684E"/>
    <w:pPr>
      <w:widowControl/>
      <w:autoSpaceDE/>
      <w:autoSpaceDN/>
      <w:adjustRightInd/>
      <w:ind w:left="360" w:hanging="360"/>
      <w:jc w:val="both"/>
    </w:pPr>
    <w:rPr>
      <w:sz w:val="22"/>
    </w:rPr>
  </w:style>
  <w:style w:type="paragraph" w:customStyle="1" w:styleId="List1">
    <w:name w:val="List 1"/>
    <w:basedOn w:val="List"/>
    <w:uiPriority w:val="99"/>
    <w:rsid w:val="0041684E"/>
    <w:pPr>
      <w:ind w:left="720" w:hanging="720"/>
    </w:pPr>
  </w:style>
  <w:style w:type="paragraph" w:customStyle="1" w:styleId="List1d">
    <w:name w:val="List 1.d"/>
    <w:basedOn w:val="List1"/>
    <w:uiPriority w:val="99"/>
    <w:rsid w:val="0041684E"/>
    <w:pPr>
      <w:tabs>
        <w:tab w:val="decimal" w:pos="1080"/>
      </w:tabs>
      <w:ind w:left="1440" w:hanging="1440"/>
    </w:pPr>
  </w:style>
  <w:style w:type="paragraph" w:styleId="List2">
    <w:name w:val="List 2"/>
    <w:basedOn w:val="Normal"/>
    <w:uiPriority w:val="99"/>
    <w:semiHidden/>
    <w:rsid w:val="0041684E"/>
    <w:pPr>
      <w:widowControl/>
      <w:autoSpaceDE/>
      <w:autoSpaceDN/>
      <w:adjustRightInd/>
      <w:ind w:left="720" w:hanging="360"/>
      <w:jc w:val="both"/>
    </w:pPr>
    <w:rPr>
      <w:sz w:val="22"/>
    </w:rPr>
  </w:style>
  <w:style w:type="paragraph" w:customStyle="1" w:styleId="List2d">
    <w:name w:val="List 2.d"/>
    <w:basedOn w:val="List2"/>
    <w:uiPriority w:val="99"/>
    <w:rsid w:val="0041684E"/>
    <w:pPr>
      <w:tabs>
        <w:tab w:val="decimal" w:pos="1800"/>
      </w:tabs>
      <w:ind w:left="2160" w:hanging="1440"/>
    </w:pPr>
  </w:style>
  <w:style w:type="paragraph" w:styleId="List3">
    <w:name w:val="List 3"/>
    <w:basedOn w:val="Normal"/>
    <w:uiPriority w:val="99"/>
    <w:semiHidden/>
    <w:rsid w:val="0041684E"/>
    <w:pPr>
      <w:widowControl/>
      <w:autoSpaceDE/>
      <w:autoSpaceDN/>
      <w:adjustRightInd/>
      <w:ind w:left="1080" w:hanging="360"/>
      <w:jc w:val="both"/>
    </w:pPr>
    <w:rPr>
      <w:sz w:val="22"/>
    </w:rPr>
  </w:style>
  <w:style w:type="paragraph" w:customStyle="1" w:styleId="List3d">
    <w:name w:val="List 3.d"/>
    <w:basedOn w:val="List3"/>
    <w:uiPriority w:val="99"/>
    <w:rsid w:val="0041684E"/>
    <w:pPr>
      <w:tabs>
        <w:tab w:val="decimal" w:pos="2520"/>
      </w:tabs>
      <w:ind w:left="2880" w:hanging="1440"/>
    </w:pPr>
  </w:style>
  <w:style w:type="paragraph" w:styleId="List4">
    <w:name w:val="List 4"/>
    <w:basedOn w:val="Normal"/>
    <w:uiPriority w:val="99"/>
    <w:semiHidden/>
    <w:rsid w:val="0041684E"/>
    <w:pPr>
      <w:widowControl/>
      <w:autoSpaceDE/>
      <w:autoSpaceDN/>
      <w:adjustRightInd/>
      <w:ind w:left="1440" w:hanging="360"/>
      <w:jc w:val="both"/>
    </w:pPr>
    <w:rPr>
      <w:sz w:val="22"/>
    </w:rPr>
  </w:style>
  <w:style w:type="paragraph" w:customStyle="1" w:styleId="List4d">
    <w:name w:val="List 4.d"/>
    <w:basedOn w:val="List4"/>
    <w:uiPriority w:val="99"/>
    <w:rsid w:val="0041684E"/>
    <w:pPr>
      <w:tabs>
        <w:tab w:val="decimal" w:pos="3240"/>
      </w:tabs>
      <w:ind w:left="3600" w:hanging="1440"/>
    </w:pPr>
  </w:style>
  <w:style w:type="paragraph" w:styleId="List5">
    <w:name w:val="List 5"/>
    <w:basedOn w:val="Normal"/>
    <w:uiPriority w:val="99"/>
    <w:semiHidden/>
    <w:rsid w:val="0041684E"/>
    <w:pPr>
      <w:widowControl/>
      <w:autoSpaceDE/>
      <w:autoSpaceDN/>
      <w:adjustRightInd/>
      <w:ind w:left="1800" w:hanging="360"/>
      <w:jc w:val="both"/>
    </w:pPr>
    <w:rPr>
      <w:sz w:val="22"/>
    </w:rPr>
  </w:style>
  <w:style w:type="paragraph" w:customStyle="1" w:styleId="List5d">
    <w:name w:val="List 5.d"/>
    <w:basedOn w:val="List5"/>
    <w:uiPriority w:val="99"/>
    <w:rsid w:val="0041684E"/>
    <w:pPr>
      <w:tabs>
        <w:tab w:val="decimal" w:pos="3960"/>
      </w:tabs>
      <w:ind w:left="4320" w:hanging="1440"/>
    </w:pPr>
  </w:style>
  <w:style w:type="paragraph" w:styleId="ListBullet">
    <w:name w:val="List Bullet"/>
    <w:basedOn w:val="Normal"/>
    <w:uiPriority w:val="99"/>
    <w:semiHidden/>
    <w:rsid w:val="0041684E"/>
    <w:pPr>
      <w:widowControl/>
      <w:autoSpaceDE/>
      <w:autoSpaceDN/>
      <w:adjustRightInd/>
      <w:jc w:val="both"/>
    </w:pPr>
    <w:rPr>
      <w:sz w:val="22"/>
    </w:rPr>
  </w:style>
  <w:style w:type="paragraph" w:customStyle="1" w:styleId="ListBullet1">
    <w:name w:val="List Bullet 1"/>
    <w:basedOn w:val="Normal"/>
    <w:autoRedefine/>
    <w:uiPriority w:val="99"/>
    <w:rsid w:val="0041684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41684E"/>
    <w:pPr>
      <w:widowControl/>
      <w:autoSpaceDE/>
      <w:autoSpaceDN/>
      <w:adjustRightInd/>
      <w:jc w:val="both"/>
    </w:pPr>
    <w:rPr>
      <w:sz w:val="22"/>
    </w:rPr>
  </w:style>
  <w:style w:type="paragraph" w:styleId="ListBullet3">
    <w:name w:val="List Bullet 3"/>
    <w:basedOn w:val="Normal"/>
    <w:uiPriority w:val="99"/>
    <w:semiHidden/>
    <w:rsid w:val="0041684E"/>
    <w:pPr>
      <w:widowControl/>
      <w:autoSpaceDE/>
      <w:autoSpaceDN/>
      <w:adjustRightInd/>
      <w:jc w:val="both"/>
    </w:pPr>
    <w:rPr>
      <w:sz w:val="22"/>
    </w:rPr>
  </w:style>
  <w:style w:type="paragraph" w:styleId="ListBullet4">
    <w:name w:val="List Bullet 4"/>
    <w:basedOn w:val="Normal"/>
    <w:uiPriority w:val="99"/>
    <w:semiHidden/>
    <w:rsid w:val="0041684E"/>
    <w:pPr>
      <w:widowControl/>
      <w:autoSpaceDE/>
      <w:autoSpaceDN/>
      <w:adjustRightInd/>
      <w:jc w:val="both"/>
    </w:pPr>
    <w:rPr>
      <w:sz w:val="22"/>
    </w:rPr>
  </w:style>
  <w:style w:type="paragraph" w:styleId="ListBullet5">
    <w:name w:val="List Bullet 5"/>
    <w:basedOn w:val="Normal"/>
    <w:uiPriority w:val="99"/>
    <w:semiHidden/>
    <w:rsid w:val="0041684E"/>
    <w:pPr>
      <w:widowControl/>
      <w:autoSpaceDE/>
      <w:autoSpaceDN/>
      <w:adjustRightInd/>
      <w:jc w:val="both"/>
    </w:pPr>
    <w:rPr>
      <w:sz w:val="22"/>
    </w:rPr>
  </w:style>
  <w:style w:type="paragraph" w:styleId="ListContinue">
    <w:name w:val="List Continue"/>
    <w:basedOn w:val="Normal"/>
    <w:uiPriority w:val="99"/>
    <w:semiHidden/>
    <w:rsid w:val="0041684E"/>
    <w:pPr>
      <w:widowControl/>
      <w:autoSpaceDE/>
      <w:autoSpaceDN/>
      <w:adjustRightInd/>
      <w:spacing w:before="240"/>
      <w:jc w:val="both"/>
    </w:pPr>
    <w:rPr>
      <w:sz w:val="22"/>
    </w:rPr>
  </w:style>
  <w:style w:type="paragraph" w:styleId="ListContinue2">
    <w:name w:val="List Continue 2"/>
    <w:basedOn w:val="ListContinue"/>
    <w:uiPriority w:val="99"/>
    <w:semiHidden/>
    <w:rsid w:val="0041684E"/>
    <w:pPr>
      <w:ind w:left="720"/>
    </w:pPr>
  </w:style>
  <w:style w:type="paragraph" w:styleId="ListContinue3">
    <w:name w:val="List Continue 3"/>
    <w:basedOn w:val="ListContinue"/>
    <w:uiPriority w:val="99"/>
    <w:semiHidden/>
    <w:rsid w:val="0041684E"/>
    <w:pPr>
      <w:ind w:left="1440"/>
    </w:pPr>
  </w:style>
  <w:style w:type="paragraph" w:styleId="ListContinue4">
    <w:name w:val="List Continue 4"/>
    <w:basedOn w:val="ListContinue"/>
    <w:uiPriority w:val="99"/>
    <w:semiHidden/>
    <w:rsid w:val="0041684E"/>
    <w:pPr>
      <w:ind w:left="2160"/>
    </w:pPr>
  </w:style>
  <w:style w:type="paragraph" w:styleId="ListContinue5">
    <w:name w:val="List Continue 5"/>
    <w:basedOn w:val="ListContinue"/>
    <w:uiPriority w:val="99"/>
    <w:semiHidden/>
    <w:rsid w:val="0041684E"/>
    <w:pPr>
      <w:ind w:left="2880"/>
    </w:pPr>
  </w:style>
  <w:style w:type="paragraph" w:styleId="ListNumber2">
    <w:name w:val="List Number 2"/>
    <w:basedOn w:val="Normal"/>
    <w:uiPriority w:val="99"/>
    <w:semiHidden/>
    <w:rsid w:val="0041684E"/>
    <w:pPr>
      <w:widowControl/>
      <w:autoSpaceDE/>
      <w:autoSpaceDN/>
      <w:adjustRightInd/>
      <w:jc w:val="both"/>
    </w:pPr>
    <w:rPr>
      <w:sz w:val="22"/>
    </w:rPr>
  </w:style>
  <w:style w:type="paragraph" w:styleId="ListNumber3">
    <w:name w:val="List Number 3"/>
    <w:basedOn w:val="Normal"/>
    <w:uiPriority w:val="99"/>
    <w:semiHidden/>
    <w:rsid w:val="0041684E"/>
    <w:pPr>
      <w:widowControl/>
      <w:autoSpaceDE/>
      <w:autoSpaceDN/>
      <w:adjustRightInd/>
      <w:jc w:val="both"/>
    </w:pPr>
    <w:rPr>
      <w:sz w:val="22"/>
    </w:rPr>
  </w:style>
  <w:style w:type="paragraph" w:styleId="ListNumber4">
    <w:name w:val="List Number 4"/>
    <w:basedOn w:val="Normal"/>
    <w:uiPriority w:val="99"/>
    <w:semiHidden/>
    <w:rsid w:val="0041684E"/>
    <w:pPr>
      <w:widowControl/>
      <w:autoSpaceDE/>
      <w:autoSpaceDN/>
      <w:adjustRightInd/>
      <w:jc w:val="both"/>
    </w:pPr>
    <w:rPr>
      <w:sz w:val="22"/>
    </w:rPr>
  </w:style>
  <w:style w:type="paragraph" w:styleId="ListNumber5">
    <w:name w:val="List Number 5"/>
    <w:basedOn w:val="Normal"/>
    <w:uiPriority w:val="99"/>
    <w:semiHidden/>
    <w:rsid w:val="0041684E"/>
    <w:pPr>
      <w:widowControl/>
      <w:autoSpaceDE/>
      <w:autoSpaceDN/>
      <w:adjustRightInd/>
      <w:jc w:val="both"/>
    </w:pPr>
    <w:rPr>
      <w:sz w:val="22"/>
    </w:rPr>
  </w:style>
  <w:style w:type="paragraph" w:styleId="NormalIndent">
    <w:name w:val="Normal Indent"/>
    <w:basedOn w:val="Normal"/>
    <w:uiPriority w:val="99"/>
    <w:semiHidden/>
    <w:rsid w:val="0041684E"/>
    <w:pPr>
      <w:widowControl/>
      <w:autoSpaceDE/>
      <w:autoSpaceDN/>
      <w:adjustRightInd/>
      <w:ind w:left="720"/>
      <w:jc w:val="both"/>
    </w:pPr>
    <w:rPr>
      <w:sz w:val="22"/>
    </w:rPr>
  </w:style>
  <w:style w:type="character" w:customStyle="1" w:styleId="ParaNum">
    <w:name w:val="ParaNum"/>
    <w:basedOn w:val="DefaultParagraphFont"/>
    <w:rsid w:val="0041684E"/>
  </w:style>
  <w:style w:type="paragraph" w:customStyle="1" w:styleId="Quote1">
    <w:name w:val="Quote1"/>
    <w:aliases w:val="q"/>
    <w:basedOn w:val="Normal"/>
    <w:next w:val="Normal"/>
    <w:uiPriority w:val="99"/>
    <w:semiHidden/>
    <w:rsid w:val="0041684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41684E"/>
    <w:pPr>
      <w:spacing w:line="480" w:lineRule="auto"/>
    </w:pPr>
  </w:style>
  <w:style w:type="paragraph" w:styleId="TableofAuthorities">
    <w:name w:val="table of authorities"/>
    <w:basedOn w:val="Normal"/>
    <w:next w:val="Normal"/>
    <w:uiPriority w:val="99"/>
    <w:rsid w:val="0041684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41684E"/>
    <w:pPr>
      <w:widowControl/>
      <w:autoSpaceDE/>
      <w:autoSpaceDN/>
      <w:adjustRightInd/>
      <w:ind w:left="480" w:hanging="480"/>
      <w:jc w:val="both"/>
    </w:pPr>
    <w:rPr>
      <w:sz w:val="22"/>
    </w:rPr>
  </w:style>
  <w:style w:type="paragraph" w:styleId="TOAHeading">
    <w:name w:val="toa heading"/>
    <w:basedOn w:val="Normal"/>
    <w:next w:val="BodyText"/>
    <w:uiPriority w:val="99"/>
    <w:rsid w:val="0041684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41684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41684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41684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41684E"/>
    <w:rPr>
      <w:b/>
    </w:rPr>
  </w:style>
  <w:style w:type="paragraph" w:customStyle="1" w:styleId="SubtitleBU">
    <w:name w:val="Subtitle BU"/>
    <w:basedOn w:val="Subtitle"/>
    <w:next w:val="BodyText"/>
    <w:uiPriority w:val="99"/>
    <w:rsid w:val="0041684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41684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41684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41684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41684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41684E"/>
    <w:pPr>
      <w:spacing w:after="240"/>
    </w:pPr>
    <w:rPr>
      <w:rFonts w:cs="Arial"/>
      <w:b w:val="0"/>
      <w:bCs/>
      <w:color w:val="44546A" w:themeColor="text2"/>
      <w:sz w:val="56"/>
      <w:szCs w:val="24"/>
    </w:rPr>
  </w:style>
  <w:style w:type="paragraph" w:customStyle="1" w:styleId="TitleBU">
    <w:name w:val="Title BU"/>
    <w:basedOn w:val="Title"/>
    <w:next w:val="BodyText"/>
    <w:uiPriority w:val="99"/>
    <w:rsid w:val="0041684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41684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41684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41684E"/>
    <w:pPr>
      <w:spacing w:after="240"/>
    </w:pPr>
    <w:rPr>
      <w:rFonts w:cs="Arial"/>
      <w:bCs/>
      <w:caps/>
      <w:color w:val="44546A" w:themeColor="text2"/>
      <w:sz w:val="56"/>
      <w:szCs w:val="24"/>
      <w:u w:val="single"/>
    </w:rPr>
  </w:style>
  <w:style w:type="paragraph" w:customStyle="1" w:styleId="AHFAPlan6">
    <w:name w:val="AHFA Plan6"/>
    <w:basedOn w:val="Normal"/>
    <w:rsid w:val="0041684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41684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41684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41684E"/>
    <w:pPr>
      <w:widowControl/>
      <w:tabs>
        <w:tab w:val="num" w:pos="6480"/>
      </w:tabs>
      <w:autoSpaceDE/>
      <w:autoSpaceDN/>
      <w:adjustRightInd/>
      <w:ind w:left="6480" w:hanging="720"/>
      <w:jc w:val="both"/>
    </w:pPr>
    <w:rPr>
      <w:b/>
      <w:bCs/>
      <w:sz w:val="22"/>
    </w:rPr>
  </w:style>
  <w:style w:type="paragraph" w:customStyle="1" w:styleId="Body0">
    <w:name w:val="Body"/>
    <w:uiPriority w:val="99"/>
    <w:rsid w:val="0041684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41684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41684E"/>
  </w:style>
  <w:style w:type="character" w:customStyle="1" w:styleId="UnresolvedMention5">
    <w:name w:val="Unresolved Mention5"/>
    <w:basedOn w:val="DefaultParagraphFont"/>
    <w:uiPriority w:val="99"/>
    <w:semiHidden/>
    <w:unhideWhenUsed/>
    <w:rsid w:val="0041684E"/>
    <w:rPr>
      <w:color w:val="605E5C"/>
      <w:shd w:val="clear" w:color="auto" w:fill="E1DFDD"/>
    </w:rPr>
  </w:style>
  <w:style w:type="paragraph" w:customStyle="1" w:styleId="paywall">
    <w:name w:val="paywall"/>
    <w:basedOn w:val="Normal"/>
    <w:rsid w:val="0041684E"/>
    <w:pPr>
      <w:widowControl/>
      <w:autoSpaceDE/>
      <w:autoSpaceDN/>
      <w:adjustRightInd/>
      <w:spacing w:before="100" w:beforeAutospacing="1" w:after="100" w:afterAutospacing="1"/>
    </w:pPr>
  </w:style>
  <w:style w:type="paragraph" w:customStyle="1" w:styleId="p1">
    <w:name w:val="p1"/>
    <w:basedOn w:val="Normal"/>
    <w:rsid w:val="0041684E"/>
    <w:pPr>
      <w:widowControl/>
      <w:autoSpaceDE/>
      <w:autoSpaceDN/>
      <w:adjustRightInd/>
      <w:spacing w:before="100" w:beforeAutospacing="1" w:after="100" w:afterAutospacing="1"/>
    </w:pPr>
  </w:style>
  <w:style w:type="paragraph" w:customStyle="1" w:styleId="p3">
    <w:name w:val="p3"/>
    <w:basedOn w:val="Normal"/>
    <w:rsid w:val="0041684E"/>
    <w:pPr>
      <w:widowControl/>
      <w:autoSpaceDE/>
      <w:autoSpaceDN/>
      <w:adjustRightInd/>
      <w:spacing w:before="100" w:beforeAutospacing="1" w:after="100" w:afterAutospacing="1"/>
    </w:pPr>
  </w:style>
  <w:style w:type="paragraph" w:customStyle="1" w:styleId="speakable-p-1">
    <w:name w:val="speakable-p-1"/>
    <w:basedOn w:val="Normal"/>
    <w:rsid w:val="0041684E"/>
    <w:pPr>
      <w:widowControl/>
      <w:autoSpaceDE/>
      <w:autoSpaceDN/>
      <w:adjustRightInd/>
      <w:spacing w:before="100" w:beforeAutospacing="1" w:after="100" w:afterAutospacing="1"/>
    </w:pPr>
  </w:style>
  <w:style w:type="paragraph" w:customStyle="1" w:styleId="speakable-p-2">
    <w:name w:val="speakable-p-2"/>
    <w:basedOn w:val="Normal"/>
    <w:rsid w:val="0041684E"/>
    <w:pPr>
      <w:widowControl/>
      <w:autoSpaceDE/>
      <w:autoSpaceDN/>
      <w:adjustRightInd/>
      <w:spacing w:before="100" w:beforeAutospacing="1" w:after="100" w:afterAutospacing="1"/>
    </w:pPr>
  </w:style>
  <w:style w:type="paragraph" w:customStyle="1" w:styleId="p-text">
    <w:name w:val="p-text"/>
    <w:basedOn w:val="Normal"/>
    <w:rsid w:val="0041684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41684E"/>
    <w:pPr>
      <w:widowControl/>
      <w:autoSpaceDE/>
      <w:autoSpaceDN/>
      <w:adjustRightInd/>
      <w:spacing w:before="100" w:beforeAutospacing="1" w:after="100" w:afterAutospacing="1"/>
    </w:pPr>
  </w:style>
  <w:style w:type="character" w:customStyle="1" w:styleId="credit">
    <w:name w:val="credit"/>
    <w:basedOn w:val="DefaultParagraphFont"/>
    <w:rsid w:val="0041684E"/>
  </w:style>
  <w:style w:type="character" w:customStyle="1" w:styleId="UnresolvedMention6">
    <w:name w:val="Unresolved Mention6"/>
    <w:basedOn w:val="DefaultParagraphFont"/>
    <w:uiPriority w:val="99"/>
    <w:semiHidden/>
    <w:unhideWhenUsed/>
    <w:rsid w:val="0041684E"/>
    <w:rPr>
      <w:color w:val="605E5C"/>
      <w:shd w:val="clear" w:color="auto" w:fill="E1DFDD"/>
    </w:rPr>
  </w:style>
  <w:style w:type="character" w:customStyle="1" w:styleId="e24kjd">
    <w:name w:val="e24kjd"/>
    <w:basedOn w:val="DefaultParagraphFont"/>
    <w:rsid w:val="0041684E"/>
  </w:style>
  <w:style w:type="character" w:customStyle="1" w:styleId="UnresolvedMention7">
    <w:name w:val="Unresolved Mention7"/>
    <w:basedOn w:val="DefaultParagraphFont"/>
    <w:uiPriority w:val="99"/>
    <w:semiHidden/>
    <w:unhideWhenUsed/>
    <w:rsid w:val="0041684E"/>
    <w:rPr>
      <w:color w:val="605E5C"/>
      <w:shd w:val="clear" w:color="auto" w:fill="E1DFDD"/>
    </w:rPr>
  </w:style>
  <w:style w:type="character" w:customStyle="1" w:styleId="FooterChar1">
    <w:name w:val="Footer Char1"/>
    <w:basedOn w:val="DefaultParagraphFont"/>
    <w:uiPriority w:val="99"/>
    <w:semiHidden/>
    <w:rsid w:val="0041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4CF9F-E59C-47D2-B8D9-8847FA74C06B}">
  <ds:schemaRefs>
    <ds:schemaRef ds:uri="http://schemas.microsoft.com/sharepoint/v3/contenttype/forms"/>
  </ds:schemaRefs>
</ds:datastoreItem>
</file>

<file path=customXml/itemProps2.xml><?xml version="1.0" encoding="utf-8"?>
<ds:datastoreItem xmlns:ds="http://schemas.openxmlformats.org/officeDocument/2006/customXml" ds:itemID="{690C252A-2D0C-420C-9192-739E4A006E01}"/>
</file>

<file path=customXml/itemProps3.xml><?xml version="1.0" encoding="utf-8"?>
<ds:datastoreItem xmlns:ds="http://schemas.openxmlformats.org/officeDocument/2006/customXml" ds:itemID="{136BD1C4-9F36-434D-BC03-92DC00D08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7988</Words>
  <Characters>45537</Characters>
  <Application>Microsoft Office Word</Application>
  <DocSecurity>0</DocSecurity>
  <Lines>379</Lines>
  <Paragraphs>106</Paragraphs>
  <ScaleCrop>false</ScaleCrop>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78</cp:revision>
  <dcterms:created xsi:type="dcterms:W3CDTF">2021-02-04T18:56:00Z</dcterms:created>
  <dcterms:modified xsi:type="dcterms:W3CDTF">2021-02-16T17:08:00Z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